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80" w:right="459" w:hanging="4966"/>
        <w:spacing w:after="0" w:line="318" w:lineRule="auto"/>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December 7, 2020 Registration No. 333-249785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8890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6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FORM S-4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STATEMENT 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ACT OF 1933</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FS Development 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209" w:lineRule="exact"/>
        <w:rPr>
          <w:sz w:val="24"/>
          <w:szCs w:val="24"/>
          <w:color w:val="auto"/>
        </w:rPr>
      </w:pPr>
    </w:p>
    <w:tbl>
      <w:tblPr>
        <w:tblLayout w:type="fixed"/>
        <w:tblInd w:w="460" w:type="dxa"/>
        <w:tblCellMar>
          <w:top w:w="0" w:type="dxa"/>
          <w:left w:w="0" w:type="dxa"/>
          <w:bottom w:w="0" w:type="dxa"/>
          <w:right w:w="0" w:type="dxa"/>
        </w:tblCellMar>
      </w:tblPr>
      <w:tr>
        <w:trPr>
          <w:trHeight w:val="212"/>
        </w:trPr>
        <w:tc>
          <w:tcPr>
            <w:tcW w:w="268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620" w:type="dxa"/>
            <w:vAlign w:val="bottom"/>
          </w:tcPr>
          <w:p>
            <w:pPr>
              <w:jc w:val="right"/>
              <w:ind w:right="1053"/>
              <w:spacing w:after="0"/>
              <w:rPr>
                <w:sz w:val="20"/>
                <w:szCs w:val="20"/>
                <w:color w:val="auto"/>
              </w:rPr>
            </w:pPr>
            <w:r>
              <w:rPr>
                <w:rFonts w:ascii="Times New Roman" w:cs="Times New Roman" w:eastAsia="Times New Roman" w:hAnsi="Times New Roman"/>
                <w:sz w:val="16"/>
                <w:szCs w:val="16"/>
                <w:b w:val="1"/>
                <w:bCs w:val="1"/>
                <w:color w:val="auto"/>
              </w:rPr>
              <w:t>6770</w:t>
            </w:r>
          </w:p>
        </w:tc>
        <w:tc>
          <w:tcPr>
            <w:tcW w:w="80" w:type="dxa"/>
            <w:vAlign w:val="bottom"/>
          </w:tcPr>
          <w:p>
            <w:pPr>
              <w:spacing w:after="0"/>
              <w:rPr>
                <w:sz w:val="18"/>
                <w:szCs w:val="18"/>
                <w:color w:val="auto"/>
              </w:rPr>
            </w:pPr>
          </w:p>
        </w:tc>
        <w:tc>
          <w:tcPr>
            <w:tcW w:w="2720" w:type="dxa"/>
            <w:vAlign w:val="bottom"/>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85-1612845</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ind w:left="720"/>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bl>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877-4887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9"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Jim Tananbaum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877-4887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9"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183"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Joel L. Rubinstein</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Mitchell S. Bloom</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Bryan Luchs</w:t>
            </w:r>
          </w:p>
        </w:tc>
        <w:tc>
          <w:tcPr>
            <w:tcW w:w="316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Jocelyn Arel</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White &amp; Case LLP</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Laurie A. Burlingame</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1221 Avenue of the Americas</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Goodwin Procter LLP</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8"/>
              </w:rPr>
              <w:t>New York, New York 10020</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100 Northern Avenue</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(212) 819-8200</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Boston, Massachusetts 02210</w:t>
            </w:r>
          </w:p>
        </w:tc>
      </w:tr>
      <w:tr>
        <w:trPr>
          <w:trHeight w:val="238"/>
        </w:trPr>
        <w:tc>
          <w:tcPr>
            <w:tcW w:w="3160" w:type="dxa"/>
            <w:vAlign w:val="bottom"/>
          </w:tcPr>
          <w:p>
            <w:pPr>
              <w:spacing w:after="0"/>
              <w:rPr>
                <w:sz w:val="20"/>
                <w:szCs w:val="20"/>
                <w:color w:val="auto"/>
              </w:rPr>
            </w:pP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(617) 570-1000</w:t>
            </w:r>
          </w:p>
        </w:tc>
      </w:tr>
    </w:tbl>
    <w:p>
      <w:pPr>
        <w:spacing w:after="0" w:line="207"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67" w:lineRule="exact"/>
        <w:rPr>
          <w:sz w:val="24"/>
          <w:szCs w:val="24"/>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Approximate date of commencement of proposed sale to the public: As soon as practicable after this Registration Statement becomes effective and after all conditions under the Merger Agreement to consummate the proposed merger are satisfied or waived.</w:t>
      </w:r>
    </w:p>
    <w:p>
      <w:pPr>
        <w:spacing w:after="0" w:line="14" w:lineRule="exact"/>
        <w:rPr>
          <w:sz w:val="24"/>
          <w:szCs w:val="24"/>
          <w:color w:val="auto"/>
        </w:rPr>
      </w:pPr>
    </w:p>
    <w:p>
      <w:pPr>
        <w:jc w:val="both"/>
        <w:ind w:left="460" w:right="479"/>
        <w:spacing w:after="0" w:line="281" w:lineRule="auto"/>
        <w:rPr>
          <w:sz w:val="20"/>
          <w:szCs w:val="20"/>
          <w:color w:val="auto"/>
        </w:rPr>
      </w:pPr>
      <w:r>
        <w:rPr>
          <w:rFonts w:ascii="Times New Roman" w:cs="Times New Roman" w:eastAsia="Times New Roman" w:hAnsi="Times New Roman"/>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Arial" w:cs="Arial" w:eastAsia="Arial" w:hAnsi="Arial"/>
          <w:sz w:val="18"/>
          <w:szCs w:val="18"/>
          <w:color w:val="auto"/>
        </w:rPr>
        <w:t>£</w:t>
      </w: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check the following box and list the Securities Act registration statement number of the earlier effective registration statement for the same offering: </w:t>
      </w:r>
      <w:r>
        <w:rPr>
          <w:rFonts w:ascii="Arial" w:cs="Arial" w:eastAsia="Arial" w:hAnsi="Arial"/>
          <w:sz w:val="18"/>
          <w:szCs w:val="18"/>
          <w:color w:val="auto"/>
        </w:rPr>
        <w:t>£</w:t>
      </w:r>
    </w:p>
    <w:p>
      <w:pPr>
        <w:spacing w:after="0" w:line="8" w:lineRule="exact"/>
        <w:rPr>
          <w:sz w:val="24"/>
          <w:szCs w:val="24"/>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8"/>
          <w:szCs w:val="18"/>
          <w:color w:val="auto"/>
        </w:rPr>
        <w:t>£</w:t>
      </w:r>
    </w:p>
    <w:p>
      <w:pPr>
        <w:spacing w:after="0" w:line="8" w:lineRule="exact"/>
        <w:rPr>
          <w:sz w:val="24"/>
          <w:szCs w:val="24"/>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and emerging growth company. See the definitions of “large accelerated filer”, “accelerated filer”, “smaller reporting company” and “emerging growth company” in Rule 12b-2 of the Securities Exchange Act of 1934, as amended (the “Exchange Act”).</w:t>
      </w:r>
    </w:p>
    <w:p>
      <w:pPr>
        <w:spacing w:after="0" w:line="135" w:lineRule="exact"/>
        <w:rPr>
          <w:sz w:val="24"/>
          <w:szCs w:val="24"/>
          <w:color w:val="auto"/>
        </w:rPr>
      </w:pPr>
    </w:p>
    <w:tbl>
      <w:tblPr>
        <w:tblLayout w:type="fixed"/>
        <w:tblInd w:w="460" w:type="dxa"/>
        <w:tblCellMar>
          <w:top w:w="0" w:type="dxa"/>
          <w:left w:w="0" w:type="dxa"/>
          <w:bottom w:w="0" w:type="dxa"/>
          <w:right w:w="0" w:type="dxa"/>
        </w:tblCellMar>
      </w:tblPr>
      <w:tr>
        <w:trPr>
          <w:trHeight w:val="243"/>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w:cs="Arial" w:eastAsia="Arial" w:hAnsi="Arial"/>
                <w:sz w:val="18"/>
                <w:szCs w:val="18"/>
                <w:color w:val="auto"/>
              </w:rPr>
              <w:t>£</w:t>
            </w:r>
          </w:p>
        </w:tc>
        <w:tc>
          <w:tcPr>
            <w:tcW w:w="2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w:t>
            </w:r>
          </w:p>
        </w:tc>
        <w:tc>
          <w:tcPr>
            <w:tcW w:w="1380" w:type="dxa"/>
            <w:vAlign w:val="bottom"/>
          </w:tcPr>
          <w:p>
            <w:pPr>
              <w:ind w:left="260"/>
              <w:spacing w:after="0"/>
              <w:rPr>
                <w:sz w:val="20"/>
                <w:szCs w:val="20"/>
                <w:color w:val="auto"/>
              </w:rPr>
            </w:pPr>
            <w:r>
              <w:rPr>
                <w:rFonts w:ascii="Arial" w:cs="Arial" w:eastAsia="Arial" w:hAnsi="Arial"/>
                <w:sz w:val="18"/>
                <w:szCs w:val="18"/>
                <w:color w:val="auto"/>
              </w:rPr>
              <w:t>S</w:t>
            </w:r>
          </w:p>
        </w:tc>
        <w:tc>
          <w:tcPr>
            <w:tcW w:w="31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w:cs="Arial" w:eastAsia="Arial" w:hAnsi="Arial"/>
                <w:sz w:val="18"/>
                <w:szCs w:val="18"/>
                <w:color w:val="auto"/>
              </w:rPr>
              <w:t>S</w:t>
            </w:r>
          </w:p>
        </w:tc>
      </w:tr>
      <w:tr>
        <w:trPr>
          <w:trHeight w:val="284"/>
        </w:trPr>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1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S</w:t>
            </w:r>
          </w:p>
        </w:tc>
      </w:tr>
    </w:tbl>
    <w:p>
      <w:pPr>
        <w:spacing w:after="0" w:line="221" w:lineRule="exact"/>
        <w:rPr>
          <w:sz w:val="24"/>
          <w:szCs w:val="24"/>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8"/>
          <w:szCs w:val="18"/>
          <w:color w:val="auto"/>
        </w:rPr>
        <w:t>£</w:t>
      </w:r>
    </w:p>
    <w:p>
      <w:pPr>
        <w:spacing w:after="0" w:line="8" w:lineRule="exact"/>
        <w:rPr>
          <w:sz w:val="24"/>
          <w:szCs w:val="24"/>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applicable, place an X in the box to designate the appropriate rule provision relied upon in conducting this transaction:</w:t>
      </w:r>
    </w:p>
    <w:p>
      <w:pPr>
        <w:spacing w:after="0" w:line="130" w:lineRule="exact"/>
        <w:rPr>
          <w:sz w:val="24"/>
          <w:szCs w:val="24"/>
          <w:color w:val="auto"/>
        </w:rPr>
      </w:pPr>
    </w:p>
    <w:p>
      <w:pPr>
        <w:ind w:left="460"/>
        <w:spacing w:after="0"/>
        <w:tabs>
          <w:tab w:leader="none" w:pos="5560" w:val="left"/>
        </w:tabs>
        <w:rPr>
          <w:sz w:val="20"/>
          <w:szCs w:val="20"/>
          <w:color w:val="auto"/>
        </w:rPr>
      </w:pPr>
      <w:r>
        <w:rPr>
          <w:rFonts w:ascii="Times New Roman" w:cs="Times New Roman" w:eastAsia="Times New Roman" w:hAnsi="Times New Roman"/>
          <w:sz w:val="18"/>
          <w:szCs w:val="18"/>
          <w:color w:val="auto"/>
        </w:rPr>
        <w:t>Exchange Act Rule 13e-4(i) (Cross-Border Issuer Tender Offer)</w:t>
      </w:r>
      <w:r>
        <w:rPr>
          <w:sz w:val="20"/>
          <w:szCs w:val="20"/>
          <w:color w:val="auto"/>
        </w:rPr>
        <w:tab/>
      </w:r>
      <w:r>
        <w:rPr>
          <w:rFonts w:ascii="Arial" w:cs="Arial" w:eastAsia="Arial" w:hAnsi="Arial"/>
          <w:sz w:val="17"/>
          <w:szCs w:val="17"/>
          <w:color w:val="auto"/>
        </w:rPr>
        <w:t>£</w:t>
      </w:r>
    </w:p>
    <w:p>
      <w:pPr>
        <w:sectPr>
          <w:pgSz w:w="11900" w:h="16838" w:orient="portrait"/>
          <w:cols w:equalWidth="0" w:num="1">
            <w:col w:w="9019"/>
          </w:cols>
          <w:pgMar w:left="1440" w:top="266" w:right="1440" w:bottom="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color w:val="auto"/>
        </w:rPr>
        <w:t xml:space="preserve">Exchange Act Rule 14d-1(d) (Cross-Border Third-Party Tender Offer)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294640</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2" w:name="page3"/>
    <w:bookmarkEnd w:id="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Amount to be</w:t>
            </w: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55"/>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Title of Each Class of Securities to be Registered</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Registered</w:t>
            </w:r>
            <w:r>
              <w:rPr>
                <w:rFonts w:ascii="Times New Roman" w:cs="Times New Roman" w:eastAsia="Times New Roman" w:hAnsi="Times New Roman"/>
                <w:sz w:val="18"/>
                <w:szCs w:val="18"/>
                <w:b w:val="1"/>
                <w:bCs w:val="1"/>
                <w:color w:val="auto"/>
                <w:w w:val="96"/>
                <w:vertAlign w:val="superscript"/>
              </w:rPr>
              <w:t>(2)</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5"/>
              </w:rPr>
              <w:t>Security</w:t>
            </w:r>
            <w:r>
              <w:rPr>
                <w:rFonts w:ascii="Times New Roman" w:cs="Times New Roman" w:eastAsia="Times New Roman" w:hAnsi="Times New Roman"/>
                <w:sz w:val="18"/>
                <w:szCs w:val="18"/>
                <w:b w:val="1"/>
                <w:bCs w:val="1"/>
                <w:color w:val="auto"/>
                <w:w w:val="95"/>
                <w:vertAlign w:val="superscript"/>
              </w:rPr>
              <w:t>(3)</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Price</w:t>
            </w:r>
            <w:r>
              <w:rPr>
                <w:rFonts w:ascii="Times New Roman" w:cs="Times New Roman" w:eastAsia="Times New Roman" w:hAnsi="Times New Roman"/>
                <w:sz w:val="18"/>
                <w:szCs w:val="18"/>
                <w:b w:val="1"/>
                <w:bCs w:val="1"/>
                <w:color w:val="auto"/>
                <w:w w:val="96"/>
                <w:vertAlign w:val="superscript"/>
              </w:rPr>
              <w:t>(1)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21,500,000</w:t>
            </w:r>
            <w:r>
              <w:rPr>
                <w:rFonts w:ascii="Times New Roman" w:cs="Times New Roman" w:eastAsia="Times New Roman" w:hAnsi="Times New Roman"/>
                <w:sz w:val="10"/>
                <w:szCs w:val="10"/>
                <w:color w:val="auto"/>
                <w:w w:val="99"/>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c>
          <w:tcPr>
            <w:tcW w:w="118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$ 217,150,000</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23,692</w:t>
            </w:r>
            <w:r>
              <w:rPr>
                <w:rFonts w:ascii="Times New Roman" w:cs="Times New Roman" w:eastAsia="Times New Roman" w:hAnsi="Times New Roman"/>
                <w:sz w:val="10"/>
                <w:szCs w:val="10"/>
                <w:color w:val="auto"/>
              </w:rPr>
              <w:t>(4)(5)</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80" w:type="dxa"/>
            <w:vAlign w:val="bottom"/>
            <w:gridSpan w:val="2"/>
            <w:vMerge w:val="continue"/>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21,500,000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10.10</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$ 217,150,000</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w w:val="96"/>
              </w:rPr>
              <w:t>23,692</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6" w:lineRule="auto"/>
        <w:tabs>
          <w:tab w:leader="none" w:pos="93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maximum number of shares of Class A Common Stock, $0.0001 par value per share, of the registrant issuable upon a business combination (the “</w:t>
      </w:r>
      <w:r>
        <w:rPr>
          <w:rFonts w:ascii="Times New Roman" w:cs="Times New Roman" w:eastAsia="Times New Roman" w:hAnsi="Times New Roman"/>
          <w:sz w:val="16"/>
          <w:szCs w:val="16"/>
          <w:b w:val="1"/>
          <w:bCs w:val="1"/>
          <w:color w:val="auto"/>
        </w:rPr>
        <w:t>Business Combination</w:t>
      </w:r>
      <w:r>
        <w:rPr>
          <w:rFonts w:ascii="Times New Roman" w:cs="Times New Roman" w:eastAsia="Times New Roman" w:hAnsi="Times New Roman"/>
          <w:sz w:val="16"/>
          <w:szCs w:val="16"/>
          <w:color w:val="auto"/>
        </w:rPr>
        <w:t>”) involving FS Development Corp. (“</w:t>
      </w:r>
      <w:r>
        <w:rPr>
          <w:rFonts w:ascii="Times New Roman" w:cs="Times New Roman" w:eastAsia="Times New Roman" w:hAnsi="Times New Roman"/>
          <w:sz w:val="16"/>
          <w:szCs w:val="16"/>
          <w:b w:val="1"/>
          <w:bCs w:val="1"/>
          <w:color w:val="auto"/>
        </w:rPr>
        <w:t>FS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Development</w:t>
      </w:r>
      <w:r>
        <w:rPr>
          <w:rFonts w:ascii="Times New Roman" w:cs="Times New Roman" w:eastAsia="Times New Roman" w:hAnsi="Times New Roman"/>
          <w:sz w:val="16"/>
          <w:szCs w:val="16"/>
          <w:color w:val="auto"/>
        </w:rPr>
        <w:t>”) and Gemini Therapeutics, Inc. (“</w:t>
      </w:r>
      <w:r>
        <w:rPr>
          <w:rFonts w:ascii="Times New Roman" w:cs="Times New Roman" w:eastAsia="Times New Roman" w:hAnsi="Times New Roman"/>
          <w:sz w:val="16"/>
          <w:szCs w:val="16"/>
          <w:b w:val="1"/>
          <w:bCs w:val="1"/>
          <w:color w:val="auto"/>
        </w:rPr>
        <w:t>Gemini</w:t>
      </w:r>
      <w:r>
        <w:rPr>
          <w:rFonts w:ascii="Times New Roman" w:cs="Times New Roman" w:eastAsia="Times New Roman" w:hAnsi="Times New Roman"/>
          <w:sz w:val="16"/>
          <w:szCs w:val="16"/>
          <w:color w:val="auto"/>
        </w:rPr>
        <w:t>”). This number is based on 21,500,000, the maximum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number of shares of common stock of FS Development that are expected to be issued pursuant to the Business Combination.</w:t>
      </w:r>
    </w:p>
    <w:p>
      <w:pPr>
        <w:jc w:val="both"/>
        <w:ind w:left="880" w:right="479" w:hanging="426"/>
        <w:spacing w:after="0" w:line="264" w:lineRule="auto"/>
        <w:tabs>
          <w:tab w:leader="none" w:pos="94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416(a) of the Securities Act of 1933, there are also being registered an indeterminable number of additional securities as may be issued to prevent dilution resulting from stock splits, stock dividends or similar transaction.</w:t>
      </w:r>
    </w:p>
    <w:p>
      <w:pPr>
        <w:jc w:val="both"/>
        <w:ind w:left="880" w:right="459" w:hanging="426"/>
        <w:spacing w:after="0" w:line="264" w:lineRule="auto"/>
        <w:tabs>
          <w:tab w:leader="none" w:pos="889"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 based on the average of the high and low prices of the shares of common stock of FS Development on the Nasdaq Capital Market on October 26, 2020 ($10.10 per share). This calculation is in accordance with Rule 457(f)(1) of the Securities Act.</w:t>
      </w:r>
    </w:p>
    <w:p>
      <w:pPr>
        <w:ind w:left="880" w:right="479" w:hanging="426"/>
        <w:spacing w:after="0" w:line="264" w:lineRule="auto"/>
        <w:tabs>
          <w:tab w:leader="none" w:pos="93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pursuant to Rule 457 under the Securities Act by multiplying the proposed maximum aggregate offering price of securities by 0.0001091.</w:t>
      </w: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fee has been previously paid.</w:t>
      </w:r>
    </w:p>
    <w:p>
      <w:pPr>
        <w:spacing w:after="0" w:line="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128"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41910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85090</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359410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D2232A"/>
        </w:rPr>
        <w:t>The information in this preliminary proxy statement/prospectus is not complete and may be changed. These securities may not be issued until the registration statement filed with the Securities and Exchange Commission is effective. This preliminary proxy statement/prospectus is not an offer to sell these securities and it is not soliciting an offer to buy these securities in any jurisdiction where the offer or sale is not permitted.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PROXY STATEMENT/PROSPECTUS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SUBJECT TO COMPLETION, DATED DECEMBER 7, 2020</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FS Development Corp.:</w:t>
      </w:r>
    </w:p>
    <w:p>
      <w:pPr>
        <w:spacing w:after="0" w:line="15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behalf of the board of directors of FS Development Corp. (“</w:t>
      </w:r>
      <w:r>
        <w:rPr>
          <w:rFonts w:ascii="Times New Roman" w:cs="Times New Roman" w:eastAsia="Times New Roman" w:hAnsi="Times New Roman"/>
          <w:sz w:val="18"/>
          <w:szCs w:val="18"/>
          <w:b w:val="1"/>
          <w:bCs w:val="1"/>
          <w:color w:val="auto"/>
        </w:rPr>
        <w:t>FS Development</w:t>
      </w:r>
      <w:r>
        <w:rPr>
          <w:rFonts w:ascii="Times New Roman" w:cs="Times New Roman" w:eastAsia="Times New Roman" w:hAnsi="Times New Roman"/>
          <w:sz w:val="18"/>
          <w:szCs w:val="18"/>
          <w:color w:val="auto"/>
        </w:rPr>
        <w:t>”), we are pleased to enclose the proxy statement/prospectus relating to the proposed merger of FSG Merger Sub, Inc., a Delaware corporation and a wholly-owned subsidiary of FS Development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with and into Gemini Therapeutics, Inc., a Delaware corporation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with Gemini surviving the merger as a wholly-owned subsidiary of FS Development (the “</w:t>
      </w:r>
      <w:r>
        <w:rPr>
          <w:rFonts w:ascii="Times New Roman" w:cs="Times New Roman" w:eastAsia="Times New Roman" w:hAnsi="Times New Roman"/>
          <w:sz w:val="18"/>
          <w:szCs w:val="18"/>
          <w:b w:val="1"/>
          <w:bCs w:val="1"/>
          <w:color w:val="auto"/>
        </w:rPr>
        <w:t>Combined Entity</w:t>
      </w:r>
      <w:r>
        <w:rPr>
          <w:rFonts w:ascii="Times New Roman" w:cs="Times New Roman" w:eastAsia="Times New Roman" w:hAnsi="Times New Roman"/>
          <w:sz w:val="18"/>
          <w:szCs w:val="18"/>
          <w:color w:val="auto"/>
        </w:rPr>
        <w:t>”), pursuant to the terms of a merger agreement, dated October 15, 2020, among FS Development, Merger Sub, Gemini and Shareholder Representative Services LLC (as it may be amended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and such merger and the other transactions contemplated by the Merger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xml:space="preserve">”). In connection with the Business Combination, FS Development will be renamed “Gemini Therapeutics, Inc.” A copy of the Merger Agreement is attached to the accompanying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and the other matters described herein, you are cordially invited to attend the Special Meeting of Stockholders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of FS Development. The Special</w:t>
      </w: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Meeting will be held on , 2020, at Eastern time, via a virtual meeting. In light of the novel coronavirus (referred to as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pandemic and to support the well-being of FS Development’s stockholders, directors and management, the Special Meeting will be completely virtual. You may attend the Special Meeting and vote your shares electronically during the Special Meeting via live webcast by visiting</w:t>
      </w:r>
    </w:p>
    <w:p>
      <w:pPr>
        <w:spacing w:after="0" w:line="2" w:lineRule="exact"/>
        <w:rPr>
          <w:sz w:val="20"/>
          <w:szCs w:val="20"/>
          <w:color w:val="auto"/>
        </w:rPr>
      </w:pPr>
    </w:p>
    <w:p>
      <w:pPr>
        <w:jc w:val="both"/>
        <w:ind w:left="460" w:right="459" w:firstLine="381"/>
        <w:spacing w:after="0" w:line="253"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need the 12-digit meeting control number that is printed on your proxy card to enter the Special Meeting. FS Development recommends that you log in at least 15 minutes before the Special Meeting to ensure you are logged in when the Special Meeting starts. Please note that you will not be able to attend the Special Meeting in person.</w:t>
      </w:r>
    </w:p>
    <w:p>
      <w:pPr>
        <w:spacing w:after="0" w:line="121"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At the Special Meeting, FS Development stockholders will be asked to consider and vote upon the following proposals (the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320" w:right="479" w:hanging="434"/>
        <w:spacing w:after="0" w:line="282" w:lineRule="auto"/>
        <w:tabs>
          <w:tab w:leader="none" w:pos="13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adopt and approve the Merger Agreement and (b) approve the Business Combination (the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for purposes of complying with the applicable provisions of Nasdaq Stock Exchange Listing Rule 5635 (each, a “</w:t>
      </w:r>
      <w:r>
        <w:rPr>
          <w:rFonts w:ascii="Times New Roman" w:cs="Times New Roman" w:eastAsia="Times New Roman" w:hAnsi="Times New Roman"/>
          <w:sz w:val="18"/>
          <w:szCs w:val="18"/>
          <w:b w:val="1"/>
          <w:bCs w:val="1"/>
          <w:color w:val="auto"/>
        </w:rPr>
        <w:t>Nasdaq Listing Rule</w:t>
      </w:r>
      <w:r>
        <w:rPr>
          <w:rFonts w:ascii="Times New Roman" w:cs="Times New Roman" w:eastAsia="Times New Roman" w:hAnsi="Times New Roman"/>
          <w:sz w:val="18"/>
          <w:szCs w:val="18"/>
          <w:color w:val="auto"/>
        </w:rPr>
        <w:t>”), (a) the issuance of up to 21,500,000 newly issued shares of FS Development Class A Common Stock, par value $0.0001 per share, in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Acquisition of Gemini; Merger Consideration</w:t>
      </w:r>
      <w:r>
        <w:rPr>
          <w:rFonts w:ascii="Times New Roman" w:cs="Times New Roman" w:eastAsia="Times New Roman" w:hAnsi="Times New Roman"/>
          <w:sz w:val="18"/>
          <w:szCs w:val="18"/>
          <w:color w:val="auto"/>
        </w:rPr>
        <w:t>” and (b) the issuance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of 9,506,000 newly issued shares of FS Development Class A Common Stock in a private placement concurrent with the Business Combination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to the extent such issuances would require a stockholder vote under the applicable Nasdaq Listing Rule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 Issuance Proposal</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a proposed second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which will amend and restate the Current Charter, dated August 11, 2020 (the “</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and which Proposed Charter will be in effect upon the closing of the Business Combination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4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following material differences between the Proposed Charter and the Current Charter, which are being presented in accordance with the requirements of the Securities and Exchange Commission as five separate sub-proposals (the “</w:t>
      </w:r>
      <w:r>
        <w:rPr>
          <w:rFonts w:ascii="Times New Roman" w:cs="Times New Roman" w:eastAsia="Times New Roman" w:hAnsi="Times New Roman"/>
          <w:sz w:val="18"/>
          <w:szCs w:val="18"/>
          <w:b w:val="1"/>
          <w:bCs w:val="1"/>
          <w:color w:val="auto"/>
        </w:rPr>
        <w:t>Advisory Charter Proposals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760" w:hanging="442"/>
        <w:spacing w:after="0"/>
        <w:tabs>
          <w:tab w:leader="none" w:pos="1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increase the authorized shares of FS Development Class</w:t>
      </w:r>
    </w:p>
    <w:p>
      <w:pPr>
        <w:spacing w:after="0" w:line="31" w:lineRule="exact"/>
        <w:rPr>
          <w:sz w:val="20"/>
          <w:szCs w:val="20"/>
          <w:color w:val="auto"/>
        </w:rPr>
      </w:pPr>
    </w:p>
    <w:p>
      <w:pPr>
        <w:ind w:left="1760"/>
        <w:spacing w:after="0"/>
        <w:tabs>
          <w:tab w:leader="none" w:pos="3840" w:val="left"/>
        </w:tabs>
        <w:rPr>
          <w:sz w:val="20"/>
          <w:szCs w:val="20"/>
          <w:color w:val="auto"/>
        </w:rPr>
      </w:pPr>
      <w:r>
        <w:rPr>
          <w:rFonts w:ascii="Times New Roman" w:cs="Times New Roman" w:eastAsia="Times New Roman" w:hAnsi="Times New Roman"/>
          <w:sz w:val="18"/>
          <w:szCs w:val="18"/>
          <w:color w:val="auto"/>
        </w:rPr>
        <w:t>A Common Stock to</w:t>
      </w:r>
      <w:r>
        <w:rPr>
          <w:sz w:val="20"/>
          <w:szCs w:val="20"/>
          <w:color w:val="auto"/>
        </w:rPr>
        <w:tab/>
      </w:r>
      <w:r>
        <w:rPr>
          <w:rFonts w:ascii="Times New Roman" w:cs="Times New Roman" w:eastAsia="Times New Roman" w:hAnsi="Times New Roman"/>
          <w:sz w:val="18"/>
          <w:szCs w:val="18"/>
          <w:color w:val="auto"/>
        </w:rPr>
        <w:t>shares;</w:t>
      </w:r>
    </w:p>
    <w:p>
      <w:pPr>
        <w:spacing w:after="0" w:line="135" w:lineRule="exact"/>
        <w:rPr>
          <w:sz w:val="20"/>
          <w:szCs w:val="20"/>
          <w:color w:val="auto"/>
        </w:rPr>
      </w:pPr>
    </w:p>
    <w:p>
      <w:pPr>
        <w:jc w:val="both"/>
        <w:ind w:left="1760" w:right="459" w:hanging="442"/>
        <w:spacing w:after="0" w:line="268" w:lineRule="auto"/>
        <w:tabs>
          <w:tab w:leader="none" w:pos="17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increase the authorized shares of “blank check”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the Combined Entity’s board of directors could issue to discourage a takeover attempt to 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233680</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1760" w:right="459" w:hanging="442"/>
        <w:spacing w:after="0" w:line="263" w:lineRule="auto"/>
        <w:tabs>
          <w:tab w:leader="none" w:pos="183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C </w:t>
      </w:r>
      <w:r>
        <w:rPr>
          <w:rFonts w:ascii="Times New Roman" w:cs="Times New Roman" w:eastAsia="Times New Roman" w:hAnsi="Times New Roman"/>
          <w:sz w:val="18"/>
          <w:szCs w:val="18"/>
          <w:color w:val="auto"/>
        </w:rPr>
        <w:t>— to provide that certain amendments to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Charter will 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w:t>
      </w:r>
    </w:p>
    <w:p>
      <w:pPr>
        <w:spacing w:after="0" w:line="104" w:lineRule="exact"/>
        <w:rPr>
          <w:rFonts w:ascii="Times New Roman" w:cs="Times New Roman" w:eastAsia="Times New Roman" w:hAnsi="Times New Roman"/>
          <w:sz w:val="18"/>
          <w:szCs w:val="18"/>
          <w:color w:val="auto"/>
        </w:rPr>
      </w:pPr>
    </w:p>
    <w:p>
      <w:pPr>
        <w:jc w:val="both"/>
        <w:ind w:left="1760" w:right="459" w:hanging="442"/>
        <w:spacing w:after="0" w:line="259" w:lineRule="auto"/>
        <w:tabs>
          <w:tab w:leader="none" w:pos="1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D — </w:t>
      </w:r>
      <w:r>
        <w:rPr>
          <w:rFonts w:ascii="Times New Roman" w:cs="Times New Roman" w:eastAsia="Times New Roman" w:hAnsi="Times New Roman"/>
          <w:sz w:val="18"/>
          <w:szCs w:val="18"/>
          <w:color w:val="auto"/>
        </w:rPr>
        <w:t>to make the Combined Entity’s corporate existence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11"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80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E </w:t>
      </w:r>
      <w:r>
        <w:rPr>
          <w:rFonts w:ascii="Times New Roman" w:cs="Times New Roman" w:eastAsia="Times New Roman" w:hAnsi="Times New Roman"/>
          <w:sz w:val="18"/>
          <w:szCs w:val="18"/>
          <w:color w:val="auto"/>
        </w:rPr>
        <w:t>— to provide that any amendment to the Amended By-laws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0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the 2020 Stock Option and Incentive Plan (the “</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xml:space="preserve">”), a copy of which is appended to the accompanying proxy statement/prospectus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which will become effective the day prior to the Closing (the “</w:t>
      </w:r>
      <w:r>
        <w:rPr>
          <w:rFonts w:ascii="Times New Roman" w:cs="Times New Roman" w:eastAsia="Times New Roman" w:hAnsi="Times New Roman"/>
          <w:sz w:val="18"/>
          <w:szCs w:val="18"/>
          <w:b w:val="1"/>
          <w:bCs w:val="1"/>
          <w:color w:val="auto"/>
        </w:rPr>
        <w:t>Incentive Plan Proposal</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the Advisory Charter Proposals, or the Incentive Plan Proposal, or we determine that one or more of the closing conditions under the Business Combination is not satisfied or waived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Merger Agreement provides for the merger of Merger Sub with and into Gemini, with Gemini continuing as the surviving entity. Subject to the terms and conditions set forth in the Merger Agreement, at the effective time of the Business Combination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both"/>
        <w:ind w:left="1320" w:right="479" w:hanging="434"/>
        <w:spacing w:after="0" w:line="258" w:lineRule="auto"/>
        <w:tabs>
          <w:tab w:leader="none" w:pos="14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Gemini’s Series B Preferred Stock, Series A Preferred Stock and Common Stock (collectively, “</w:t>
      </w:r>
      <w:r>
        <w:rPr>
          <w:rFonts w:ascii="Times New Roman" w:cs="Times New Roman" w:eastAsia="Times New Roman" w:hAnsi="Times New Roman"/>
          <w:sz w:val="18"/>
          <w:szCs w:val="18"/>
          <w:b w:val="1"/>
          <w:bCs w:val="1"/>
          <w:color w:val="auto"/>
        </w:rPr>
        <w:t>Gemini Stock</w:t>
      </w:r>
      <w:r>
        <w:rPr>
          <w:rFonts w:ascii="Times New Roman" w:cs="Times New Roman" w:eastAsia="Times New Roman" w:hAnsi="Times New Roman"/>
          <w:sz w:val="18"/>
          <w:szCs w:val="18"/>
          <w:color w:val="auto"/>
        </w:rPr>
        <w:t>”) issued and outstanding immediately prior to the Effective Time, whether vested or unvested, will be converted into the right to receive the Merger Consideration (as defined below), with each stockholder of Gemini Stock being entitled to receive its Pro Rata Portion (as defined below) of the Merger Consideration; and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exercisable for Gemini Stock that is outstanding immediately prior to the Effective Time shall be assumed and continue in full force and effect on the same terms and conditions as are currently applicable to such options, subject to adjustments to exercise price and number of shares of FS Development Class A Common Stock issued upon exercise.</w:t>
      </w:r>
    </w:p>
    <w:p>
      <w:pPr>
        <w:spacing w:after="0" w:line="11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Following completion of the Business Combination and assuming no holders of FS Development Class A Common Stock issued in FS Development’s initial public offering (the “</w:t>
      </w:r>
      <w:r>
        <w:rPr>
          <w:rFonts w:ascii="Times New Roman" w:cs="Times New Roman" w:eastAsia="Times New Roman" w:hAnsi="Times New Roman"/>
          <w:sz w:val="18"/>
          <w:szCs w:val="18"/>
          <w:b w:val="1"/>
          <w:bCs w:val="1"/>
          <w:color w:val="auto"/>
        </w:rPr>
        <w:t>FS Development IPO</w:t>
      </w:r>
      <w:r>
        <w:rPr>
          <w:rFonts w:ascii="Times New Roman" w:cs="Times New Roman" w:eastAsia="Times New Roman" w:hAnsi="Times New Roman"/>
          <w:sz w:val="18"/>
          <w:szCs w:val="18"/>
          <w:color w:val="auto"/>
        </w:rPr>
        <w:t>”, and such stock, the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elect to redeem their shares, FS Development Holdings,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the public stockholders, the PIPE Investment investors and holders of Gemini Stock (the “</w:t>
      </w:r>
      <w:r>
        <w:rPr>
          <w:rFonts w:ascii="Times New Roman" w:cs="Times New Roman" w:eastAsia="Times New Roman" w:hAnsi="Times New Roman"/>
          <w:sz w:val="18"/>
          <w:szCs w:val="18"/>
          <w:b w:val="1"/>
          <w:bCs w:val="1"/>
          <w:color w:val="auto"/>
        </w:rPr>
        <w:t>Gemini Equityholders</w:t>
      </w:r>
      <w:r>
        <w:rPr>
          <w:rFonts w:ascii="Times New Roman" w:cs="Times New Roman" w:eastAsia="Times New Roman" w:hAnsi="Times New Roman"/>
          <w:sz w:val="18"/>
          <w:szCs w:val="18"/>
          <w:color w:val="auto"/>
        </w:rPr>
        <w:t>”) will own approximately 7%, 26%, 21% and 46% of the outstanding common stock of the Combined Entity, respectively. These percentages are calculated based on a number of assumptions (described in the accompanying proxy statement/prospectus) and are subject to adjustment in accordance with the terms of the Merger Agreement.</w:t>
      </w:r>
    </w:p>
    <w:p>
      <w:pPr>
        <w:spacing w:after="0" w:line="11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Approval of the Charter Amendment Proposal requires the affirmative vote of a majority of the issued and outstanding shares of FS Development Class A Common Stock and Class B Common stock (collectively, “</w:t>
      </w:r>
      <w:r>
        <w:rPr>
          <w:rFonts w:ascii="Times New Roman" w:cs="Times New Roman" w:eastAsia="Times New Roman" w:hAnsi="Times New Roman"/>
          <w:sz w:val="18"/>
          <w:szCs w:val="18"/>
          <w:b w:val="1"/>
          <w:bCs w:val="1"/>
          <w:color w:val="auto"/>
        </w:rPr>
        <w:t>FS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Development Common Stock</w:t>
      </w:r>
      <w:r>
        <w:rPr>
          <w:rFonts w:ascii="Times New Roman" w:cs="Times New Roman" w:eastAsia="Times New Roman" w:hAnsi="Times New Roman"/>
          <w:sz w:val="18"/>
          <w:szCs w:val="18"/>
          <w:color w:val="auto"/>
        </w:rPr>
        <w:t>”) as of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the Special Meeting,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as a single class. 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(which would include presence at a virtual meeting) or by proxy and entitled to vote thereon at the Special Meeting,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253365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together as a single class. 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Current Charter, FS Development is providing its public stockholders with the opportunity to redeem, upon the Closing, the Public Shares then held by them for cash equal to their pro rata share of the aggregate amount on deposit (as of two business days prior to the closing of the Business Combination) in the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that holds the proceeds (including interest but less franchise and income taxes payable) of the FS Development IPO. For illustrative purposes, based on funds in the Trust Account of</w:t>
      </w:r>
    </w:p>
    <w:p>
      <w:pPr>
        <w:spacing w:after="0" w:line="3" w:lineRule="exact"/>
        <w:rPr>
          <w:sz w:val="20"/>
          <w:szCs w:val="20"/>
          <w:color w:val="auto"/>
        </w:rPr>
      </w:pPr>
    </w:p>
    <w:p>
      <w:pPr>
        <w:ind w:left="460"/>
        <w:spacing w:after="0"/>
        <w:tabs>
          <w:tab w:leader="none" w:pos="2020" w:val="left"/>
        </w:tabs>
        <w:rPr>
          <w:sz w:val="20"/>
          <w:szCs w:val="20"/>
          <w:color w:val="auto"/>
        </w:rPr>
      </w:pPr>
      <w:r>
        <w:rPr>
          <w:rFonts w:ascii="Times New Roman" w:cs="Times New Roman" w:eastAsia="Times New Roman" w:hAnsi="Times New Roman"/>
          <w:sz w:val="18"/>
          <w:szCs w:val="18"/>
          <w:color w:val="auto"/>
        </w:rPr>
        <w:t>approximately $</w:t>
      </w:r>
      <w:r>
        <w:rPr>
          <w:sz w:val="20"/>
          <w:szCs w:val="20"/>
          <w:color w:val="auto"/>
        </w:rPr>
        <w:tab/>
      </w:r>
      <w:r>
        <w:rPr>
          <w:rFonts w:ascii="Times New Roman" w:cs="Times New Roman" w:eastAsia="Times New Roman" w:hAnsi="Times New Roman"/>
          <w:sz w:val="17"/>
          <w:szCs w:val="17"/>
          <w:color w:val="auto"/>
        </w:rPr>
        <w:t>million on September 30, 2020, the estimated per share redemption price would have been</w:t>
      </w:r>
    </w:p>
    <w:p>
      <w:pPr>
        <w:spacing w:after="0" w:line="9"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 xml:space="preserve">approximately $ . </w:t>
      </w:r>
      <w:r>
        <w:rPr>
          <w:rFonts w:ascii="Times New Roman" w:cs="Times New Roman" w:eastAsia="Times New Roman" w:hAnsi="Times New Roman"/>
          <w:sz w:val="18"/>
          <w:szCs w:val="18"/>
          <w:b w:val="1"/>
          <w:bCs w:val="1"/>
          <w:color w:val="auto"/>
        </w:rPr>
        <w:t>Public stockholders may elect to redeem their shares even if they vote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A public stockholder, together with any of his, her or its affiliates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 with whom it is acting in concert or as a “group” (as defined under Section 13 of the Securities Exchange Act of 1934, as amended), will be restricted from redeeming in the aggregate his, her or its shares or, if part of such a group, the group’s shares, with respect to 20% or more of the shares of FS Development Class A Common Stock issued in the FS Development IPO. The Sponsor and FS Development’s other initial stockholders have agreed to waive their redemption rights with respect to any shares of FS Development Common Stock they may hold in connection with the Closing, and such shares will be excluded from the pro rata calculation used to determine the per-share redemption price. In addition, holders of 2,742,529 of our Public Shares have executed non-redemption agreements in which they have agreed to waive their redemption rights with respect to the Public Shares they hold in connection with the Closing. The Sponsor and FS Development’s other initial stockholders have agreed to vote any shares of FS Development Common Stock</w:t>
      </w:r>
    </w:p>
    <w:p>
      <w:pPr>
        <w:spacing w:after="0" w:line="5"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owned by them in favor of the Business Combination Proposal, which represent approximately % of the voting power of FS Development.</w:t>
      </w:r>
    </w:p>
    <w:p>
      <w:pPr>
        <w:spacing w:after="0" w:line="114"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FS Development is providing the accompanying proxy statement/prospectus and accompanying proxy card to FS Development stockholders in connection with the solicitation of proxies to be voted at the Special Meeting and at any adjournments or postponements of the Special Meeting. </w:t>
      </w:r>
      <w:r>
        <w:rPr>
          <w:rFonts w:ascii="Times New Roman" w:cs="Times New Roman" w:eastAsia="Times New Roman" w:hAnsi="Times New Roman"/>
          <w:sz w:val="18"/>
          <w:szCs w:val="18"/>
          <w:b w:val="1"/>
          <w:bCs w:val="1"/>
          <w:color w:val="auto"/>
        </w:rPr>
        <w:t>Whether or not you plan to attend the</w:t>
      </w:r>
    </w:p>
    <w:p>
      <w:pPr>
        <w:spacing w:after="0" w:line="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b w:val="1"/>
          <w:bCs w:val="1"/>
          <w:color w:val="auto"/>
        </w:rPr>
        <w:t>Special Meeting, FS Development urges you to read the accompanying proxy statement/prospectus (and any documents incorporated into the accompanying proxy statement/prospectus by reference) carefully. Please pay particular attention to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10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After careful consideration, the board of directors of FS Development has unanimously approved and adopted the Merger Agreement and the transactions contemplated therein and has determined that each of the Nasdaq Stock Issuance Proposal, Charter Amendment Proposal, Advisory Charter Proposals, Incentive Plan Proposal, and Adjournment Proposal are in the best interests of FS Development and its stockholders and unanimously recommends that you vote or give instruction to vote “FOR” each of those Proposals. When you consider the board of directors’ recommendation of these Proposals, you should keep in mind that the directors and officers of FS Development have interests in the Business Combination that may conflict with your interests as a stockholder. See the section titled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Combination Proposal — Interests of FS Development’s Directors and Officers and Others in the Business Combination</w:t>
      </w:r>
      <w:r>
        <w:rPr>
          <w:rFonts w:ascii="Times New Roman" w:cs="Times New Roman" w:eastAsia="Times New Roman" w:hAnsi="Times New Roman"/>
          <w:sz w:val="18"/>
          <w:szCs w:val="18"/>
          <w:b w:val="1"/>
          <w:bCs w:val="1"/>
          <w:color w:val="auto"/>
        </w:rPr>
        <w:t>.”</w:t>
      </w:r>
    </w:p>
    <w:p>
      <w:pPr>
        <w:spacing w:after="0" w:line="12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redemption of Public Shares by FS Development public stockholders will decrease the amount in the Trust Account, which held total assets of approximately $120,751,489 as of September 30, 2020. FS Development will not redeem Public Shares in an amount that would cause it to have net tangible assets of less than $5,000,001.</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Your vote is very important. If you are a registered stockholder, please vote your shares as soon as possible to ensure that your vote is counted, regardless of whether you expect to attend the Special Meeting virtually,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Special Meeting. The transactions contemplated by the Merger Agreement will be consummated only if the Business Combination Proposal, the Nasdaq Stock Issuance Proposal, the Charter Amendment Proposal, and the Incentive Plan Proposal are approved at the Special Meeting. Approval of the Nasdaq Stock Issuance Proposal, the Charter Amendment Proposal, and the Incentive Plan Proposal are conditioned on the approval of the Business Combination Proposal and satisfaction of other closing conditions. The Adjournment Proposal is not conditioned on the approval of any other Proposal set forth in the accompanying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244475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you sign, date and return your proxy card without indicating how you wish to vote, your proxy will be voted “FOR” each of the Proposals.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TO EXERCISE YOUR REDEMPTION RIGHTS, YOU MUST DEMAND THAT FS DEVELOPMENT REDEEM YOUR SHARES FOR A PRO RATA PORTION OF THE FUNDS HELD IN THE TRUST ACCOUNT AND TENDER YOUR SHARES TO FS DEVELOPMENT’S TRANSFER AGENT AT LEAST TWO BUSINESS DAYS PRIOR TO THE VOTE AT THE SPECIAL MEETING. YOU MAY TENDER YOUR SHARES BY EITHER DELIVERING YOUR SHARE CERTIFICATE TO THE TRANSFER AGENT OR BY DELIVERING YOUR SHARES ELECTRONICALLY TO THE TRANSFER AGENT USING DEPOSITORY TRUST COMPANY’S DEPOSIT WITHDRAWAL AT CUSTODIAN (“</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w:t>
      </w:r>
    </w:p>
    <w:p>
      <w:pPr>
        <w:spacing w:after="0" w:line="12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behalf of FS Development’s board of directors, I would like to thank you for your support and look forward to the successful completion of the Business Combination.</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300355</wp:posOffset>
            </wp:positionV>
            <wp:extent cx="227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Jim Tananbaum</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the accompanying proxy statement/prospectus or determined that the accompanying proxy statement/prospectus is accurate or complete. Any representation to the contrary is a criminal offense.</w:t>
      </w:r>
    </w:p>
    <w:p>
      <w:pPr>
        <w:spacing w:after="0" w:line="11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accompanying proxy statement/prospectus is dated</w:t>
            </w:r>
          </w:p>
        </w:tc>
        <w:tc>
          <w:tcPr>
            <w:tcW w:w="3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2020 and is first being mailed to the</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of FS Development on or about</w:t>
            </w: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 2020.</w:t>
            </w:r>
          </w:p>
        </w:tc>
        <w:tc>
          <w:tcPr>
            <w:tcW w:w="3420" w:type="dxa"/>
            <w:vAlign w:val="bottom"/>
          </w:tcPr>
          <w:p>
            <w:pPr>
              <w:spacing w:after="0"/>
              <w:rPr>
                <w:sz w:val="20"/>
                <w:szCs w:val="20"/>
                <w:color w:val="auto"/>
              </w:rPr>
            </w:pPr>
          </w:p>
        </w:tc>
      </w:tr>
      <w:tr>
        <w:trPr>
          <w:trHeight w:val="392"/>
        </w:trPr>
        <w:tc>
          <w:tcPr>
            <w:tcW w:w="3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FS DEVELOPMENT CORP.</w:t>
      </w:r>
    </w:p>
    <w:p>
      <w:pPr>
        <w:spacing w:after="0" w:line="135" w:lineRule="exact"/>
        <w:rPr>
          <w:sz w:val="20"/>
          <w:szCs w:val="20"/>
          <w:color w:val="auto"/>
        </w:rPr>
      </w:pPr>
    </w:p>
    <w:tbl>
      <w:tblPr>
        <w:tblLayout w:type="fixed"/>
        <w:tblInd w:w="342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Be Held 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2020</w:t>
            </w:r>
          </w:p>
        </w:tc>
      </w:tr>
    </w:tbl>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FS Development Corp.:</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NOTICE IS HEREBY GIVEN that a special meeting of stockholders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of FS</w:t>
      </w:r>
    </w:p>
    <w:p>
      <w:pPr>
        <w:spacing w:after="0" w:line="31"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Development Corp., a Delaware corporation (“</w:t>
      </w:r>
      <w:r>
        <w:rPr>
          <w:rFonts w:ascii="Times New Roman" w:cs="Times New Roman" w:eastAsia="Times New Roman" w:hAnsi="Times New Roman"/>
          <w:sz w:val="18"/>
          <w:szCs w:val="18"/>
          <w:b w:val="1"/>
          <w:bCs w:val="1"/>
          <w:color w:val="auto"/>
        </w:rPr>
        <w:t>FS Development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will be held on , 2020, at , Eastern time, via live webcast at the following address . You will need the 12-digit</w:t>
      </w:r>
    </w:p>
    <w:p>
      <w:pPr>
        <w:spacing w:after="0" w:line="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meeting control number that is printed on your proxy card to enter the Special Meeting. FS Development recommends that you log in at least 15 minutes before the Special Meeting to ensure you are logged in when the Special Meeting starts. Please note that you will not be able to attend the Special Meeting in person. You are cordially invited to attend the Special Meeting for the following purposes (the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320" w:right="459" w:hanging="434"/>
        <w:spacing w:after="0" w:line="254" w:lineRule="auto"/>
        <w:tabs>
          <w:tab w:leader="none" w:pos="14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adopt and approve the Merger Agreement, dated as of October 15, 2020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FS Development, FSG Merger Sub, Inc., a Delaware corporation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wholly-owned subsidiary of FS Development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Gemini Therapeutics, Inc., a Delaware corporation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and Shareholder Representative Services LLC pursuant to which Merger Sub will merge with and into Gemini, with Gemini surviving the merger as a wholly-owned subsidiary of FS Development (the “</w:t>
      </w:r>
      <w:r>
        <w:rPr>
          <w:rFonts w:ascii="Times New Roman" w:cs="Times New Roman" w:eastAsia="Times New Roman" w:hAnsi="Times New Roman"/>
          <w:sz w:val="18"/>
          <w:szCs w:val="18"/>
          <w:b w:val="1"/>
          <w:bCs w:val="1"/>
          <w:color w:val="auto"/>
        </w:rPr>
        <w:t>Combined Entity</w:t>
      </w:r>
      <w:r>
        <w:rPr>
          <w:rFonts w:ascii="Times New Roman" w:cs="Times New Roman" w:eastAsia="Times New Roman" w:hAnsi="Times New Roman"/>
          <w:sz w:val="18"/>
          <w:szCs w:val="18"/>
          <w:color w:val="auto"/>
        </w:rPr>
        <w:t>”) and (b) approve such merger and the other transactions contemplated by the Merger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connection with the Business Combination, FS Development will be renamed “Gemini Therapeutics, Inc.” Subject to the terms and conditions set forth in the Merger Agreement, at the effective time of the Business Combination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1760" w:right="479" w:hanging="442"/>
        <w:spacing w:after="0" w:line="258" w:lineRule="auto"/>
        <w:tabs>
          <w:tab w:leader="none" w:pos="17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Gemini’s Series B Preferred Stock, Series A Preferred Stock and Common Stock (collectively, “</w:t>
      </w:r>
      <w:r>
        <w:rPr>
          <w:rFonts w:ascii="Times New Roman" w:cs="Times New Roman" w:eastAsia="Times New Roman" w:hAnsi="Times New Roman"/>
          <w:sz w:val="18"/>
          <w:szCs w:val="18"/>
          <w:b w:val="1"/>
          <w:bCs w:val="1"/>
          <w:color w:val="auto"/>
        </w:rPr>
        <w:t>Gemini Stock</w:t>
      </w:r>
      <w:r>
        <w:rPr>
          <w:rFonts w:ascii="Times New Roman" w:cs="Times New Roman" w:eastAsia="Times New Roman" w:hAnsi="Times New Roman"/>
          <w:sz w:val="18"/>
          <w:szCs w:val="18"/>
          <w:color w:val="auto"/>
        </w:rPr>
        <w:t>”) issued and outstanding immediately prior to the Effective Time, whether vested or unvested, will be converted into the right to receive the Merger Consideration (as defined below), with each stockholder of Gemini Stock being entitled to receiving its Pro Rata Portion (as defined below) of the Merger Consideration; and</w:t>
      </w:r>
    </w:p>
    <w:p>
      <w:pPr>
        <w:spacing w:after="0" w:line="115"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exercisable for Gemini Stock that is outstanding immediately prior to the Effective Time shall be assumed and continue in full force and effect on the same terms and conditions as are currently applicable to such options, subject to adjustments to exercise price and number of shares of FS Development Class A Common Stock issued upon exercise.</w:t>
      </w:r>
    </w:p>
    <w:p>
      <w:pPr>
        <w:spacing w:after="0" w:line="108" w:lineRule="exact"/>
        <w:rPr>
          <w:sz w:val="20"/>
          <w:szCs w:val="20"/>
          <w:color w:val="auto"/>
        </w:rPr>
      </w:pPr>
    </w:p>
    <w:p>
      <w:pPr>
        <w:ind w:left="1320" w:right="459"/>
        <w:spacing w:after="0" w:line="286" w:lineRule="auto"/>
        <w:rPr>
          <w:sz w:val="20"/>
          <w:szCs w:val="20"/>
          <w:color w:val="auto"/>
        </w:rPr>
      </w:pPr>
      <w:r>
        <w:rPr>
          <w:rFonts w:ascii="Times New Roman" w:cs="Times New Roman" w:eastAsia="Times New Roman" w:hAnsi="Times New Roman"/>
          <w:sz w:val="18"/>
          <w:szCs w:val="18"/>
          <w:color w:val="auto"/>
        </w:rPr>
        <w:t>We refer to this proposal as the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xml:space="preserve">.” A copy of the Merger Agreement is attached to the accompanying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ind w:left="1320" w:right="459" w:hanging="434"/>
        <w:spacing w:after="0" w:line="253" w:lineRule="auto"/>
        <w:tabs>
          <w:tab w:leader="none" w:pos="1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for purposes of complying with the applicable provisions of Nasdaq Stock Exchange Listing Rule 5635 (each, a “</w:t>
      </w:r>
      <w:r>
        <w:rPr>
          <w:rFonts w:ascii="Times New Roman" w:cs="Times New Roman" w:eastAsia="Times New Roman" w:hAnsi="Times New Roman"/>
          <w:sz w:val="18"/>
          <w:szCs w:val="18"/>
          <w:b w:val="1"/>
          <w:bCs w:val="1"/>
          <w:color w:val="auto"/>
        </w:rPr>
        <w:t>Nasdaq Listing Rule</w:t>
      </w:r>
      <w:r>
        <w:rPr>
          <w:rFonts w:ascii="Times New Roman" w:cs="Times New Roman" w:eastAsia="Times New Roman" w:hAnsi="Times New Roman"/>
          <w:sz w:val="18"/>
          <w:szCs w:val="18"/>
          <w:color w:val="auto"/>
        </w:rPr>
        <w:t>”), (a) the issuance of up to 21,500,000 newly issued shares of FS Development Class A Common Stock, par value $0.0001 per share, in the Business Combination, which amount will be determined as described in more detail in the accompanying proxy statement/prospectus under the heading titled “</w:t>
      </w:r>
      <w:r>
        <w:rPr>
          <w:rFonts w:ascii="Times New Roman" w:cs="Times New Roman" w:eastAsia="Times New Roman" w:hAnsi="Times New Roman"/>
          <w:sz w:val="18"/>
          <w:szCs w:val="18"/>
          <w:i w:val="1"/>
          <w:iCs w:val="1"/>
          <w:color w:val="auto"/>
        </w:rPr>
        <w:t>The Business Combination Proposal —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Gemini; Merger Consideration</w:t>
      </w:r>
      <w:r>
        <w:rPr>
          <w:rFonts w:ascii="Times New Roman" w:cs="Times New Roman" w:eastAsia="Times New Roman" w:hAnsi="Times New Roman"/>
          <w:sz w:val="18"/>
          <w:szCs w:val="18"/>
          <w:color w:val="auto"/>
        </w:rPr>
        <w:t>” and (b) the issuance and sale of 9,506,000 newly issued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FS Development Class A Common Stock in a private placement concurrent with the Business Combination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to the extent such issuances would require a stockholder vote under the applicable Nasdaq Listing Rule (the “</w:t>
      </w:r>
      <w:r>
        <w:rPr>
          <w:rFonts w:ascii="Times New Roman" w:cs="Times New Roman" w:eastAsia="Times New Roman" w:hAnsi="Times New Roman"/>
          <w:sz w:val="18"/>
          <w:szCs w:val="18"/>
          <w:b w:val="1"/>
          <w:bCs w:val="1"/>
          <w:color w:val="auto"/>
        </w:rPr>
        <w:t>Nasdaq Stock Issuance Proposal</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a proposed second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which will amend and restate the Current Charter, dated August 11, 2020 (the “</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and which Proposed Charter will be in effect upon the closing of the Business Combination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239395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1" w:lineRule="auto"/>
        <w:tabs>
          <w:tab w:leader="none" w:pos="1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following material differences between the Proposed Charter and the Current Charter, which are being presented in accordance with the requirements of the Securities and Exchange Commission as five separate sub-proposals (the “</w:t>
      </w:r>
      <w:r>
        <w:rPr>
          <w:rFonts w:ascii="Times New Roman" w:cs="Times New Roman" w:eastAsia="Times New Roman" w:hAnsi="Times New Roman"/>
          <w:sz w:val="18"/>
          <w:szCs w:val="18"/>
          <w:b w:val="1"/>
          <w:bCs w:val="1"/>
          <w:color w:val="auto"/>
        </w:rPr>
        <w:t>Advisory Charter Proposals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740" w:hanging="422"/>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A — to increase the authorized shares of FS Development Class A</w:t>
      </w:r>
    </w:p>
    <w:p>
      <w:pPr>
        <w:spacing w:after="0" w:line="27" w:lineRule="exact"/>
        <w:rPr>
          <w:sz w:val="20"/>
          <w:szCs w:val="20"/>
          <w:color w:val="auto"/>
        </w:rPr>
      </w:pPr>
    </w:p>
    <w:p>
      <w:pPr>
        <w:ind w:left="1760"/>
        <w:spacing w:after="0"/>
        <w:tabs>
          <w:tab w:leader="none" w:pos="3440" w:val="left"/>
        </w:tabs>
        <w:rPr>
          <w:sz w:val="20"/>
          <w:szCs w:val="20"/>
          <w:color w:val="auto"/>
        </w:rPr>
      </w:pPr>
      <w:r>
        <w:rPr>
          <w:rFonts w:ascii="Times New Roman" w:cs="Times New Roman" w:eastAsia="Times New Roman" w:hAnsi="Times New Roman"/>
          <w:sz w:val="18"/>
          <w:szCs w:val="18"/>
          <w:color w:val="auto"/>
        </w:rPr>
        <w:t>Common Stock to</w:t>
      </w:r>
      <w:r>
        <w:rPr>
          <w:sz w:val="20"/>
          <w:szCs w:val="20"/>
          <w:color w:val="auto"/>
        </w:rPr>
        <w:tab/>
      </w:r>
      <w:r>
        <w:rPr>
          <w:rFonts w:ascii="Times New Roman" w:cs="Times New Roman" w:eastAsia="Times New Roman" w:hAnsi="Times New Roman"/>
          <w:sz w:val="18"/>
          <w:szCs w:val="18"/>
          <w:color w:val="auto"/>
        </w:rPr>
        <w:t>shares;</w:t>
      </w:r>
    </w:p>
    <w:p>
      <w:pPr>
        <w:spacing w:after="0" w:line="139" w:lineRule="exact"/>
        <w:rPr>
          <w:sz w:val="20"/>
          <w:szCs w:val="20"/>
          <w:color w:val="auto"/>
        </w:rPr>
      </w:pPr>
    </w:p>
    <w:p>
      <w:pPr>
        <w:jc w:val="both"/>
        <w:ind w:left="1760" w:right="459" w:hanging="442"/>
        <w:spacing w:after="0" w:line="266" w:lineRule="auto"/>
        <w:tabs>
          <w:tab w:leader="none" w:pos="174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B — to increase the authorized shares of “blank check” preferred stock that the Combined Entity’s board of directors could issue to discourage a takeover attempt to 10,000,000 shares;</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8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C — to provide that certain amendments to provisions of the Proposed Charter will require the approval of at least 662/3% of the Combined Entity’s then-outstanding shares of capital stock entitled to vote on such amendment;</w:t>
      </w:r>
    </w:p>
    <w:p>
      <w:pPr>
        <w:spacing w:after="0" w:line="108" w:lineRule="exact"/>
        <w:rPr>
          <w:rFonts w:ascii="Times New Roman" w:cs="Times New Roman" w:eastAsia="Times New Roman" w:hAnsi="Times New Roman"/>
          <w:sz w:val="18"/>
          <w:szCs w:val="18"/>
          <w:color w:val="auto"/>
        </w:rPr>
      </w:pPr>
    </w:p>
    <w:p>
      <w:pPr>
        <w:jc w:val="both"/>
        <w:ind w:left="1760" w:right="479" w:hanging="442"/>
        <w:spacing w:after="0" w:line="258" w:lineRule="auto"/>
        <w:tabs>
          <w:tab w:leader="none" w:pos="172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D — to make the Combined Entity’s corporate existence 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15" w:lineRule="exact"/>
        <w:rPr>
          <w:rFonts w:ascii="Times New Roman" w:cs="Times New Roman" w:eastAsia="Times New Roman" w:hAnsi="Times New Roman"/>
          <w:sz w:val="18"/>
          <w:szCs w:val="18"/>
          <w:color w:val="auto"/>
        </w:rPr>
      </w:pPr>
    </w:p>
    <w:p>
      <w:pPr>
        <w:jc w:val="both"/>
        <w:ind w:left="1760" w:right="459" w:hanging="442"/>
        <w:spacing w:after="0" w:line="254" w:lineRule="auto"/>
        <w:tabs>
          <w:tab w:leader="none" w:pos="175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E — to provide that any amendment to the Amended By-laws will 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0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the 2020 Stock Option and Incentive Plan (the “</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xml:space="preserve">”), a copy of which is appended to the accompanying proxy statement/prospectus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which will become effective the day prior to the Closing (the “</w:t>
      </w:r>
      <w:r>
        <w:rPr>
          <w:rFonts w:ascii="Times New Roman" w:cs="Times New Roman" w:eastAsia="Times New Roman" w:hAnsi="Times New Roman"/>
          <w:sz w:val="18"/>
          <w:szCs w:val="18"/>
          <w:b w:val="1"/>
          <w:bCs w:val="1"/>
          <w:color w:val="auto"/>
        </w:rPr>
        <w:t>Incentive Plan Proposal</w:t>
      </w:r>
      <w:r>
        <w:rPr>
          <w:rFonts w:ascii="Times New Roman" w:cs="Times New Roman" w:eastAsia="Times New Roman" w:hAnsi="Times New Roman"/>
          <w:sz w:val="18"/>
          <w:szCs w:val="18"/>
          <w:color w:val="auto"/>
        </w:rPr>
        <w:t>”); and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the Advisory Charter Proposals, or the Incentive Plan Proposal, or we determine that one or more of the closing conditions under the Business Combination is not satisfied or waived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Only holders of record of FS Development Common Stock at the close of business on , 2020 (the “</w:t>
      </w:r>
      <w:r>
        <w:rPr>
          <w:rFonts w:ascii="Times New Roman" w:cs="Times New Roman" w:eastAsia="Times New Roman" w:hAnsi="Times New Roman"/>
          <w:sz w:val="18"/>
          <w:szCs w:val="18"/>
          <w:b w:val="1"/>
          <w:bCs w:val="1"/>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are entitled to notice of the Special Meeting and to vote at the Special Meeting and any adjournments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postponements of the Special Meeting. A complete list of FS Development stockholders of record entitled to vote at the Special Meeting will be available for ten days before the Special Meeting at the principal executive offices of FS Development for inspection by stockholders during ordinary business hours for any purpose germane to the Special Meeting.</w:t>
      </w:r>
    </w:p>
    <w:p>
      <w:pPr>
        <w:spacing w:after="0" w:line="10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Pursuant to the Current Charter, FS Development is providing its public stockholders with the opportunity to redeem, upon the Closing, the shares of FS Development Class A Common Stock issued in FS Development’s initial public offering (the “</w:t>
      </w:r>
      <w:r>
        <w:rPr>
          <w:rFonts w:ascii="Times New Roman" w:cs="Times New Roman" w:eastAsia="Times New Roman" w:hAnsi="Times New Roman"/>
          <w:sz w:val="18"/>
          <w:szCs w:val="18"/>
          <w:b w:val="1"/>
          <w:bCs w:val="1"/>
          <w:color w:val="auto"/>
        </w:rPr>
        <w:t>FS Development IPO</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then held by them for cash equal to their pro rata share of the aggregate amount on deposit (as of two business days prior to the Closing) in the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xml:space="preserve">”) that holds the proceeds (including interest but less franchise and income taxes payable) of the FS Development IPO. For illustrative purposes, based on funds in the Trust Account of approximately $120,751,489 on September 30, 2020, the estimated per share redemption price would have been approximately $10.73. </w:t>
      </w:r>
      <w:r>
        <w:rPr>
          <w:rFonts w:ascii="Times New Roman" w:cs="Times New Roman" w:eastAsia="Times New Roman" w:hAnsi="Times New Roman"/>
          <w:sz w:val="18"/>
          <w:szCs w:val="18"/>
          <w:b w:val="1"/>
          <w:bCs w:val="1"/>
          <w:color w:val="auto"/>
        </w:rPr>
        <w:t>Public stockholders may elect to redeem their shares even if they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vote for the Business Combination Proposal</w:t>
      </w:r>
      <w:r>
        <w:rPr>
          <w:rFonts w:ascii="Times New Roman" w:cs="Times New Roman" w:eastAsia="Times New Roman" w:hAnsi="Times New Roman"/>
          <w:sz w:val="18"/>
          <w:szCs w:val="18"/>
          <w:color w:val="auto"/>
        </w:rPr>
        <w:t>. A public stockholder, together with any of his, her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or any other person with whom it is acting in concert or as a “group” (as defined under Section 13 of the Exchange Act), will be restricted from redeeming in the aggregate his, her or its shares or, if part of such a group, the group’s shares, with respect to 20% or more of the shares of FS Development Class A Common Stock issued in the FS Development IPO. The Sponsor and FS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250825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other initial stockholders have agreed to waive their redemption rights with respect to any shares of FS Development Common Stock they may hold in connection with the Closing, and such shares will be excluded from the pro rata calculation used to determine the per-share redemption price. In addition, holders of 2,742,529 of our Public Shares have executed non-redemption agreements in which they have agreed to waive their redemption rights with respect to the Public Shares they hold in connection with the Closing. The Sponsor and FS Development’s other initial stockholders have agreed to vote any shares of FS Development Common Stock</w:t>
      </w:r>
    </w:p>
    <w:p>
      <w:pPr>
        <w:spacing w:after="0" w:line="5"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owned by them in favor of the Business Combination Proposal, which represent approximately % of the voting power of FS Development.</w:t>
      </w:r>
    </w:p>
    <w:p>
      <w:pPr>
        <w:spacing w:after="0" w:line="11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shares of FS Development Common Stock as of the Record Date for the Special Meeting, voting together as a single class. 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(which would include presence at a virtual meeting) or by proxy and entitled to vote thereon at the Special Meeting, voting together as a single class. 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of September 30, 2020, there was approximately $120,751,489 in the Trust Account. Each redemption of Public Shares by its public stockholders will decrease the amount in the Trust Account. FS Development will not redeem Public Shares in an amount that would cause it to have net tangible assets of less than $5,000,001.</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Your attention is directed to the proxy statement/prospectus accompanying this notice (including the annexes thereto) for a more complete description of the proposed Business Combination and related transactions and each of the Proposals. We encourage you to read this proxy statement/prospectus carefully. If you have any questions or need assistance voting your shares, please call us at (415) 877-4887.</w:t>
      </w:r>
    </w:p>
    <w:p>
      <w:pPr>
        <w:spacing w:after="0" w:line="1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2020</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2168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288925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18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900" w:type="dxa"/>
            <w:vAlign w:val="bottom"/>
            <w:tcBorders>
              <w:bottom w:val="single" w:sz="8" w:color="CCEEFF"/>
            </w:tcBorders>
          </w:tcPr>
          <w:p>
            <w:pPr>
              <w:spacing w:after="0"/>
              <w:rPr>
                <w:sz w:val="4"/>
                <w:szCs w:val="4"/>
                <w:color w:val="auto"/>
              </w:rPr>
            </w:pPr>
          </w:p>
        </w:tc>
        <w:tc>
          <w:tcPr>
            <w:tcW w:w="29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ABOUT THIS PROXY STATEMENT/PROSPECTUS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FREQUENTLY USED TERMS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QUESTIONS AND ANSWERS ABOUT THE PROPOSALS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SUMMARY OF THE PROXY STATEMENT/PROSPECTUS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SUMMARY FINANCIAL AND OTHER DATA OF GEMINI</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SUMMARY FINANCIAL AND OTHER DATA OF FS DEVELOPMENT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75"/>
        </w:trPr>
        <w:tc>
          <w:tcPr>
            <w:tcW w:w="626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SUMMARY UNAUDITED PRO FORMA CONDENSED COMBINED FINANCIAL</w:t>
              </w:r>
            </w:hyperlink>
          </w:p>
        </w:tc>
        <w:tc>
          <w:tcPr>
            <w:tcW w:w="1020" w:type="dxa"/>
            <w:vAlign w:val="bottom"/>
            <w:tcBorders>
              <w:bottom w:val="single" w:sz="8" w:color="CCEEFF"/>
            </w:tcBorders>
            <w:gridSpan w:val="3"/>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6"/>
            <w:shd w:val="clear" w:color="auto" w:fill="CCEEFF"/>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INFORMATION</w:t>
              </w:r>
            </w:hyperlink>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CCEEFF"/>
            </w:tcBorders>
            <w:shd w:val="clear" w:color="auto" w:fill="CCEEFF"/>
          </w:tcPr>
          <w:p>
            <w:pPr>
              <w:spacing w:after="0"/>
              <w:rPr>
                <w:sz w:val="5"/>
                <w:szCs w:val="5"/>
                <w:color w:val="auto"/>
              </w:rPr>
            </w:pPr>
          </w:p>
        </w:tc>
        <w:tc>
          <w:tcPr>
            <w:tcW w:w="29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COMPARATIVE SHARE INFORMATION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RISK FACTORS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CAUTIONARY NOTE REGARDING FORWARD-LOOKING STATEMENTS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SPECIAL MEETING OF FS DEVELOPMENT STOCKHOLDERS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THE BUSINESS COMBINATION PROPOSAL</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33">
              <w:r>
                <w:rPr>
                  <w:rFonts w:ascii="Times New Roman" w:cs="Times New Roman" w:eastAsia="Times New Roman" w:hAnsi="Times New Roman"/>
                  <w:sz w:val="18"/>
                  <w:szCs w:val="18"/>
                  <w:u w:val="single" w:color="auto"/>
                  <w:color w:val="0000EE"/>
                </w:rPr>
                <w:t>THE NASDAQ STOCK ISSUANCE PROPOSAL</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46">
              <w:r>
                <w:rPr>
                  <w:rFonts w:ascii="Times New Roman" w:cs="Times New Roman" w:eastAsia="Times New Roman" w:hAnsi="Times New Roman"/>
                  <w:sz w:val="18"/>
                  <w:szCs w:val="18"/>
                  <w:u w:val="single" w:color="auto"/>
                  <w:color w:val="0000EE"/>
                </w:rPr>
                <w:t>INFORMATION ABOUT FS DEVELOPMENT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134</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EXECUTIVE OFFICERS AND DIRECTORS OF FS DEVELOPMENT</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137</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55">
              <w:r>
                <w:rPr>
                  <w:rFonts w:ascii="Times New Roman" w:cs="Times New Roman" w:eastAsia="Times New Roman" w:hAnsi="Times New Roman"/>
                  <w:sz w:val="18"/>
                  <w:szCs w:val="18"/>
                  <w:u w:val="single" w:color="auto"/>
                  <w:color w:val="0000EE"/>
                </w:rPr>
                <w:t>SELECTED FINANCIAL AND OTHER DATA OF FS DEVELOPMENT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76"/>
        </w:trPr>
        <w:tc>
          <w:tcPr>
            <w:tcW w:w="728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MANAGEMENT’S DISCUSSION AND ANALYSIS OF RESULTS OF FINANCIAL</w:t>
              </w:r>
            </w:hyperlink>
          </w:p>
        </w:tc>
        <w:tc>
          <w:tcPr>
            <w:tcW w:w="820" w:type="dxa"/>
            <w:vAlign w:val="bottom"/>
            <w:shd w:val="clear" w:color="auto" w:fill="CCEEFF"/>
          </w:tcPr>
          <w:p>
            <w:pPr>
              <w:spacing w:after="0"/>
              <w:rPr>
                <w:sz w:val="15"/>
                <w:szCs w:val="15"/>
                <w:color w:val="auto"/>
              </w:rPr>
            </w:pPr>
          </w:p>
        </w:tc>
      </w:tr>
      <w:tr>
        <w:trPr>
          <w:trHeight w:val="257"/>
        </w:trPr>
        <w:tc>
          <w:tcPr>
            <w:tcW w:w="180" w:type="dxa"/>
            <w:vAlign w:val="bottom"/>
            <w:tcBorders>
              <w:top w:val="single" w:sz="8" w:color="0000EE"/>
              <w:bottom w:val="single" w:sz="8" w:color="CCEEFF"/>
            </w:tcBorders>
            <w:shd w:val="clear" w:color="auto" w:fill="CCEEFF"/>
          </w:tcPr>
          <w:p>
            <w:pPr>
              <w:spacing w:after="0"/>
              <w:rPr>
                <w:sz w:val="22"/>
                <w:szCs w:val="22"/>
                <w:color w:val="auto"/>
              </w:rPr>
            </w:pPr>
          </w:p>
        </w:tc>
        <w:tc>
          <w:tcPr>
            <w:tcW w:w="6100" w:type="dxa"/>
            <w:vAlign w:val="bottom"/>
            <w:tcBorders>
              <w:top w:val="single" w:sz="8" w:color="0000EE"/>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56">
              <w:r>
                <w:rPr>
                  <w:rFonts w:ascii="Times New Roman" w:cs="Times New Roman" w:eastAsia="Times New Roman" w:hAnsi="Times New Roman"/>
                  <w:sz w:val="18"/>
                  <w:szCs w:val="18"/>
                  <w:u w:val="single" w:color="auto"/>
                  <w:color w:val="0000EE"/>
                </w:rPr>
                <w:t>CONDITION AND RESULTS OF OPERATIONS OF FS DEVELOPMENT</w:t>
              </w:r>
            </w:hyperlink>
          </w:p>
        </w:tc>
        <w:tc>
          <w:tcPr>
            <w:tcW w:w="10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8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144</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60">
              <w:r>
                <w:rPr>
                  <w:rFonts w:ascii="Times New Roman" w:cs="Times New Roman" w:eastAsia="Times New Roman" w:hAnsi="Times New Roman"/>
                  <w:sz w:val="18"/>
                  <w:szCs w:val="18"/>
                  <w:u w:val="single" w:color="auto"/>
                  <w:color w:val="0000EE"/>
                </w:rPr>
                <w:t>INFORMATION ABOUT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148</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77">
              <w:r>
                <w:rPr>
                  <w:rFonts w:ascii="Times New Roman" w:cs="Times New Roman" w:eastAsia="Times New Roman" w:hAnsi="Times New Roman"/>
                  <w:sz w:val="18"/>
                  <w:szCs w:val="18"/>
                  <w:u w:val="single" w:color="auto"/>
                  <w:color w:val="0000EE"/>
                </w:rPr>
                <w:t>EXECUTIVE OFFICERS AND DIRECTORS OF GEMINI</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165</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80">
              <w:r>
                <w:rPr>
                  <w:rFonts w:ascii="Times New Roman" w:cs="Times New Roman" w:eastAsia="Times New Roman" w:hAnsi="Times New Roman"/>
                  <w:sz w:val="18"/>
                  <w:szCs w:val="18"/>
                  <w:u w:val="single" w:color="auto"/>
                  <w:color w:val="0000EE"/>
                </w:rPr>
                <w:t>EXECUTIVE COMPENSATION OF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168</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86">
              <w:r>
                <w:rPr>
                  <w:rFonts w:ascii="Times New Roman" w:cs="Times New Roman" w:eastAsia="Times New Roman" w:hAnsi="Times New Roman"/>
                  <w:sz w:val="18"/>
                  <w:szCs w:val="18"/>
                  <w:u w:val="single" w:color="auto"/>
                  <w:color w:val="0000EE"/>
                </w:rPr>
                <w:t>MANAGEMENT AFTER THE BUSINESS COMBINATION</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174</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89">
              <w:r>
                <w:rPr>
                  <w:rFonts w:ascii="Times New Roman" w:cs="Times New Roman" w:eastAsia="Times New Roman" w:hAnsi="Times New Roman"/>
                  <w:sz w:val="18"/>
                  <w:szCs w:val="18"/>
                  <w:u w:val="single" w:color="auto"/>
                  <w:color w:val="0000EE"/>
                </w:rPr>
                <w:t>SELECTED CONSOLIDATED FINANCIAL AND OTHER DATA OF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177</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76"/>
        </w:trPr>
        <w:tc>
          <w:tcPr>
            <w:tcW w:w="668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90">
              <w:r>
                <w:rPr>
                  <w:rFonts w:ascii="Times New Roman" w:cs="Times New Roman" w:eastAsia="Times New Roman" w:hAnsi="Times New Roman"/>
                  <w:sz w:val="18"/>
                  <w:szCs w:val="18"/>
                  <w:color w:val="0000EE"/>
                  <w:w w:val="99"/>
                </w:rPr>
                <w:t>MANAGEMENT’S DISCUSSION AND ANALYSIS OF FINANCIAL CONDITION AND</w:t>
              </w:r>
            </w:hyperlink>
          </w:p>
        </w:tc>
        <w:tc>
          <w:tcPr>
            <w:tcW w:w="6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6"/>
            <w:shd w:val="clear" w:color="auto" w:fill="CCEEFF"/>
          </w:tcPr>
          <w:p>
            <w:pPr>
              <w:spacing w:after="0" w:line="196" w:lineRule="exact"/>
              <w:rPr>
                <w:rFonts w:ascii="Times New Roman" w:cs="Times New Roman" w:eastAsia="Times New Roman" w:hAnsi="Times New Roman"/>
                <w:sz w:val="18"/>
                <w:szCs w:val="18"/>
                <w:color w:val="0000EE"/>
              </w:rPr>
            </w:pPr>
            <w:hyperlink w:anchor="page190">
              <w:r>
                <w:rPr>
                  <w:rFonts w:ascii="Times New Roman" w:cs="Times New Roman" w:eastAsia="Times New Roman" w:hAnsi="Times New Roman"/>
                  <w:sz w:val="18"/>
                  <w:szCs w:val="18"/>
                  <w:color w:val="0000EE"/>
                </w:rPr>
                <w:t>RESULTS OF OPERATIONS OF GEMINI</w:t>
              </w:r>
            </w:hyperlink>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178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29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06">
              <w:r>
                <w:rPr>
                  <w:rFonts w:ascii="Times New Roman" w:cs="Times New Roman" w:eastAsia="Times New Roman" w:hAnsi="Times New Roman"/>
                  <w:sz w:val="18"/>
                  <w:szCs w:val="18"/>
                  <w:u w:val="single" w:color="auto"/>
                  <w:color w:val="0000EE"/>
                </w:rPr>
                <w:t>DESCRIPTION OF SECURITIES AFTER THE BUSINESS COMBINATION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194</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09">
              <w:r>
                <w:rPr>
                  <w:rFonts w:ascii="Times New Roman" w:cs="Times New Roman" w:eastAsia="Times New Roman" w:hAnsi="Times New Roman"/>
                  <w:sz w:val="18"/>
                  <w:szCs w:val="18"/>
                  <w:u w:val="single" w:color="auto"/>
                  <w:color w:val="0000EE"/>
                </w:rPr>
                <w:t>SHARES ELIGIBLE FOR FUTURE SALE</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197</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COMPARISON OF STOCKHOLDER RIGHTS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199</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TICKER SYMBOL, MARKET PRICE AND DIVIDEND POLICY</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208</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21">
              <w:r>
                <w:rPr>
                  <w:rFonts w:ascii="Times New Roman" w:cs="Times New Roman" w:eastAsia="Times New Roman" w:hAnsi="Times New Roman"/>
                  <w:sz w:val="18"/>
                  <w:szCs w:val="18"/>
                  <w:u w:val="single" w:color="auto"/>
                  <w:color w:val="0000EE"/>
                </w:rPr>
                <w:t>SECURITY OWNERSHIP OF CERTAIN BENEFICIAL OWNERS AND MANAGEMENT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209</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CERTAIN RELATIONSHIPS AND RELATED PERSON TRANSACTIONS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212</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29">
              <w:r>
                <w:rPr>
                  <w:rFonts w:ascii="Times New Roman" w:cs="Times New Roman" w:eastAsia="Times New Roman" w:hAnsi="Times New Roman"/>
                  <w:sz w:val="18"/>
                  <w:szCs w:val="18"/>
                  <w:u w:val="single" w:color="auto"/>
                  <w:color w:val="0000EE"/>
                </w:rPr>
                <w:t>ADDITIONAL INFORMATION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31">
              <w:r>
                <w:rPr>
                  <w:rFonts w:ascii="Times New Roman" w:cs="Times New Roman" w:eastAsia="Times New Roman" w:hAnsi="Times New Roman"/>
                  <w:sz w:val="18"/>
                  <w:szCs w:val="18"/>
                  <w:u w:val="single" w:color="auto"/>
                  <w:color w:val="0000EE"/>
                </w:rPr>
                <w:t>WHERE YOU CAN FIND MORE INFORMATION</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219</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32">
              <w:r>
                <w:rPr>
                  <w:rFonts w:ascii="Times New Roman" w:cs="Times New Roman" w:eastAsia="Times New Roman" w:hAnsi="Times New Roman"/>
                  <w:sz w:val="18"/>
                  <w:szCs w:val="18"/>
                  <w:u w:val="single" w:color="auto"/>
                  <w:color w:val="0000EE"/>
                </w:rPr>
                <w:t>INDEX TO FINANCIAL STATEMENTS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r>
        <w:trPr>
          <w:trHeight w:val="216"/>
        </w:trPr>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A </w:t>
            </w:r>
            <w:hyperlink w:anchor="page295">
              <w:r>
                <w:rPr>
                  <w:rFonts w:ascii="Times New Roman" w:cs="Times New Roman" w:eastAsia="Times New Roman" w:hAnsi="Times New Roman"/>
                  <w:sz w:val="18"/>
                  <w:szCs w:val="18"/>
                  <w:u w:val="single" w:color="auto"/>
                  <w:color w:val="0000EE"/>
                </w:rPr>
                <w:t>Merger Agreement</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r>
      <w:tr>
        <w:trPr>
          <w:trHeight w:val="243"/>
        </w:trPr>
        <w:tc>
          <w:tcPr>
            <w:tcW w:w="7280" w:type="dxa"/>
            <w:vAlign w:val="bottom"/>
            <w:gridSpan w:val="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B </w:t>
            </w:r>
            <w:hyperlink w:anchor="page484">
              <w:r>
                <w:rPr>
                  <w:rFonts w:ascii="Times New Roman" w:cs="Times New Roman" w:eastAsia="Times New Roman" w:hAnsi="Times New Roman"/>
                  <w:sz w:val="18"/>
                  <w:szCs w:val="18"/>
                  <w:u w:val="single" w:color="auto"/>
                  <w:color w:val="0000EE"/>
                </w:rPr>
                <w:t>Form of Amended and Restated Certificate of Incorporation of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C </w:t>
            </w:r>
            <w:hyperlink w:anchor="page489">
              <w:r>
                <w:rPr>
                  <w:rFonts w:ascii="Times New Roman" w:cs="Times New Roman" w:eastAsia="Times New Roman" w:hAnsi="Times New Roman"/>
                  <w:sz w:val="18"/>
                  <w:szCs w:val="18"/>
                  <w:u w:val="single" w:color="auto"/>
                  <w:color w:val="0000EE"/>
                </w:rPr>
                <w:t>Form of Amended and Restated Bylaws of Gemini</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C-1</w:t>
            </w:r>
          </w:p>
        </w:tc>
      </w:tr>
      <w:tr>
        <w:trPr>
          <w:trHeight w:val="243"/>
        </w:trPr>
        <w:tc>
          <w:tcPr>
            <w:tcW w:w="7280" w:type="dxa"/>
            <w:vAlign w:val="bottom"/>
            <w:gridSpan w:val="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D </w:t>
            </w:r>
            <w:hyperlink w:anchor="page505">
              <w:r>
                <w:rPr>
                  <w:rFonts w:ascii="Times New Roman" w:cs="Times New Roman" w:eastAsia="Times New Roman" w:hAnsi="Times New Roman"/>
                  <w:sz w:val="18"/>
                  <w:szCs w:val="18"/>
                  <w:u w:val="single" w:color="auto"/>
                  <w:color w:val="0000EE"/>
                </w:rPr>
                <w:t>Gemini 2020 Stock Option and Incentive Plan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7280" w:type="dxa"/>
            <w:vAlign w:val="bottom"/>
            <w:gridSpan w:val="7"/>
            <w:shd w:val="clear" w:color="auto" w:fill="CCEEFF"/>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E </w:t>
            </w:r>
            <w:hyperlink w:anchor="page517">
              <w:r>
                <w:rPr>
                  <w:rFonts w:ascii="Times New Roman" w:cs="Times New Roman" w:eastAsia="Times New Roman" w:hAnsi="Times New Roman"/>
                  <w:sz w:val="18"/>
                  <w:szCs w:val="18"/>
                  <w:u w:val="single" w:color="auto"/>
                  <w:color w:val="0000EE"/>
                </w:rPr>
                <w:t>Subscription Agreement</w:t>
              </w:r>
            </w:hyperlink>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E-1</w:t>
            </w:r>
          </w:p>
        </w:tc>
      </w:tr>
      <w:tr>
        <w:trPr>
          <w:trHeight w:val="41"/>
        </w:trPr>
        <w:tc>
          <w:tcPr>
            <w:tcW w:w="1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document, which forms part of a registration statement on Form S-4 filed with the SEC by FS Development (File No. 333-249785)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constitutes a prospectus of FS Development under Section 5 of the Securities Act, with respect to the shares of FS Development Class A Common Stock to be issued to Gemini Equityholders if the Business Combination described below is consummated. This document also constitutes a notice of meeting and a proxy statement under Section 14(a) of the Exchange Act with respect to the Special Meeting, at which FS Development stockholders will be asked to consider and vote upon a proposal to approve the Business Combination by the approval and adoption of the Merger Agreement, among other matters.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into this proxy statement/prospectus. No one has been authorized to provide you with information that is different from that contained in, or incorporated by reference into, this proxy statement/prospectus. This proxy statement/prospectus is dated as of the date set forth on the cover hereof. You should not assume that the information contained in this proxy statement/prospectus is accurate as of any date other than that date. You should not assume that the information incorporated by reference into this proxy statement/prospectus is accurate as of any date other than the date of such incorporated document. Neither the mailing of this proxy statement/prospectus to FS Development Stockholders nor the issuance by FS Development of its FS Development Class A Common Stock in connection with the Business Combination will create any implication to the contrary.</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Information contained in this proxy statement/prospectus regarding FS Development has been provided by FS Development and information contained in this proxy statement/prospectus regarding Gemini has been provided by Gemini.</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FS Development files reports, proxy statements/prospectuses and other information with the SEC as required by the Exchange Act. You can read FS Development’s SEC filings, including this proxy statement/prospectus,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statement/prospectus or if you have questions about the Business Combination or the proposals to be presented at the Special Meeting, you should contact us by telephone or in writing: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Attn: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(415) 877-4887</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You may also obtain these documents by requesting them in writing or by telephone from our proxy solicitor at: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Morrow Sodali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470 West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Stamford CT 06902</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Individuals call toll-free (800) 662-5200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call (203) 658-9400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FSDC.info@investor.morrowsodali.com</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If you are a stockholder of FS Development and would like to request documents, please do so by</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 2020 to</w:t>
            </w:r>
          </w:p>
        </w:tc>
      </w:tr>
    </w:tbl>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receive them before the Special Meeting. If you request any documents from us, we will mail them to you by first class mail, or another equally prompt means.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Certain information contained in this document relates to or is based on studies, publications, surveys and other data obtained from third-party sources and FS Development’s own internal estimates and research. While we believe these third-party sources to be reliable as of the date of this proxy statement/prospectus, we have not independently verified the market and industry data contained in this proxy statement/prospectus or the underlying assumptions relied on therein. Finally, while we believe our own internal research is reliable, such research has not been verified by any independent source.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This document contains references to trademarks, trade names and service marks belonging to other entities. Solely for convenience, trademarks, trade names and service marks referred to in this proxy statement/prospectus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Unless otherwise stated or unless the context otherwise requires, the terms “we,” “us,” “our,” and “FS Development” refer to FS Development Corp.</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12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Bylaws</w:t>
      </w:r>
      <w:r>
        <w:rPr>
          <w:rFonts w:ascii="Times New Roman" w:cs="Times New Roman" w:eastAsia="Times New Roman" w:hAnsi="Times New Roman"/>
          <w:sz w:val="18"/>
          <w:szCs w:val="18"/>
          <w:color w:val="auto"/>
        </w:rPr>
        <w:t xml:space="preserve">” means the Amended and Restated Bylaws of Gemini, a Form of which is attached hereto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FS Development.</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business combination pursuant to the Merger Agreement.</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13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Payment Shares</w:t>
      </w:r>
      <w:r>
        <w:rPr>
          <w:rFonts w:ascii="Times New Roman" w:cs="Times New Roman" w:eastAsia="Times New Roman" w:hAnsi="Times New Roman"/>
          <w:sz w:val="18"/>
          <w:szCs w:val="18"/>
          <w:color w:val="auto"/>
        </w:rPr>
        <w:t>” means an aggregate number of shares of FS Development Class A Common Stock equal to the difference between (a) 21,500,000 shares of FS Development Class A Common Stock; minus (b) a number of shares of FS Development Class A Common Stock equal to one half (1/2) of the initial unallocated shares of FS Development Class A Common Stock reserved for issuance under the Equity Incentive Plan (which shall not exceed two and one-half percent (2.5%) of the issued and outstanding shares of FS Development Class A Common Stock as of immediately following the Effective Time as set forth in the capitalization schedule delivered prior to the Closing pursuant to the Merger Agreement (and approved by FS Development, such approval not to be unreasonably withheld, conditioned or delayed)).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3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Combined Entity</w:t>
      </w:r>
      <w:r>
        <w:rPr>
          <w:rFonts w:ascii="Times New Roman" w:cs="Times New Roman" w:eastAsia="Times New Roman" w:hAnsi="Times New Roman"/>
          <w:sz w:val="18"/>
          <w:szCs w:val="18"/>
          <w:color w:val="auto"/>
        </w:rPr>
        <w:t>” means FS Development after the event in which Gemini becomes a wholly-owned subsidiary of FS Development.</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Combined Entity following the Closing.</w:t>
      </w:r>
    </w:p>
    <w:p>
      <w:pPr>
        <w:spacing w:after="0" w:line="14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Warrant</w:t>
      </w:r>
      <w:r>
        <w:rPr>
          <w:rFonts w:ascii="Times New Roman" w:cs="Times New Roman" w:eastAsia="Times New Roman" w:hAnsi="Times New Roman"/>
          <w:sz w:val="18"/>
          <w:szCs w:val="18"/>
          <w:color w:val="auto"/>
        </w:rPr>
        <w:t>” means the Warrant to Purchase Stock dated February 8, 2019, issued to Silicon Valley Bank, pursuant to which Silicon Valley Bank is entitled to purchase shares of Series A Preferred Stock of Gemini.</w:t>
      </w:r>
    </w:p>
    <w:p>
      <w:pPr>
        <w:spacing w:after="0" w:line="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means those certain Convertible Promissory Notes of Gemini in the aggregate principal amount of $14,000,000, issued on August 21, 2020 to certain Gemini Equityholders pursuant to the Convertible Promissory Note Purchase Agreement dated August 21, 2020 among Gemini and such Gemini Equityholders.</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By-laws</w:t>
      </w:r>
      <w:r>
        <w:rPr>
          <w:rFonts w:ascii="Times New Roman" w:cs="Times New Roman" w:eastAsia="Times New Roman" w:hAnsi="Times New Roman"/>
          <w:sz w:val="18"/>
          <w:szCs w:val="18"/>
          <w:color w:val="auto"/>
        </w:rPr>
        <w:t>” means FS Development’s by-laws as currently in effect.</w:t>
      </w:r>
    </w:p>
    <w:p>
      <w:pPr>
        <w:spacing w:after="0" w:line="14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means FS Development’s current amended and restated certificate of incorporation as filed with the Secretary of State of the State of Delaware on August 11, 2020.</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Delaware General Corporation Law.</w:t>
      </w:r>
    </w:p>
    <w:p>
      <w:pPr>
        <w:spacing w:after="0" w:line="13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time at which the Business Combination became effective pursuant to the terms of the Merger Agreement.</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means the 2020 Stock Option and Incentive Plan.</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Act of 1934, as amended from time to time.</w:t>
      </w:r>
    </w:p>
    <w:p>
      <w:pPr>
        <w:spacing w:after="0" w:line="13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Founders Shares</w:t>
      </w:r>
      <w:r>
        <w:rPr>
          <w:rFonts w:ascii="Times New Roman" w:cs="Times New Roman" w:eastAsia="Times New Roman" w:hAnsi="Times New Roman"/>
          <w:sz w:val="18"/>
          <w:szCs w:val="18"/>
          <w:color w:val="auto"/>
        </w:rPr>
        <w:t>” means the outstanding shares of our Class B Common Stock held by the Sponsor, our directors and affiliates of our management team since June 30, 2020.</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w:t>
      </w:r>
      <w:r>
        <w:rPr>
          <w:rFonts w:ascii="Times New Roman" w:cs="Times New Roman" w:eastAsia="Times New Roman" w:hAnsi="Times New Roman"/>
          <w:sz w:val="18"/>
          <w:szCs w:val="18"/>
          <w:color w:val="auto"/>
        </w:rPr>
        <w:t>” means FS Development Corp.</w:t>
      </w:r>
    </w:p>
    <w:p>
      <w:pPr>
        <w:spacing w:after="0" w:line="13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Class A 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means the shares of Class A Common Stock, par value $0.0001 per share, of FS Development.</w:t>
      </w:r>
    </w:p>
    <w:p>
      <w:pPr>
        <w:spacing w:after="0" w:line="6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Class B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“Class B Common Stock”</w:t>
      </w:r>
      <w:r>
        <w:rPr>
          <w:rFonts w:ascii="Times New Roman" w:cs="Times New Roman" w:eastAsia="Times New Roman" w:hAnsi="Times New Roman"/>
          <w:sz w:val="18"/>
          <w:szCs w:val="18"/>
          <w:color w:val="auto"/>
        </w:rPr>
        <w:t xml:space="preserve"> means the shares of Class B Common Stock, par value $0.0001 per share, of FS Development.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Common Stock</w:t>
      </w:r>
      <w:r>
        <w:rPr>
          <w:rFonts w:ascii="Times New Roman" w:cs="Times New Roman" w:eastAsia="Times New Roman" w:hAnsi="Times New Roman"/>
          <w:sz w:val="18"/>
          <w:szCs w:val="18"/>
          <w:color w:val="auto"/>
        </w:rPr>
        <w:t>” means, collectively, the FS Development Class A Common Stock and FS Development Class B Common Stock.</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IPO</w:t>
      </w:r>
      <w:r>
        <w:rPr>
          <w:rFonts w:ascii="Times New Roman" w:cs="Times New Roman" w:eastAsia="Times New Roman" w:hAnsi="Times New Roman"/>
          <w:sz w:val="18"/>
          <w:szCs w:val="18"/>
          <w:color w:val="auto"/>
        </w:rPr>
        <w:t>” means FS Development’s initial public offering.</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Support Agreement</w:t>
      </w:r>
      <w:r>
        <w:rPr>
          <w:rFonts w:ascii="Times New Roman" w:cs="Times New Roman" w:eastAsia="Times New Roman" w:hAnsi="Times New Roman"/>
          <w:sz w:val="18"/>
          <w:szCs w:val="18"/>
          <w:color w:val="auto"/>
        </w:rPr>
        <w:t>” means the FS Development Support Agreement, dated as of October 15, 2020, by and among FS Development, Gemini, the Sponsor and certain supporting stockholders of FS Development.</w:t>
      </w:r>
    </w:p>
    <w:p>
      <w:pPr>
        <w:spacing w:after="0" w:line="90" w:lineRule="exact"/>
        <w:rPr>
          <w:sz w:val="20"/>
          <w:szCs w:val="20"/>
          <w:color w:val="auto"/>
        </w:rPr>
      </w:pPr>
    </w:p>
    <w:p>
      <w:pPr>
        <w:jc w:val="both"/>
        <w:ind w:left="460" w:right="47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Fully Diluted Company Shares</w:t>
      </w:r>
      <w:r>
        <w:rPr>
          <w:rFonts w:ascii="Times New Roman" w:cs="Times New Roman" w:eastAsia="Times New Roman" w:hAnsi="Times New Roman"/>
          <w:sz w:val="17"/>
          <w:szCs w:val="17"/>
          <w:color w:val="auto"/>
        </w:rPr>
        <w:t>” means the sum, without duplication, of (a) shares of common stock of Gemini (including restricted stock) that are issued and outstanding immediately prior to the Effective Time; plus</w:t>
      </w:r>
    </w:p>
    <w:p>
      <w:pPr>
        <w:spacing w:after="0" w:line="1" w:lineRule="exact"/>
        <w:rPr>
          <w:sz w:val="20"/>
          <w:szCs w:val="20"/>
          <w:color w:val="auto"/>
        </w:rPr>
      </w:pPr>
    </w:p>
    <w:p>
      <w:pPr>
        <w:jc w:val="both"/>
        <w:ind w:left="460" w:right="459" w:hanging="6"/>
        <w:spacing w:after="0" w:line="250" w:lineRule="auto"/>
        <w:tabs>
          <w:tab w:leader="none" w:pos="7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of Gemini (on an as converted to common stock basis) that are issued and outstanding immediately prior to the Effective Time; plus (c) the aggregate number of shares of common stock of Gemini issuable upon exercise of the Company Warrant as of immediately prior to the Effective Time; plus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of Gemini issuable upon exercise of options to purchase common stock of Gemini that are vested as of immediately prior to the Effective Time; plus (e) the aggregate number of shares of common stock of Gemini issuable upon exercise of options to purchase common stock of Gemini that are unvested as of immediately prior to the Effective Time; plus (f) the aggregate number of shares of Gemini Series B Preferred Stock (on an as converted to common stock basis) issuable upon the conversion of the Convertible Notes as of immediately prior to the Effective Time.</w:t>
      </w:r>
    </w:p>
    <w:p>
      <w:pPr>
        <w:spacing w:after="0" w:line="118"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means Gemini Therapeutics, Inc., a Delaware corporation, which shall refer to the Combined Entity following the Business Combination, as the context requires.</w:t>
      </w:r>
    </w:p>
    <w:p>
      <w:pPr>
        <w:spacing w:after="0" w:line="87"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Gemini Equityholders</w:t>
      </w:r>
      <w:r>
        <w:rPr>
          <w:rFonts w:ascii="Times New Roman" w:cs="Times New Roman" w:eastAsia="Times New Roman" w:hAnsi="Times New Roman"/>
          <w:sz w:val="18"/>
          <w:szCs w:val="18"/>
          <w:color w:val="auto"/>
        </w:rPr>
        <w:t>” means the holders of equity interests in Gemini as of the time immediately before the Business Combination.</w:t>
      </w:r>
    </w:p>
    <w:p>
      <w:pPr>
        <w:spacing w:after="0" w:line="74"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Gemini Stock</w:t>
      </w:r>
      <w:r>
        <w:rPr>
          <w:rFonts w:ascii="Times New Roman" w:cs="Times New Roman" w:eastAsia="Times New Roman" w:hAnsi="Times New Roman"/>
          <w:sz w:val="18"/>
          <w:szCs w:val="18"/>
          <w:color w:val="auto"/>
        </w:rPr>
        <w:t>” means, collectively, all shares of Gemini’s Series B Preferred Stock, Series A Preferred Stock and Common Stock.</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means the Merger Agreement, dated as of October 15, 2020, by and among FS Development, Merger Sub, Gemini and the Shareholders Representative.</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means the Closing Payment Shares to be issued as the consideration for the Business Combination.</w:t>
      </w:r>
    </w:p>
    <w:p>
      <w:pPr>
        <w:spacing w:after="0" w:line="74"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FSG Merger Sub, Inc., a Delaware corporation and a wholly-owned subsidiary of FS Development.</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refers to the sale of 9,506,000 newly issued shares of FS Development Class A Common Stock in a private placement concurrent with the Business Combination.</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Portion of the Merger Consideration</w:t>
      </w:r>
      <w:r>
        <w:rPr>
          <w:rFonts w:ascii="Times New Roman" w:cs="Times New Roman" w:eastAsia="Times New Roman" w:hAnsi="Times New Roman"/>
          <w:sz w:val="18"/>
          <w:szCs w:val="18"/>
          <w:color w:val="auto"/>
        </w:rPr>
        <w:t>” means, for each share of Gemini Stock owned by a Gemini Equityholder, the quotient of the Closing Payment Shares divided by the Fully Diluted Company Shares.</w:t>
      </w:r>
    </w:p>
    <w:p>
      <w:pPr>
        <w:spacing w:after="0" w:line="74"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means any of the proposals being presented to the FS Development stockholders at the Special Meeting.</w:t>
      </w:r>
    </w:p>
    <w:p>
      <w:pPr>
        <w:spacing w:after="0" w:line="87"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xml:space="preserve">” means the Amended and Restated Certificate of Incorporation of Gemini, a Form of which is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means FS Development Class A Common Stock issued in the FS Development IPO.</w:t>
      </w:r>
    </w:p>
    <w:p>
      <w:pPr>
        <w:spacing w:after="0" w:line="144"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means the right of the holders of FS Development Class A Common Stock to have their shares redeemed in accordance with the procedures set forth in this proxy statement/prospectus.</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the Registration Rights Agreement to be entered into in connection with the Closing with certain Gemini Equityholders.</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Exchange Commission or any successor organization.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from time to time.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Representative</w:t>
      </w:r>
      <w:r>
        <w:rPr>
          <w:rFonts w:ascii="Times New Roman" w:cs="Times New Roman" w:eastAsia="Times New Roman" w:hAnsi="Times New Roman"/>
          <w:sz w:val="18"/>
          <w:szCs w:val="18"/>
          <w:color w:val="auto"/>
        </w:rPr>
        <w:t>” means Shareholder Representative Services LLC.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270" w:right="1440" w:bottom="1440" w:gutter="0" w:footer="0" w:header="0"/>
        </w:sectPr>
      </w:pPr>
    </w:p>
    <w:p>
      <w:pPr>
        <w:spacing w:after="0" w:line="152"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means the special meeting of the stockholders of FS Development, to be held on 2020, at , Eastern time, via live webcast at the following address.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9" w:lineRule="exact"/>
        <w:rPr>
          <w:sz w:val="20"/>
          <w:szCs w:val="20"/>
          <w:color w:val="auto"/>
        </w:rPr>
      </w:pPr>
    </w:p>
    <w:p>
      <w:pPr>
        <w:sectPr>
          <w:pgSz w:w="11900" w:h="16838" w:orient="portrait"/>
          <w:cols w:equalWidth="0" w:num="2">
            <w:col w:w="7940" w:space="560"/>
            <w:col w:w="51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FS Development Holdings, LLC, a Delaware limited liability company.</w:t>
      </w:r>
    </w:p>
    <w:p>
      <w:pPr>
        <w:spacing w:after="0" w:line="15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means the Trust Account of FS Development, which holds the net proceeds of the FS Development IPO, together with interest earned thereon, less amounts released to pay franchise and income tax obligations.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PROPOSALS</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questions and answers briefly address some commonly asked questions about the Business Combination and the Special Meeting of FS Development stockholders. The following questions and answers do not include all the information that is important to stockholders of FS Development. We urge the stockholders of FS Development to read carefully this entire proxy statement/prospectus, including the annexes and other documents referred to herein.</w:t>
      </w:r>
    </w:p>
    <w:p>
      <w:pPr>
        <w:spacing w:after="0" w:line="100" w:lineRule="exact"/>
        <w:rPr>
          <w:sz w:val="20"/>
          <w:szCs w:val="20"/>
          <w:color w:val="auto"/>
        </w:rPr>
      </w:pPr>
    </w:p>
    <w:p>
      <w:pPr>
        <w:ind w:left="860" w:hanging="406"/>
        <w:spacing w:after="0"/>
        <w:tabs>
          <w:tab w:leader="none" w:pos="8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statement/prospectus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jc w:val="both"/>
        <w:ind w:left="880" w:right="459" w:hanging="426"/>
        <w:spacing w:after="0" w:line="255" w:lineRule="auto"/>
        <w:tabs>
          <w:tab w:leader="none" w:pos="8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stockholders are being asked to consider and vote upon a proposal to approve and adopt the Merger Agreement, among other proposals. FS Development has entered into the Merger Agreement as a result of which Merger Sub, a wholly-owned subsidiary of FS Development, shall merge with and into Gemini with Gemini surviving such merger, and as a result of which Gemini will become a wholly-owned subsidiary of FS Development. We refer to this merger as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xml:space="preserve">.” FS Development urges its stockholders to read the Merger Agreement in its entirety, which is attached to this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jc w:val="both"/>
        <w:ind w:left="880" w:right="47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YOUR VOTE IS IMPORTANT. YOU ARE ENCOURAGED TO SUBMIT YOUR PROXY AS SOON AS POSSIBLE AFTER CAREFULLY REVIEWING THIS PROXY STATEMENT/PROSPECTUS AND ITS ANNEXES AND CAREFULLY CONSIDERING EACH OF THE PROPOSALS BEING PRESENTED AT THE MEETING.</w:t>
      </w:r>
    </w:p>
    <w:p>
      <w:pPr>
        <w:spacing w:after="0" w:line="95" w:lineRule="exact"/>
        <w:rPr>
          <w:sz w:val="20"/>
          <w:szCs w:val="20"/>
          <w:color w:val="auto"/>
        </w:rPr>
      </w:pPr>
    </w:p>
    <w:p>
      <w:pPr>
        <w:ind w:left="880" w:hanging="426"/>
        <w:spacing w:after="0"/>
        <w:tabs>
          <w:tab w:leader="none" w:pos="8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FS Development proposing the Business Combination?</w:t>
      </w:r>
    </w:p>
    <w:p>
      <w:pPr>
        <w:spacing w:after="0" w:line="135" w:lineRule="exact"/>
        <w:rPr>
          <w:sz w:val="20"/>
          <w:szCs w:val="20"/>
          <w:color w:val="auto"/>
        </w:rPr>
      </w:pPr>
    </w:p>
    <w:p>
      <w:pPr>
        <w:jc w:val="both"/>
        <w:ind w:left="880" w:right="479" w:hanging="426"/>
        <w:spacing w:after="0" w:line="266" w:lineRule="auto"/>
        <w:tabs>
          <w:tab w:leader="none" w:pos="10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was formed for the purpose of effecting a merger, capital stock exchange, asset acquisition, stock purchase, reorganization or other similar business combination with one or more operating businesses.</w:t>
      </w:r>
    </w:p>
    <w:p>
      <w:pPr>
        <w:spacing w:after="0" w:line="81"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Based on its due diligence investigations of Gemini and the industries in which it operates, including the financial and other information provided by Gemini in the course of FS Development’s due diligence investigations, the Board believes that the Business Combination with Gemini is in the best interests of FS Development and its stockholders.</w:t>
      </w:r>
    </w:p>
    <w:p>
      <w:pPr>
        <w:spacing w:after="0" w:line="97" w:lineRule="exact"/>
        <w:rPr>
          <w:sz w:val="20"/>
          <w:szCs w:val="20"/>
          <w:color w:val="auto"/>
        </w:rPr>
      </w:pPr>
    </w:p>
    <w:p>
      <w:pPr>
        <w:jc w:val="both"/>
        <w:ind w:left="880" w:right="479"/>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Business Combination Proposal — Board’s Reasons for Approval of the Business Combination</w:t>
      </w:r>
      <w:r>
        <w:rPr>
          <w:rFonts w:ascii="Times New Roman" w:cs="Times New Roman" w:eastAsia="Times New Roman" w:hAnsi="Times New Roman"/>
          <w:sz w:val="18"/>
          <w:szCs w:val="18"/>
          <w:color w:val="auto"/>
        </w:rPr>
        <w:t>” for a discussion of the factors considered by the Board in making its decision.</w:t>
      </w:r>
    </w:p>
    <w:p>
      <w:pPr>
        <w:spacing w:after="0" w:line="62" w:lineRule="exact"/>
        <w:rPr>
          <w:sz w:val="20"/>
          <w:szCs w:val="20"/>
          <w:color w:val="auto"/>
        </w:rPr>
      </w:pPr>
    </w:p>
    <w:p>
      <w:pPr>
        <w:ind w:left="880" w:hanging="426"/>
        <w:spacing w:after="0"/>
        <w:tabs>
          <w:tab w:leader="none" w:pos="8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matters will be considered at the Special Meeting?</w:t>
      </w:r>
    </w:p>
    <w:p>
      <w:pPr>
        <w:spacing w:after="0" w:line="135" w:lineRule="exact"/>
        <w:rPr>
          <w:sz w:val="20"/>
          <w:szCs w:val="20"/>
          <w:color w:val="auto"/>
        </w:rPr>
      </w:pPr>
    </w:p>
    <w:p>
      <w:pPr>
        <w:ind w:left="880" w:right="479" w:hanging="426"/>
        <w:spacing w:after="0" w:line="282" w:lineRule="auto"/>
        <w:tabs>
          <w:tab w:leader="none" w:pos="8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list of proposals upon which FS Development stockholders will be asked to vote at the Special Meeting:</w:t>
      </w:r>
    </w:p>
    <w:p>
      <w:pPr>
        <w:spacing w:after="0" w:line="78"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34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Business Combination Proposa</w:t>
      </w:r>
      <w:r>
        <w:rPr>
          <w:rFonts w:ascii="Times New Roman" w:cs="Times New Roman" w:eastAsia="Times New Roman" w:hAnsi="Times New Roman"/>
          <w:sz w:val="18"/>
          <w:szCs w:val="18"/>
          <w:color w:val="auto"/>
        </w:rPr>
        <w:t>l — To adopt and approve the Merger Agreement and approve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Business Combination.</w:t>
      </w:r>
    </w:p>
    <w:p>
      <w:pPr>
        <w:spacing w:after="0" w:line="63"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3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Nasdaq Stock Issuance Proposal </w:t>
      </w:r>
      <w:r>
        <w:rPr>
          <w:rFonts w:ascii="Times New Roman" w:cs="Times New Roman" w:eastAsia="Times New Roman" w:hAnsi="Times New Roman"/>
          <w:sz w:val="18"/>
          <w:szCs w:val="18"/>
          <w:color w:val="auto"/>
        </w:rPr>
        <w:t>— To approve, assuming the Business Combination Proposal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approved and adopted, for purposes of complying with the applicable provisions of Nasdaq Stock Exchange Listing Rule 5635 (each, a “</w:t>
      </w:r>
      <w:r>
        <w:rPr>
          <w:rFonts w:ascii="Times New Roman" w:cs="Times New Roman" w:eastAsia="Times New Roman" w:hAnsi="Times New Roman"/>
          <w:sz w:val="18"/>
          <w:szCs w:val="18"/>
          <w:b w:val="1"/>
          <w:bCs w:val="1"/>
          <w:color w:val="auto"/>
        </w:rPr>
        <w:t>Nasdaq Listing Rule</w:t>
      </w:r>
      <w:r>
        <w:rPr>
          <w:rFonts w:ascii="Times New Roman" w:cs="Times New Roman" w:eastAsia="Times New Roman" w:hAnsi="Times New Roman"/>
          <w:sz w:val="18"/>
          <w:szCs w:val="18"/>
          <w:color w:val="auto"/>
        </w:rPr>
        <w:t>”), (a) the issuance of up to 21,500,000 newly issued shares of Class A Common Stock in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Acquisition of Gemini; Merger Consideration</w:t>
      </w:r>
      <w:r>
        <w:rPr>
          <w:rFonts w:ascii="Times New Roman" w:cs="Times New Roman" w:eastAsia="Times New Roman" w:hAnsi="Times New Roman"/>
          <w:sz w:val="18"/>
          <w:szCs w:val="18"/>
          <w:color w:val="auto"/>
        </w:rPr>
        <w:t>” and (b) the issuance and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9,506,000 newly issued shares of Class A Common Stock in the PIPE Investment, to the extent such issuances would require a stockholder vote under the applicable Nasdaq Listing Rule.</w:t>
      </w:r>
    </w:p>
    <w:p>
      <w:pPr>
        <w:spacing w:after="0" w:line="9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Charter Amendment Proposal </w:t>
      </w:r>
      <w:r>
        <w:rPr>
          <w:rFonts w:ascii="Times New Roman" w:cs="Times New Roman" w:eastAsia="Times New Roman" w:hAnsi="Times New Roman"/>
          <w:sz w:val="18"/>
          <w:szCs w:val="18"/>
          <w:color w:val="auto"/>
        </w:rPr>
        <w:t>— To approve, assuming the Business Combination Proposal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and adopted, a proposed second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which will amend and restate the Current Charter, and which Proposed Charter will be in effect upon the Closing.</w:t>
      </w:r>
    </w:p>
    <w:p>
      <w:pPr>
        <w:spacing w:after="0" w:line="98"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4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Advisory Charter Proposals </w:t>
      </w:r>
      <w:r>
        <w:rPr>
          <w:rFonts w:ascii="Times New Roman" w:cs="Times New Roman" w:eastAsia="Times New Roman" w:hAnsi="Times New Roman"/>
          <w:sz w:val="18"/>
          <w:szCs w:val="18"/>
          <w:color w:val="auto"/>
        </w:rPr>
        <w:t>— To approve, on a non-binding advisory basis,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differences between the Proposed Charter and the Current Charter, which are being presented in accordance with the requirements of the SEC as five separate sub-proposals:</w:t>
      </w:r>
    </w:p>
    <w:p>
      <w:pPr>
        <w:spacing w:after="0" w:line="80" w:lineRule="exact"/>
        <w:rPr>
          <w:rFonts w:ascii="Times New Roman" w:cs="Times New Roman" w:eastAsia="Times New Roman" w:hAnsi="Times New Roman"/>
          <w:sz w:val="18"/>
          <w:szCs w:val="18"/>
          <w:color w:val="auto"/>
        </w:rPr>
      </w:pPr>
    </w:p>
    <w:p>
      <w:pPr>
        <w:ind w:left="1760" w:hanging="442"/>
        <w:spacing w:after="0"/>
        <w:tabs>
          <w:tab w:leader="none" w:pos="17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A — to increase the authorized shares of Class A Common Stock</w:t>
      </w:r>
    </w:p>
    <w:p>
      <w:pPr>
        <w:spacing w:after="0" w:line="27"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toshares;</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 w:name="page18"/>
    <w:bookmarkEnd w:id="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760" w:right="459" w:hanging="442"/>
        <w:spacing w:after="0" w:line="266" w:lineRule="auto"/>
        <w:tabs>
          <w:tab w:leader="none" w:pos="1749"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B — to increase the authorized shares of “blank check” preferred stock that the Combined Entity’s board of directors could issue to discourage a takeover attempt to 10,000,000 shares;</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87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C — to provide that certain amendments to provisions of the Proposed Charter will require the approval of at least 66 2⁄3% of the Combined Entity’s then-outstanding shares of capital stock entitled to vote on such amendment;</w:t>
      </w:r>
    </w:p>
    <w:p>
      <w:pPr>
        <w:spacing w:after="0" w:line="108" w:lineRule="exact"/>
        <w:rPr>
          <w:rFonts w:ascii="Times New Roman" w:cs="Times New Roman" w:eastAsia="Times New Roman" w:hAnsi="Times New Roman"/>
          <w:sz w:val="18"/>
          <w:szCs w:val="18"/>
          <w:color w:val="auto"/>
        </w:rPr>
      </w:pPr>
    </w:p>
    <w:p>
      <w:pPr>
        <w:jc w:val="both"/>
        <w:ind w:left="1760" w:right="479" w:hanging="442"/>
        <w:spacing w:after="0" w:line="258" w:lineRule="auto"/>
        <w:tabs>
          <w:tab w:leader="none" w:pos="1728"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D — to make the Combined Entity’s corporate existence 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02" w:lineRule="exact"/>
        <w:rPr>
          <w:rFonts w:ascii="Times New Roman" w:cs="Times New Roman" w:eastAsia="Times New Roman" w:hAnsi="Times New Roman"/>
          <w:sz w:val="18"/>
          <w:szCs w:val="18"/>
          <w:color w:val="auto"/>
        </w:rPr>
      </w:pPr>
    </w:p>
    <w:p>
      <w:pPr>
        <w:jc w:val="both"/>
        <w:ind w:left="1760" w:right="459" w:hanging="442"/>
        <w:spacing w:after="0" w:line="256" w:lineRule="auto"/>
        <w:tabs>
          <w:tab w:leader="none" w:pos="1758"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E — to provide that any amendment to the Amended By-laws will require the approval of at least 66 2⁄3%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7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Plan Proposal — to approve, assuming the Business Combination Proposal is approved and adopted, the 2020 Stock Option and Incentive Plan (the “</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xml:space="preserve">”), a copy of which is appended to this proxy statement/prospectus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which will become effective as of the date immediately preceding the date of the Closing.</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7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Adjournment Proposal — 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or the Incentive Plan Proposal, or we determine that one or more of the closing conditions under the Business Combination is not satisfied or waived.</w:t>
      </w:r>
    </w:p>
    <w:p>
      <w:pPr>
        <w:spacing w:after="0" w:line="102" w:lineRule="exact"/>
        <w:rPr>
          <w:rFonts w:ascii="Times New Roman" w:cs="Times New Roman" w:eastAsia="Times New Roman" w:hAnsi="Times New Roman"/>
          <w:sz w:val="18"/>
          <w:szCs w:val="18"/>
          <w:color w:val="auto"/>
        </w:rPr>
      </w:pPr>
    </w:p>
    <w:p>
      <w:pPr>
        <w:ind w:left="880" w:hanging="426"/>
        <w:spacing w:after="0"/>
        <w:tabs>
          <w:tab w:leader="none" w:pos="8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will the Special Meeting take place?</w:t>
      </w:r>
    </w:p>
    <w:p>
      <w:pPr>
        <w:spacing w:after="0" w:line="162" w:lineRule="exact"/>
        <w:rPr>
          <w:sz w:val="20"/>
          <w:szCs w:val="20"/>
          <w:color w:val="auto"/>
        </w:rPr>
      </w:pPr>
    </w:p>
    <w:p>
      <w:pPr>
        <w:jc w:val="both"/>
        <w:ind w:left="880" w:right="459" w:hanging="431"/>
        <w:spacing w:after="0" w:line="266" w:lineRule="auto"/>
        <w:tabs>
          <w:tab w:leader="none" w:pos="860" w:val="left"/>
        </w:tabs>
        <w:rPr>
          <w:sz w:val="20"/>
          <w:szCs w:val="20"/>
          <w:color w:val="auto"/>
        </w:rPr>
      </w:pPr>
      <w:r>
        <w:rPr>
          <w:rFonts w:ascii="Times New Roman" w:cs="Times New Roman" w:eastAsia="Times New Roman" w:hAnsi="Times New Roman"/>
          <w:sz w:val="18"/>
          <w:szCs w:val="18"/>
          <w:color w:val="auto"/>
        </w:rPr>
        <w:t>A:</w:t>
        <w:tab/>
        <w:t>The FS Development Special Meeting will be held on , 2020, at Eastern time, via live webcast at the following address: , or such other date, time and place to which such meeting may be adjourned or postponed, to consider and vote upon the proposals.</w:t>
      </w:r>
    </w:p>
    <w:p>
      <w:pPr>
        <w:spacing w:after="0" w:line="104" w:lineRule="exact"/>
        <w:rPr>
          <w:sz w:val="20"/>
          <w:szCs w:val="20"/>
          <w:color w:val="auto"/>
        </w:rPr>
      </w:pPr>
    </w:p>
    <w:p>
      <w:pPr>
        <w:ind w:left="880" w:hanging="426"/>
        <w:spacing w:after="0"/>
        <w:tabs>
          <w:tab w:leader="none" w:pos="8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vote important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960" w:hanging="506"/>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Business Combination cannot be completed unless the Merger Agreement is adopted by the</w:t>
      </w:r>
    </w:p>
    <w:p>
      <w:pPr>
        <w:spacing w:after="0" w:line="27" w:lineRule="exact"/>
        <w:rPr>
          <w:sz w:val="20"/>
          <w:szCs w:val="20"/>
          <w:color w:val="auto"/>
        </w:rPr>
      </w:pPr>
    </w:p>
    <w:p>
      <w:pPr>
        <w:jc w:val="both"/>
        <w:ind w:left="880" w:right="459"/>
        <w:spacing w:after="0" w:line="251" w:lineRule="auto"/>
        <w:rPr>
          <w:sz w:val="20"/>
          <w:szCs w:val="20"/>
          <w:color w:val="auto"/>
        </w:rPr>
      </w:pPr>
      <w:r>
        <w:rPr>
          <w:rFonts w:ascii="Times New Roman" w:cs="Times New Roman" w:eastAsia="Times New Roman" w:hAnsi="Times New Roman"/>
          <w:sz w:val="18"/>
          <w:szCs w:val="18"/>
          <w:color w:val="auto"/>
        </w:rPr>
        <w:t>FS Development stockholders holding a majority of the votes cast on such proposal and the other condition precedent proposals achieve the necessary vote outlined below. Only FS Development stockholders as of the close of business on , 2020, the record date for the Special Meeting (the “</w:t>
      </w:r>
      <w:r>
        <w:rPr>
          <w:rFonts w:ascii="Times New Roman" w:cs="Times New Roman" w:eastAsia="Times New Roman" w:hAnsi="Times New Roman"/>
          <w:sz w:val="18"/>
          <w:szCs w:val="18"/>
          <w:b w:val="1"/>
          <w:bCs w:val="1"/>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are entitled to vote at the Special Meeting. The Board unanimously recommends that such FS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Business Combination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Nasdaq Stock Issuance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Charter Amendment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an advisory basis, of each of the Advisory Charter Proposals,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Incentive Plan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Proposal, if presented.</w:t>
      </w:r>
    </w:p>
    <w:p>
      <w:pPr>
        <w:spacing w:after="0" w:line="122" w:lineRule="exact"/>
        <w:rPr>
          <w:sz w:val="20"/>
          <w:szCs w:val="20"/>
          <w:color w:val="auto"/>
        </w:rPr>
      </w:pPr>
    </w:p>
    <w:p>
      <w:pPr>
        <w:ind w:left="880" w:right="459" w:hanging="426"/>
        <w:spacing w:after="0" w:line="286" w:lineRule="auto"/>
        <w:tabs>
          <w:tab w:leader="none" w:pos="969"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will my broker, bank or nominee automatically vote my shares for me?</w:t>
      </w:r>
    </w:p>
    <w:p>
      <w:pPr>
        <w:spacing w:after="0" w:line="64" w:lineRule="exact"/>
        <w:rPr>
          <w:sz w:val="20"/>
          <w:szCs w:val="20"/>
          <w:color w:val="auto"/>
        </w:rPr>
      </w:pPr>
    </w:p>
    <w:p>
      <w:pPr>
        <w:jc w:val="both"/>
        <w:ind w:left="880" w:right="459" w:hanging="426"/>
        <w:spacing w:after="0" w:line="254"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FS Development believes the proposals presented to the stockholders will be considered non-discretionary and therefore your broker, bank or nominee cannot vote your shares without your instruction. Your bank, broker or other nominee can vote your shares only if you provide instructions on how to vote. You should instruct your bank, broker or other nominee to vote your shares in accordance with directions you provide.</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ind w:left="880" w:hanging="426"/>
        <w:spacing w:after="0"/>
        <w:tabs>
          <w:tab w:leader="none" w:pos="8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Proposals presented at the Special Meeting?</w:t>
      </w:r>
    </w:p>
    <w:p>
      <w:pPr>
        <w:spacing w:after="0" w:line="135" w:lineRule="exact"/>
        <w:rPr>
          <w:sz w:val="20"/>
          <w:szCs w:val="20"/>
          <w:color w:val="auto"/>
        </w:rPr>
      </w:pPr>
    </w:p>
    <w:p>
      <w:pPr>
        <w:jc w:val="both"/>
        <w:ind w:left="880" w:right="459" w:hanging="426"/>
        <w:spacing w:after="0" w:line="258" w:lineRule="auto"/>
        <w:tabs>
          <w:tab w:leader="none" w:pos="8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shares of FS Development Common Stock voting together as a single class as of the Record Date. Accordingly, a FS Development stockholder’s failure to vote by proxy or to vote in person (which would include presence at a virtual meeting) at the Special Meeting or an abstention will have the same effect as a vote “AGAINST” the Charter Amendment Proposal.</w:t>
      </w:r>
    </w:p>
    <w:p>
      <w:pPr>
        <w:spacing w:after="0" w:line="102" w:lineRule="exact"/>
        <w:rPr>
          <w:rFonts w:ascii="Times New Roman" w:cs="Times New Roman" w:eastAsia="Times New Roman" w:hAnsi="Times New Roman"/>
          <w:sz w:val="18"/>
          <w:szCs w:val="18"/>
          <w:color w:val="auto"/>
        </w:rPr>
      </w:pPr>
    </w:p>
    <w:p>
      <w:pPr>
        <w:jc w:val="both"/>
        <w:ind w:left="88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or by proxy and entitled to vote thereon at the Special Meeting, voting together as a single class. A FS Development stockholder’s failure to vote by proxy or to vote in person (which would include presence at a virtual meeting) at the Special Meeting will not be counted towards the number of shares of FS Development Common Stock required to validly establish a quorum, and if a valid quorum is otherwise established, it will have no effect on the outcome of the vote on the Business Combination Proposal, the Nasdaq Stock Issuance Proposal, the Advisory Charter Proposals the Incentive Plan Proposal, or the Adjournment Proposal.</w:t>
      </w:r>
    </w:p>
    <w:p>
      <w:pPr>
        <w:spacing w:after="0" w:line="96" w:lineRule="exact"/>
        <w:rPr>
          <w:sz w:val="20"/>
          <w:szCs w:val="20"/>
          <w:color w:val="auto"/>
        </w:rPr>
      </w:pPr>
    </w:p>
    <w:p>
      <w:pPr>
        <w:ind w:left="880" w:hanging="426"/>
        <w:spacing w:after="0"/>
        <w:tabs>
          <w:tab w:leader="none" w:pos="8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Proposals conditioned on one another</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left="880" w:right="459" w:hanging="426"/>
        <w:spacing w:after="0" w:line="253" w:lineRule="auto"/>
        <w:tabs>
          <w:tab w:leader="none" w:pos="8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Business Combination Proposal is approved, the Nasdaq Stock Issuance Proposal, the Charter Amendment Proposal, the Advisory Charter Proposals, and the Incentive Plan Proposal will not be presented to the stockholders of FS Development at the Special Meeting. The approval of the Business Combination Proposal, the Nasdaq Stock Issuance Proposal, the Charter Amendment Proposal, and the Incentive Plan Proposal are preconditions to the Closing. The Adjournment Proposal is not conditioned on the approval of any other proposal set forth in this proxy statement/prospectus. It is important for you to note that in the event that the Business Combination Proposal does not receive the requisite vote for approval, then we will not consummate the Business Combination. If FS Development does not consummate the Business Combination and fails to complete an initial business combination by August 14, 2022, FS Development will be required to dissolve and liquidate its Trust Account by returning the then remaining funds in such account to its public stockholders.</w:t>
      </w:r>
    </w:p>
    <w:p>
      <w:pPr>
        <w:spacing w:after="0" w:line="107" w:lineRule="exact"/>
        <w:rPr>
          <w:sz w:val="20"/>
          <w:szCs w:val="20"/>
          <w:color w:val="auto"/>
        </w:rPr>
      </w:pPr>
    </w:p>
    <w:p>
      <w:pPr>
        <w:ind w:left="880" w:hanging="426"/>
        <w:spacing w:after="0"/>
        <w:tabs>
          <w:tab w:leader="none" w:pos="8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conditions must be satisfied to complete the Business Combination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left="880" w:right="459" w:hanging="426"/>
        <w:spacing w:after="0" w:line="254" w:lineRule="auto"/>
        <w:tabs>
          <w:tab w:leader="none" w:pos="10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 number of closing conditions in the Merger Agreement, including the approval by the stockholders of FS Development of the Business Combination Proposal, the Nasdaq Stock Issuance Proposal, the Charter Amendment Proposal, and the Incentive Plan Proposal. The Nasdaq Stock Issuance Proposal, the Charter Amendment Proposal, and the Incentive Plan Proposal are subject to and conditioned on the approval of the Business Combination Proposal. The Business Combination Proposal is subject to and conditioned on the approval of the Nasdaq Stock Issuance Proposal, the Charter Amendment Proposal, and the Incentive Plan Proposal. For a summary of the conditions that must be satisfied or waived prior to the Closing of the Business Combination, see the section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The Merger Agreement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880" w:hanging="426"/>
        <w:spacing w:after="0"/>
        <w:tabs>
          <w:tab w:leader="none" w:pos="8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Business Combination</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880" w:right="459" w:hanging="426"/>
        <w:spacing w:after="0" w:line="252" w:lineRule="auto"/>
        <w:tabs>
          <w:tab w:leader="none" w:pos="8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the Business Combination, Merger Sub will merge with and into Gemini, with Gemini surviving such merger as the surviving entity. Upon the Closing, Gemini will become a wholly-owned subsidiary of FS Development. In connection with the Business Combination, the cash held in the Trust Account after giving effect to any redemption of shares by FS Development’s public stockholders and the proceeds from the PIPE Investment will be used to pay (i) FS Development stockholders who properly exercise their redemption rights, (ii) the underwriters their deferred underwriting commissions from the FS Development IPO, (iii) certain other fees, costs and expenses (including regulatory fees, legal fees, accounting fees, printer fees and other professional fees) that were incurred by FS Development or Gemini in connection with the transactions contemplated by the Business Combination and pursuant to the terms of the Merger Agreement, (iv) unpaid franchise and income taxes of FS Development, and</w:t>
      </w:r>
    </w:p>
    <w:p>
      <w:pPr>
        <w:spacing w:after="0" w:line="5" w:lineRule="exact"/>
        <w:rPr>
          <w:rFonts w:ascii="Times New Roman" w:cs="Times New Roman" w:eastAsia="Times New Roman" w:hAnsi="Times New Roman"/>
          <w:sz w:val="18"/>
          <w:szCs w:val="18"/>
          <w:color w:val="auto"/>
        </w:rPr>
      </w:pPr>
    </w:p>
    <w:p>
      <w:pPr>
        <w:ind w:left="880" w:right="459" w:firstLine="6"/>
        <w:spacing w:after="0" w:line="260" w:lineRule="auto"/>
        <w:tabs>
          <w:tab w:leader="none" w:pos="115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general corporate purposes including, but not limited to, working capital for operations, capital expenditures and future potential acquisitions.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ind w:left="880" w:right="459" w:hanging="426"/>
        <w:spacing w:after="0" w:line="286" w:lineRule="auto"/>
        <w:tabs>
          <w:tab w:leader="none" w:pos="911"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equity stake will current stockholders of FS Development and Gemini Equityholders hold in the Combined Entity after the Closing</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jc w:val="both"/>
        <w:ind w:left="880" w:right="459" w:hanging="426"/>
        <w:spacing w:after="0" w:line="253" w:lineRule="auto"/>
        <w:tabs>
          <w:tab w:leader="none" w:pos="112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anticipated that, upon completion of the Business Combination,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The ownership percentage with respect to the Combined Entity following the Business Combination does not take into account (i) the redemption of any shares by FS Development’s public stockholders, or (ii) the issuance of any shares upon the Closing under the Equity Incentive Plan, which is intended to be adopted following the Closing. If the actual facts are different than these assumptions (which they are likely to be), the percentage ownership retained by FS Development’s existing stockholders in the Combined Entity will be different.</w:t>
      </w:r>
    </w:p>
    <w:p>
      <w:pPr>
        <w:spacing w:after="0" w:line="120" w:lineRule="exact"/>
        <w:rPr>
          <w:sz w:val="20"/>
          <w:szCs w:val="20"/>
          <w:color w:val="auto"/>
        </w:rPr>
      </w:pPr>
    </w:p>
    <w:p>
      <w:pPr>
        <w:ind w:left="880" w:right="459"/>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Summary Unaudited Pro Forma Condensed Combined Financial Information</w:t>
      </w:r>
      <w:r>
        <w:rPr>
          <w:rFonts w:ascii="Times New Roman" w:cs="Times New Roman" w:eastAsia="Times New Roman" w:hAnsi="Times New Roman"/>
          <w:sz w:val="18"/>
          <w:szCs w:val="18"/>
          <w:color w:val="auto"/>
        </w:rPr>
        <w:t>” for further information.</w:t>
      </w:r>
    </w:p>
    <w:p>
      <w:pPr>
        <w:spacing w:after="0" w:line="89" w:lineRule="exact"/>
        <w:rPr>
          <w:sz w:val="20"/>
          <w:szCs w:val="20"/>
          <w:color w:val="auto"/>
        </w:rPr>
      </w:pPr>
    </w:p>
    <w:p>
      <w:pPr>
        <w:ind w:left="880" w:right="479" w:hanging="426"/>
        <w:spacing w:after="0" w:line="286" w:lineRule="auto"/>
        <w:tabs>
          <w:tab w:leader="none" w:pos="90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the Board obtain a third-party valuation or fairness opinion in determining whether or not to proceed with the Business Combination?</w:t>
      </w:r>
    </w:p>
    <w:p>
      <w:pPr>
        <w:spacing w:after="0" w:line="77" w:lineRule="exact"/>
        <w:rPr>
          <w:rFonts w:ascii="Times New Roman" w:cs="Times New Roman" w:eastAsia="Times New Roman" w:hAnsi="Times New Roman"/>
          <w:sz w:val="18"/>
          <w:szCs w:val="18"/>
          <w:b w:val="1"/>
          <w:bCs w:val="1"/>
          <w:color w:val="auto"/>
        </w:rPr>
      </w:pPr>
    </w:p>
    <w:p>
      <w:pPr>
        <w:jc w:val="both"/>
        <w:ind w:left="880" w:right="459" w:hanging="426"/>
        <w:spacing w:after="0" w:line="254" w:lineRule="auto"/>
        <w:tabs>
          <w:tab w:leader="none" w:pos="8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did not obtain a third-party valuation or fairness opinion in connection with its determination to approve the Business Combination. The Board believes that based upon the financial skills and background of its directors, it was qualified to conclude that the Business Combination was fair from a financial perspective to its stockholders. The Board also determined, without seeking a valuation from a financial advisor, that Gemini’s fair market value was at least 80% of the assets held in the Trust Account (excluding the deferred underwriting commissions and taxes payable on the income earned on the Trust Account). Accordingly, investors will be relying on the judgment of the Board as described above in valuing Gemini’s business and assuming the risk that the Board may not have properly valued such business.</w:t>
      </w:r>
    </w:p>
    <w:p>
      <w:pPr>
        <w:spacing w:after="0" w:line="117" w:lineRule="exact"/>
        <w:rPr>
          <w:sz w:val="20"/>
          <w:szCs w:val="20"/>
          <w:color w:val="auto"/>
        </w:rPr>
      </w:pPr>
    </w:p>
    <w:p>
      <w:pPr>
        <w:ind w:left="880" w:right="459" w:hanging="426"/>
        <w:spacing w:after="0" w:line="286" w:lineRule="auto"/>
        <w:tabs>
          <w:tab w:leader="none" w:pos="103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FS Development providing stockholders with the opportunity to vote on the Business Combination</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both"/>
        <w:ind w:left="880" w:right="459" w:hanging="426"/>
        <w:spacing w:after="0" w:line="254" w:lineRule="auto"/>
        <w:tabs>
          <w:tab w:leader="none" w:pos="10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Charter, FS Development must provide all holders of its Public Shares with the opportunity to have their Public Shares redeemed upon the consummation of FS Development’s initial business combination either in conjunction with a tender offer or in conjunction with a stockholder vote. For business and other reasons, FS Development has elected to provide its stockholders with the opportunity to have their Public Shares redeemed in connection with a stockholder vote rather than a tender offer. Therefore, FS Development is seeking to obtain the approval of its stockholders of the Business Combination Proposal in order to allow its public stockholders to effectuate redemptions of their Public Shares in connection with the Closing.</w:t>
      </w:r>
    </w:p>
    <w:p>
      <w:pPr>
        <w:spacing w:after="0" w:line="107" w:lineRule="exact"/>
        <w:rPr>
          <w:sz w:val="20"/>
          <w:szCs w:val="20"/>
          <w:color w:val="auto"/>
        </w:rPr>
      </w:pPr>
    </w:p>
    <w:p>
      <w:pPr>
        <w:ind w:left="880" w:right="479" w:hanging="426"/>
        <w:spacing w:after="0" w:line="286" w:lineRule="auto"/>
        <w:tabs>
          <w:tab w:leader="none" w:pos="891"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arrangements to help ensure that the Combined Company will have sufficient funds, together with the proceeds in its Trust Account, to fund the Business Combination?</w:t>
      </w:r>
    </w:p>
    <w:p>
      <w:pPr>
        <w:spacing w:after="0" w:line="91" w:lineRule="exact"/>
        <w:rPr>
          <w:sz w:val="20"/>
          <w:szCs w:val="20"/>
          <w:color w:val="auto"/>
        </w:rPr>
      </w:pPr>
    </w:p>
    <w:p>
      <w:pPr>
        <w:jc w:val="both"/>
        <w:ind w:left="880" w:right="459" w:hanging="426"/>
        <w:spacing w:after="0" w:line="258" w:lineRule="auto"/>
        <w:tabs>
          <w:tab w:leader="none" w:pos="96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On October 15, 2020, FS Development entered into Subscription Agreements with the investors named therein providing for the issuance by FS Development of 9,506,000 shares of FS Development Class A Common Stock through the PIPE Investment (subject to certain conditions, including that all conditions precedent to the Closing will have been satisfied or waived (other than those conditions that are to be satisfied at the Closing) for gross proceeds to FS Development of $95,060,000.</w:t>
      </w:r>
    </w:p>
    <w:p>
      <w:pPr>
        <w:spacing w:after="0" w:line="116"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To the extent not utilized to consummate the Business Combination, the proceeds from the Trust Account will be used for general corporate purposes, including, but not limited to, working capital for operations, capital expenditures and future acquisitions. FS Development will agree that it (or its successor) will file with the SEC a registration statement registering the resale of the shares purchased in the PIPE Investment and maintain an effective registration statement under the Securities Act covering such securities and certain other securities of the Combined Entity.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have at the Special Meeting?</w:t>
      </w:r>
    </w:p>
    <w:p>
      <w:pPr>
        <w:spacing w:after="0" w:line="162" w:lineRule="exact"/>
        <w:rPr>
          <w:sz w:val="20"/>
          <w:szCs w:val="20"/>
          <w:color w:val="auto"/>
        </w:rPr>
      </w:pPr>
    </w:p>
    <w:p>
      <w:pPr>
        <w:jc w:val="both"/>
        <w:ind w:left="880" w:right="459" w:hanging="426"/>
        <w:spacing w:after="0" w:line="266" w:lineRule="auto"/>
        <w:tabs>
          <w:tab w:leader="none" w:pos="10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stockholders are entitled to one vote at the Special Meeting for each share of FS Development Common Stock held as of the Record Date. As of the close of business on the Record Date, there were [•] outstanding shares of FS Development Common Stock.</w:t>
      </w:r>
    </w:p>
    <w:p>
      <w:pPr>
        <w:spacing w:after="0" w:line="104" w:lineRule="exact"/>
        <w:rPr>
          <w:sz w:val="20"/>
          <w:szCs w:val="20"/>
          <w:color w:val="auto"/>
        </w:rPr>
      </w:pPr>
    </w:p>
    <w:p>
      <w:pPr>
        <w:ind w:left="880" w:right="479" w:hanging="426"/>
        <w:spacing w:after="0" w:line="286" w:lineRule="auto"/>
        <w:tabs>
          <w:tab w:leader="none" w:pos="104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FS Development, the Sponsor or FS Development’s directors, officers, advisors or their affiliates purchase shares in connection with the Business Combination?</w:t>
      </w:r>
    </w:p>
    <w:p>
      <w:pPr>
        <w:spacing w:after="0" w:line="78" w:lineRule="exact"/>
        <w:rPr>
          <w:sz w:val="20"/>
          <w:szCs w:val="20"/>
          <w:color w:val="auto"/>
        </w:rPr>
      </w:pPr>
    </w:p>
    <w:p>
      <w:pPr>
        <w:jc w:val="both"/>
        <w:ind w:left="880" w:right="459" w:hanging="426"/>
        <w:spacing w:after="0" w:line="252" w:lineRule="auto"/>
        <w:tabs>
          <w:tab w:leader="none" w:pos="9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stockholder vote to approve the proposed Business Combination, the Sponsor, directors, officers or advisors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FS Development’s Sponsor, directors, officers or advisors or their respective affiliates will make any such purchases when they are in possession of any material non-public information not disclosed to the seller or during a restricted period under Regulation M under the Exchange Act. Such a purchase would include a contractual acknowledgement that such stockholder, although still the record holder of FS Development shares, is no longer the beneficial owner thereof and therefore agrees not to exercise its redemption rights, and could include a contractual provision that directs such stockholder to vote such shares in a manner directed by the purchaser. In the event that the Sponsor, directors, officers or advisors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124" w:lineRule="exact"/>
        <w:rPr>
          <w:sz w:val="20"/>
          <w:szCs w:val="20"/>
          <w:color w:val="auto"/>
        </w:rPr>
      </w:pPr>
    </w:p>
    <w:p>
      <w:pPr>
        <w:ind w:left="880" w:hanging="426"/>
        <w:spacing w:after="0"/>
        <w:tabs>
          <w:tab w:leader="none" w:pos="8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at the Special Meeting?</w:t>
      </w:r>
    </w:p>
    <w:p>
      <w:pPr>
        <w:spacing w:after="0" w:line="162" w:lineRule="exact"/>
        <w:rPr>
          <w:sz w:val="20"/>
          <w:szCs w:val="20"/>
          <w:color w:val="auto"/>
        </w:rPr>
      </w:pPr>
    </w:p>
    <w:p>
      <w:pPr>
        <w:jc w:val="both"/>
        <w:ind w:left="880" w:right="459" w:hanging="426"/>
        <w:spacing w:after="0" w:line="261" w:lineRule="auto"/>
        <w:tabs>
          <w:tab w:leader="none" w:pos="9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majority in voting power of FS Development Common Stock issued and outstanding and entitled to vote at the Special Meeting constitute a quorum. In the absence of a quorum, the chairman of</w:t>
      </w:r>
    </w:p>
    <w:p>
      <w:pPr>
        <w:ind w:left="880"/>
        <w:spacing w:after="0"/>
        <w:tabs>
          <w:tab w:leader="none" w:pos="7840" w:val="left"/>
        </w:tabs>
        <w:rPr>
          <w:sz w:val="20"/>
          <w:szCs w:val="20"/>
          <w:color w:val="auto"/>
        </w:rPr>
      </w:pPr>
      <w:r>
        <w:rPr>
          <w:rFonts w:ascii="Times New Roman" w:cs="Times New Roman" w:eastAsia="Times New Roman" w:hAnsi="Times New Roman"/>
          <w:sz w:val="18"/>
          <w:szCs w:val="18"/>
          <w:color w:val="auto"/>
        </w:rPr>
        <w:t>the meeting has power to adjourn the Special Meeting. As of the Record Date,</w:t>
      </w:r>
      <w:r>
        <w:rPr>
          <w:sz w:val="20"/>
          <w:szCs w:val="20"/>
          <w:color w:val="auto"/>
        </w:rPr>
        <w:tab/>
      </w:r>
      <w:r>
        <w:rPr>
          <w:rFonts w:ascii="Times New Roman" w:cs="Times New Roman" w:eastAsia="Times New Roman" w:hAnsi="Times New Roman"/>
          <w:sz w:val="18"/>
          <w:szCs w:val="18"/>
          <w:color w:val="auto"/>
        </w:rPr>
        <w:t>shares of</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FS Development Common Stock would be required to achieve a quorum.</w:t>
      </w:r>
    </w:p>
    <w:p>
      <w:pPr>
        <w:spacing w:after="0" w:line="122" w:lineRule="exact"/>
        <w:rPr>
          <w:sz w:val="20"/>
          <w:szCs w:val="20"/>
          <w:color w:val="auto"/>
        </w:rPr>
      </w:pPr>
    </w:p>
    <w:p>
      <w:pPr>
        <w:ind w:left="880" w:hanging="426"/>
        <w:spacing w:after="0"/>
        <w:tabs>
          <w:tab w:leader="none" w:pos="8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the Sponsor, directors and officers vote?</w:t>
      </w:r>
    </w:p>
    <w:p>
      <w:pPr>
        <w:spacing w:after="0" w:line="162" w:lineRule="exact"/>
        <w:rPr>
          <w:sz w:val="20"/>
          <w:szCs w:val="20"/>
          <w:color w:val="auto"/>
        </w:rPr>
      </w:pPr>
    </w:p>
    <w:p>
      <w:pPr>
        <w:jc w:val="both"/>
        <w:ind w:left="880" w:right="459" w:hanging="426"/>
        <w:spacing w:after="0" w:line="254" w:lineRule="auto"/>
        <w:tabs>
          <w:tab w:leader="none" w:pos="89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as FS Development’s initial stockholder, has agreed to vote its Founders Shares (as well as any Public Shares purchased during or after the FS Development IPO) in favor of the Business Combination. As of the date of this proxy statement/prospectus, the Sponsor owns approximately 21.7% of the issued and outstanding shares of FS Development Common Stock, including all of the Founders Shares, and will be able to vote all such shares at the Special Meeting. Accordingly, it is more likely that the necessary stockholder approval will be received than would be the case if the Sponsor agreed to vote their Founders Shares in accordance with the majority of the votes cast by FS Development’s public stockholders.</w:t>
      </w:r>
    </w:p>
    <w:p>
      <w:pPr>
        <w:spacing w:after="0" w:line="120" w:lineRule="exact"/>
        <w:rPr>
          <w:sz w:val="20"/>
          <w:szCs w:val="20"/>
          <w:color w:val="auto"/>
        </w:rPr>
      </w:pPr>
    </w:p>
    <w:p>
      <w:pPr>
        <w:ind w:left="880" w:right="479" w:hanging="426"/>
        <w:spacing w:after="0" w:line="286" w:lineRule="auto"/>
        <w:tabs>
          <w:tab w:leader="none" w:pos="1159"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FS Development’s current officers and directors have in the Business Combination?</w:t>
      </w:r>
    </w:p>
    <w:p>
      <w:pPr>
        <w:spacing w:after="0" w:line="78" w:lineRule="exact"/>
        <w:rPr>
          <w:sz w:val="20"/>
          <w:szCs w:val="20"/>
          <w:color w:val="auto"/>
        </w:rPr>
      </w:pPr>
    </w:p>
    <w:p>
      <w:pPr>
        <w:jc w:val="both"/>
        <w:ind w:left="880" w:right="459" w:hanging="426"/>
        <w:spacing w:after="0" w:line="266" w:lineRule="auto"/>
        <w:tabs>
          <w:tab w:leader="none" w:pos="8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members of the Board and its executive officers have interests in the Business Combination that are different from or in addition to (and which may conflict with) your interest. These interests include, among other things: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5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FS Development consummates an initial business combination by August 14, 2022, FS Development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FS Development’s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FS Development’s remaining stockholders and the Board, liquidate and dissolve, subject in each case to FS Development’s obligations under Delaware law to provide for claims of creditors and the requirements of other applicable law;</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 w:name="page22"/>
    <w:bookmarkEnd w:id="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8" w:lineRule="auto"/>
        <w:tabs>
          <w:tab w:leader="none" w:pos="14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FS Development fails to complete a business combination within the required period. Our Sponsor purchased the Founders Shares prior to the FS Development IPO for an aggregate purchase price of $25,000, and transferred 30,000 Founders Shares to each of Robert Carey, Daniel Dubin and Deepa Pakianathan.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40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shares of FS Development Class A Common Stock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 price of $10.00 per share in a private placement to the Sponsor. If FS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2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FS Development’s officers and directors will lose their entire investment in FS Development if FS Development does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89" w:lineRule="auto"/>
        <w:tabs>
          <w:tab w:leader="none" w:pos="131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FS Development’s initial stockholders and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90" w:lineRule="exact"/>
        <w:rPr>
          <w:rFonts w:ascii="Times New Roman" w:cs="Times New Roman" w:eastAsia="Times New Roman" w:hAnsi="Times New Roman"/>
          <w:sz w:val="17"/>
          <w:szCs w:val="17"/>
          <w:color w:val="auto"/>
        </w:rPr>
      </w:pPr>
    </w:p>
    <w:p>
      <w:pPr>
        <w:jc w:val="both"/>
        <w:ind w:left="1320" w:right="459" w:hanging="434"/>
        <w:spacing w:after="0" w:line="254" w:lineRule="auto"/>
        <w:tabs>
          <w:tab w:leader="none" w:pos="14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FS Development if and to the extent any claims by a vendor for services rendered or products sold to FS Development, or a prospective target business with which FS Development has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FS Development’s indemnity of the underwriters of the offering against certain liabilities, including liabilities under the Securities Act.</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FS Development does not complete an initial business combination within the required period, FS Development may use a portion of its working capital held outside the Trust Account to repay the working capital loans, but no proceeds held in the Trust Account would be used to repay the working capital loans.</w:t>
      </w:r>
    </w:p>
    <w:p>
      <w:pPr>
        <w:spacing w:after="0" w:line="12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FS Development will continue to indemnify FS Development’s existing directors and officers and will maintain a directors’ and officers’ liability insurance policy.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the Sponsor, FS Development’s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08"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These interests may influence FS Development’s directors in making their recommendation that you vote in favor of the approval of the Business Combination.</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of FS Development Common Stock before the Special Meeting?</w:t>
      </w:r>
    </w:p>
    <w:p>
      <w:pPr>
        <w:spacing w:after="0" w:line="162" w:lineRule="exact"/>
        <w:rPr>
          <w:sz w:val="20"/>
          <w:szCs w:val="20"/>
          <w:color w:val="auto"/>
        </w:rPr>
      </w:pPr>
    </w:p>
    <w:p>
      <w:pPr>
        <w:jc w:val="both"/>
        <w:ind w:left="880" w:right="459" w:hanging="426"/>
        <w:spacing w:after="0" w:line="255" w:lineRule="auto"/>
        <w:tabs>
          <w:tab w:leader="none" w:pos="107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is earlier than the date of the Special Meeting. If you transfer your shares of FS Development Common Stock after the Record Date, but before the Special Meeting, unless the transferee obtains from you a proxy to vote those shares, you will retain your right to vote at the Special Meeting. However, you will not be able to seek redemption of your shares because you will no longer be able to deliver them for cancellation upon Closing. If you transfer your shares of FS Development Common Stock prior to the Record Date, you will have no right to vote those shares at the Special Meeting or redeem those shares for a pro rata portion of the proceeds held in our Trust Account.</w:t>
      </w:r>
    </w:p>
    <w:p>
      <w:pPr>
        <w:spacing w:after="0" w:line="117" w:lineRule="exact"/>
        <w:rPr>
          <w:sz w:val="20"/>
          <w:szCs w:val="20"/>
          <w:color w:val="auto"/>
        </w:rPr>
      </w:pPr>
    </w:p>
    <w:p>
      <w:pPr>
        <w:ind w:left="880" w:hanging="426"/>
        <w:spacing w:after="0"/>
        <w:tabs>
          <w:tab w:leader="none" w:pos="8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vote against the Business Combination Proposal?</w:t>
      </w:r>
    </w:p>
    <w:p>
      <w:pPr>
        <w:spacing w:after="0" w:line="148" w:lineRule="exact"/>
        <w:rPr>
          <w:sz w:val="20"/>
          <w:szCs w:val="20"/>
          <w:color w:val="auto"/>
        </w:rPr>
      </w:pPr>
    </w:p>
    <w:p>
      <w:pPr>
        <w:jc w:val="both"/>
        <w:ind w:left="880" w:right="459" w:hanging="431"/>
        <w:spacing w:after="0" w:line="261" w:lineRule="auto"/>
        <w:tabs>
          <w:tab w:leader="none" w:pos="860" w:val="left"/>
        </w:tabs>
        <w:rPr>
          <w:sz w:val="20"/>
          <w:szCs w:val="20"/>
          <w:color w:val="auto"/>
        </w:rPr>
      </w:pPr>
      <w:r>
        <w:rPr>
          <w:rFonts w:ascii="Times New Roman" w:cs="Times New Roman" w:eastAsia="Times New Roman" w:hAnsi="Times New Roman"/>
          <w:sz w:val="18"/>
          <w:szCs w:val="18"/>
          <w:color w:val="auto"/>
        </w:rPr>
        <w:t>A:</w:t>
        <w:tab/>
        <w:t>Pursuant to the Current Charter, if the Business Combination Proposal is not approved and FS Development does not otherwise consummate an alternative business combination by August 14, 2022, FS Development will be required to dissolve and liquidate its Trust Account by returning the then remaining funds in such account to the public stockholders.</w:t>
      </w:r>
    </w:p>
    <w:p>
      <w:pPr>
        <w:spacing w:after="0" w:line="108" w:lineRule="exact"/>
        <w:rPr>
          <w:sz w:val="20"/>
          <w:szCs w:val="20"/>
          <w:color w:val="auto"/>
        </w:rPr>
      </w:pPr>
    </w:p>
    <w:p>
      <w:pPr>
        <w:ind w:left="880" w:hanging="426"/>
        <w:spacing w:after="0"/>
        <w:tabs>
          <w:tab w:leader="none" w:pos="8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redemption rights?</w:t>
      </w:r>
    </w:p>
    <w:p>
      <w:pPr>
        <w:spacing w:after="0" w:line="162" w:lineRule="exact"/>
        <w:rPr>
          <w:sz w:val="20"/>
          <w:szCs w:val="20"/>
          <w:color w:val="auto"/>
        </w:rPr>
      </w:pPr>
    </w:p>
    <w:p>
      <w:pPr>
        <w:jc w:val="both"/>
        <w:ind w:left="880" w:right="459" w:hanging="426"/>
        <w:spacing w:after="0" w:line="254" w:lineRule="auto"/>
        <w:tabs>
          <w:tab w:leader="none" w:pos="89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Current Charter, holders of Public Shares may elect to have their shares redeemed for cash at the applicable redemption price per share calculated in accordance with the Current Charter. As of September 30, 2020, based on funds in the Trust Account of approximately $120,751,489, this would have amounted to approximately $10.73 per share. If a holder exercises its redemption rights, then such holder will be exchanging its Public Shares for cash. Such a holder will be entitled to receive cash for its Public Shares only if it properly demands redemption and delivers its shares (either physically or electronically) to FS Development’s transfer agent prior to the Special Meeting. See the section titled “</w:t>
      </w:r>
      <w:r>
        <w:rPr>
          <w:rFonts w:ascii="Times New Roman" w:cs="Times New Roman" w:eastAsia="Times New Roman" w:hAnsi="Times New Roman"/>
          <w:sz w:val="18"/>
          <w:szCs w:val="18"/>
          <w:i w:val="1"/>
          <w:iCs w:val="1"/>
          <w:color w:val="auto"/>
        </w:rPr>
        <w:t>Special Meeting of FS Development Stockholders — Redemption Rights</w:t>
      </w:r>
      <w:r>
        <w:rPr>
          <w:rFonts w:ascii="Times New Roman" w:cs="Times New Roman" w:eastAsia="Times New Roman" w:hAnsi="Times New Roman"/>
          <w:sz w:val="18"/>
          <w:szCs w:val="18"/>
          <w:color w:val="auto"/>
        </w:rPr>
        <w:t>” for the procedures to be followed if you wish to redeem your shares for cash.</w:t>
      </w:r>
    </w:p>
    <w:p>
      <w:pPr>
        <w:spacing w:after="0" w:line="103" w:lineRule="exact"/>
        <w:rPr>
          <w:sz w:val="20"/>
          <w:szCs w:val="20"/>
          <w:color w:val="auto"/>
        </w:rPr>
      </w:pPr>
    </w:p>
    <w:p>
      <w:pPr>
        <w:ind w:left="880" w:hanging="426"/>
        <w:spacing w:after="0"/>
        <w:tabs>
          <w:tab w:leader="none" w:pos="8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how I vote affect my ability to exercise redemption rights?</w:t>
      </w:r>
    </w:p>
    <w:p>
      <w:pPr>
        <w:spacing w:after="0" w:line="162" w:lineRule="exact"/>
        <w:rPr>
          <w:sz w:val="20"/>
          <w:szCs w:val="20"/>
          <w:color w:val="auto"/>
        </w:rPr>
      </w:pPr>
    </w:p>
    <w:p>
      <w:pPr>
        <w:jc w:val="both"/>
        <w:ind w:left="880" w:right="459" w:hanging="426"/>
        <w:spacing w:after="0" w:line="256" w:lineRule="auto"/>
        <w:tabs>
          <w:tab w:leader="none" w:pos="110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 may exercise your redemption rights whether you vote your Public Shares “FOR” or “AGAINST” the Business Combination Proposal or any other proposal described by this proxy statement/prospectus. As a result, the Merger Agreement can be approved by stockholders who will redeem their shares and no longer remain stockholders, leaving stockholders who choose not to redeem their shares holding shares in a company with a potentially less liquid trading market, fewer stockholders, potentially less cash and the potential inability to meet the listing standards of the Nasdaq Capital Market.</w:t>
      </w:r>
    </w:p>
    <w:p>
      <w:pPr>
        <w:spacing w:after="0" w:line="116" w:lineRule="exact"/>
        <w:rPr>
          <w:sz w:val="20"/>
          <w:szCs w:val="20"/>
          <w:color w:val="auto"/>
        </w:rPr>
      </w:pPr>
    </w:p>
    <w:p>
      <w:pPr>
        <w:ind w:left="880" w:hanging="426"/>
        <w:spacing w:after="0"/>
        <w:tabs>
          <w:tab w:leader="none" w:pos="8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exercise my redemption rights?</w:t>
      </w:r>
    </w:p>
    <w:p>
      <w:pPr>
        <w:spacing w:after="0" w:line="148" w:lineRule="exact"/>
        <w:rPr>
          <w:sz w:val="20"/>
          <w:szCs w:val="20"/>
          <w:color w:val="auto"/>
        </w:rPr>
      </w:pPr>
    </w:p>
    <w:p>
      <w:pPr>
        <w:jc w:val="both"/>
        <w:ind w:left="880" w:right="479" w:hanging="431"/>
        <w:spacing w:after="0" w:line="257" w:lineRule="auto"/>
        <w:tabs>
          <w:tab w:leader="none" w:pos="860" w:val="left"/>
        </w:tabs>
        <w:rPr>
          <w:sz w:val="20"/>
          <w:szCs w:val="20"/>
          <w:color w:val="auto"/>
        </w:rPr>
      </w:pPr>
      <w:r>
        <w:rPr>
          <w:rFonts w:ascii="Times New Roman" w:cs="Times New Roman" w:eastAsia="Times New Roman" w:hAnsi="Times New Roman"/>
          <w:sz w:val="18"/>
          <w:szCs w:val="18"/>
          <w:color w:val="auto"/>
        </w:rPr>
        <w:t>A:</w:t>
        <w:tab/>
        <w:t xml:space="preserve">In order to exercise your redemption rights, you must prior to 5:00 PM, Eastern time, on , 2020 (two (2) business days before the Special Meeting), tender your shares physically or electronically and submit a request in writing that FS Development redeem your Public Shares for cash to </w:t>
      </w:r>
      <w:r>
        <w:rPr>
          <w:rFonts w:ascii="Times New Roman" w:cs="Times New Roman" w:eastAsia="Times New Roman" w:hAnsi="Times New Roman"/>
          <w:sz w:val="18"/>
          <w:szCs w:val="18"/>
          <w:b w:val="1"/>
          <w:bCs w:val="1"/>
          <w:color w:val="auto"/>
        </w:rPr>
        <w:t>Continental</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Stock Transfer &amp; Trust Company, our transfer agent, at the following address:</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Continental Stock Transfer &amp; Trust Company</w:t>
      </w:r>
    </w:p>
    <w:p>
      <w:pPr>
        <w:spacing w:after="0" w:line="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One State Street Plaza, 30</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b w:val="1"/>
          <w:bCs w:val="1"/>
          <w:color w:val="auto"/>
        </w:rPr>
        <w:t>New York, New York 10004</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Attn: Mark Zimkind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E-mail: mzimkind@continentalstock.com</w:t>
      </w:r>
    </w:p>
    <w:p>
      <w:pPr>
        <w:spacing w:after="0" w:line="135"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 the written request to redeem your Public Share for cash to Continental Stock Transfer &amp; Trust Company, please provide a </w:t>
      </w:r>
      <w:r>
        <w:rPr>
          <w:rFonts w:ascii="Times New Roman" w:cs="Times New Roman" w:eastAsia="Times New Roman" w:hAnsi="Times New Roman"/>
          <w:sz w:val="18"/>
          <w:szCs w:val="18"/>
          <w:color w:val="auto"/>
        </w:rPr>
        <w:t>“Stockholder Certification” if you are not acting in concert or as a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in Section 13d-3 of the Exchange Act) with any other stockholder with respect to shares of FS Development Class A Common Stock. Notwithstanding the foregoing, a holder of the Public Shares, together with any affiliate of his or any other person with whom he is acting in concert or as a “group” (as defined in Section 13d-3 of the Exchange Act) will be restricted from seeking redemption rights with respect to an aggregate of 20% or more of the shares of FS Development Class A Common Stock issued in the FS Development IPO, which is referred to as the “20% threshold” in this proxy statement/prospectus. Accordingly, all Public Shares in excess of the 20% threshold beneficially owned by a public stockholder or group will not be redeemed for cash.</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Stockholders seeking to exercise their redemption rights and opting to deliver physical certificates should allot sufficient time to obtain physical certificates from the transfer agent and time to effect delivery. It is FS Development’s understanding that stockholders should generally allot at least two weeks to obtain physical certificates from the transfer agent. However, FS Development does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21" w:lineRule="exact"/>
        <w:rPr>
          <w:sz w:val="20"/>
          <w:szCs w:val="20"/>
          <w:color w:val="auto"/>
        </w:rPr>
      </w:pPr>
    </w:p>
    <w:p>
      <w:pPr>
        <w:jc w:val="both"/>
        <w:ind w:left="880" w:right="479"/>
        <w:spacing w:after="0" w:line="255"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deadline for exercising redemption requests and thereafter, with FS Development’s consent, until the closing of the Business Combination. If you delivered your shares for redemption to FS Development’s transfer agent and decide within the required timeframe not to exercise your redemption rights, you may request that FS Development’s transfer agent return the shares (physically or electronically). You may make such request by contacting FS Development’s transfer agent at the phone number or address listed under the question “Who can help answer my questions?” below.</w:t>
      </w:r>
    </w:p>
    <w:p>
      <w:pPr>
        <w:spacing w:after="0" w:line="117" w:lineRule="exact"/>
        <w:rPr>
          <w:sz w:val="20"/>
          <w:szCs w:val="20"/>
          <w:color w:val="auto"/>
        </w:rPr>
      </w:pPr>
    </w:p>
    <w:p>
      <w:pPr>
        <w:ind w:left="880" w:hanging="426"/>
        <w:spacing w:after="0"/>
        <w:tabs>
          <w:tab w:leader="none" w:pos="8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federal income tax consequences of exercising my redemption rights?</w:t>
      </w:r>
    </w:p>
    <w:p>
      <w:pPr>
        <w:spacing w:after="0" w:line="148" w:lineRule="exact"/>
        <w:rPr>
          <w:sz w:val="20"/>
          <w:szCs w:val="20"/>
          <w:color w:val="auto"/>
        </w:rPr>
      </w:pPr>
    </w:p>
    <w:p>
      <w:pPr>
        <w:jc w:val="both"/>
        <w:ind w:left="880" w:right="459" w:hanging="426"/>
        <w:spacing w:after="0" w:line="252" w:lineRule="auto"/>
        <w:tabs>
          <w:tab w:leader="none" w:pos="11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income tax consequences of FS Development stockholders who exercise their redemption rights to receive cash in exchange for their Public Shares depend on the stockholder’s particular facts and circumstances. Such stockholder generally will be required to treat the transaction as a sale of such shares and recognize gain or loss upon the redemption in an amount equal to the difference, if any, between the amount of cash received and the tax basis of the Public Shares redeemed. Such gain or loss should be treated as capital gain or loss if such shares were held as a capital asset on the date of the redemption. The redemption, however, may be treated as a distribution to a redeeming stockholder for U.S. federal income tax purposes if the redemption does not effect a sufficient reduction (as determined under applicable federal income tax law) in the redeeming stockholder’s percentage ownership in us (whether such ownership is direct or through the application of certain attribution and constructive ownership rules). Any amounts treated as such a distribution will constitute a dividend to the extent not in excess of our current and accumulated earnings and profits as measured for U.S. federal income tax purposes. Any amounts treated as a distribution and that are in excess of our current and accumulated earnings and profits will reduce the redeeming stockholder’s basis in his or her redeemed Public Shares, and any remaining amount will be treated as gain realized on the sale or other disposition of Public Shares. These tax consequences are described in more detail in the section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 Proposal — The Merger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Certain Material U.S. Federal Income Tax Considerations of the Redemption</w:t>
      </w:r>
      <w:r>
        <w:rPr>
          <w:rFonts w:ascii="Times New Roman" w:cs="Times New Roman" w:eastAsia="Times New Roman" w:hAnsi="Times New Roman"/>
          <w:sz w:val="18"/>
          <w:szCs w:val="18"/>
          <w:color w:val="auto"/>
        </w:rPr>
        <w:t>.” We urge you to consult your tax advisor regarding the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of exercising your redemption rights.</w:t>
      </w:r>
    </w:p>
    <w:p>
      <w:pPr>
        <w:spacing w:after="0" w:line="119" w:lineRule="exact"/>
        <w:rPr>
          <w:sz w:val="20"/>
          <w:szCs w:val="20"/>
          <w:color w:val="auto"/>
        </w:rPr>
      </w:pPr>
    </w:p>
    <w:p>
      <w:pPr>
        <w:ind w:left="880" w:hanging="426"/>
        <w:spacing w:after="0"/>
        <w:tabs>
          <w:tab w:leader="none" w:pos="8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dissenter rights if I object to the proposed Business Combination?</w:t>
      </w:r>
    </w:p>
    <w:p>
      <w:pPr>
        <w:spacing w:after="0" w:line="162" w:lineRule="exact"/>
        <w:rPr>
          <w:sz w:val="20"/>
          <w:szCs w:val="20"/>
          <w:color w:val="auto"/>
        </w:rPr>
      </w:pPr>
    </w:p>
    <w:p>
      <w:pPr>
        <w:jc w:val="both"/>
        <w:ind w:left="880" w:right="459" w:hanging="426"/>
        <w:spacing w:after="0" w:line="253" w:lineRule="auto"/>
        <w:tabs>
          <w:tab w:leader="none" w:pos="93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FS Development stockholders are not entitled to exercise dissenters’ rights under Delaware law in connection with the Business Combination. Dissenters’ rights are unavailable under Delaware law in connection with the Business Combination to holders of FS Development Class A Common Stock because it is currently listed on a national securities exchange and such holders are not required to receive any consideration (other than continuing to hold their shares of FS Development Class A Common Stock, which will become an equal number of shares of Common Stock of the Combined Entity after giving effect to the Business Combination). Holders of FS Development Class A Common Stock may vote against the Business Combination Proposal or redeem their Public Shares if they are not in favor of the adoption of the Merger Agreement or the Business Combination. Dissenters’ rights are unavailable under Delaware law in connection with the Business Combination to holders of FS Development Class B Common Stock because they have agreed to vote in favor of the Business Combination.</w:t>
      </w:r>
    </w:p>
    <w:p>
      <w:pPr>
        <w:spacing w:after="0" w:line="107" w:lineRule="exact"/>
        <w:rPr>
          <w:sz w:val="20"/>
          <w:szCs w:val="20"/>
          <w:color w:val="auto"/>
        </w:rPr>
      </w:pPr>
    </w:p>
    <w:p>
      <w:pPr>
        <w:ind w:left="880" w:hanging="426"/>
        <w:spacing w:after="0"/>
        <w:tabs>
          <w:tab w:leader="none" w:pos="8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funds held in the Trust Account upon Closing?</w:t>
      </w:r>
    </w:p>
    <w:p>
      <w:pPr>
        <w:spacing w:after="0" w:line="162" w:lineRule="exact"/>
        <w:rPr>
          <w:sz w:val="20"/>
          <w:szCs w:val="20"/>
          <w:color w:val="auto"/>
        </w:rPr>
      </w:pPr>
    </w:p>
    <w:p>
      <w:pPr>
        <w:ind w:left="860" w:hanging="406"/>
        <w:spacing w:after="0"/>
        <w:tabs>
          <w:tab w:leader="none" w:pos="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is consummated, the funds held in the Trust Account will be released to pay: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stockholders who properly exercise their redemption rights;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their deferred underwriting commissions;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fees, costs and expenses (including regulatory fees, legal fees, accounting fees, printer fees, and other professional fees) that were incurred by FS Development or Gemini in connection with the transactions contemplated by the Business Combination and pursuant to the terms of the Merger Agreement;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unpaid franchise and income taxes of FS Development;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general corporate purposes including, but not limited to, working capital for operations, capital expenditures and future potential acquisitions.</w:t>
      </w:r>
    </w:p>
    <w:p>
      <w:pPr>
        <w:spacing w:after="0" w:line="90" w:lineRule="exact"/>
        <w:rPr>
          <w:rFonts w:ascii="Times New Roman" w:cs="Times New Roman" w:eastAsia="Times New Roman" w:hAnsi="Times New Roman"/>
          <w:sz w:val="18"/>
          <w:szCs w:val="18"/>
          <w:color w:val="auto"/>
        </w:rPr>
      </w:pPr>
    </w:p>
    <w:p>
      <w:pPr>
        <w:ind w:left="880" w:hanging="426"/>
        <w:spacing w:after="0"/>
        <w:tabs>
          <w:tab w:leader="none" w:pos="8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Business Combination is not consummated?</w:t>
      </w:r>
    </w:p>
    <w:p>
      <w:pPr>
        <w:spacing w:after="0" w:line="148" w:lineRule="exact"/>
        <w:rPr>
          <w:sz w:val="20"/>
          <w:szCs w:val="20"/>
          <w:color w:val="auto"/>
        </w:rPr>
      </w:pPr>
    </w:p>
    <w:p>
      <w:pPr>
        <w:jc w:val="both"/>
        <w:ind w:left="880" w:right="459" w:hanging="426"/>
        <w:spacing w:after="0" w:line="266" w:lineRule="auto"/>
        <w:tabs>
          <w:tab w:leader="none" w:pos="91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circumstances under which the Merger Agreement may be terminated. See the section titled “</w:t>
      </w:r>
      <w:r>
        <w:rPr>
          <w:rFonts w:ascii="Times New Roman" w:cs="Times New Roman" w:eastAsia="Times New Roman" w:hAnsi="Times New Roman"/>
          <w:sz w:val="18"/>
          <w:szCs w:val="18"/>
          <w:i w:val="1"/>
          <w:iCs w:val="1"/>
          <w:color w:val="auto"/>
        </w:rPr>
        <w:t>The Business Combination Proposal — The Merger Agreement — Termination</w:t>
      </w:r>
      <w:r>
        <w:rPr>
          <w:rFonts w:ascii="Times New Roman" w:cs="Times New Roman" w:eastAsia="Times New Roman" w:hAnsi="Times New Roman"/>
          <w:sz w:val="18"/>
          <w:szCs w:val="18"/>
          <w:color w:val="auto"/>
        </w:rPr>
        <w:t>” for information regarding the parties’ specific termination rights.</w:t>
      </w:r>
    </w:p>
    <w:p>
      <w:pPr>
        <w:spacing w:after="0" w:line="108"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If, as a result of the termination of the Merger Agreement or otherwise, FS Development is unable to complete the Business Combination or another initial business combination transaction by August 14, 2022, the Current Charter provides that it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the DGCL to provide for claims of creditors and the requirements of other applicable law.</w:t>
      </w:r>
    </w:p>
    <w:p>
      <w:pPr>
        <w:spacing w:after="0" w:line="120" w:lineRule="exact"/>
        <w:rPr>
          <w:sz w:val="20"/>
          <w:szCs w:val="20"/>
          <w:color w:val="auto"/>
        </w:rPr>
      </w:pPr>
    </w:p>
    <w:p>
      <w:pPr>
        <w:jc w:val="both"/>
        <w:ind w:left="880" w:right="479"/>
        <w:spacing w:after="0" w:line="256" w:lineRule="auto"/>
        <w:rPr>
          <w:sz w:val="20"/>
          <w:szCs w:val="20"/>
          <w:color w:val="auto"/>
        </w:rPr>
      </w:pPr>
      <w:r>
        <w:rPr>
          <w:rFonts w:ascii="Times New Roman" w:cs="Times New Roman" w:eastAsia="Times New Roman" w:hAnsi="Times New Roman"/>
          <w:sz w:val="18"/>
          <w:szCs w:val="18"/>
          <w:color w:val="auto"/>
        </w:rPr>
        <w:t>FS Development expects that the amount of any distribution its public stockholders will be entitled to receive upon its dissolution will be approximately the same as the amount they would have received if they had redeemed their shares in connection with the Business Combination, subject in each case to FS Development’s obligations under the DGCL to provide for claims of creditors and other requirements of applicable law. Holders of Founders Shares have waived any right to any liquidating distribution with respect to those shares.</w:t>
      </w:r>
    </w:p>
    <w:p>
      <w:pPr>
        <w:spacing w:after="0" w:line="102" w:lineRule="exact"/>
        <w:rPr>
          <w:sz w:val="20"/>
          <w:szCs w:val="20"/>
          <w:color w:val="auto"/>
        </w:rPr>
      </w:pPr>
    </w:p>
    <w:p>
      <w:pPr>
        <w:ind w:left="880" w:hanging="426"/>
        <w:spacing w:after="0"/>
        <w:tabs>
          <w:tab w:leader="none" w:pos="8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Business Combination expected to be completed?</w:t>
      </w:r>
    </w:p>
    <w:p>
      <w:pPr>
        <w:spacing w:after="0" w:line="162" w:lineRule="exact"/>
        <w:rPr>
          <w:sz w:val="20"/>
          <w:szCs w:val="20"/>
          <w:color w:val="auto"/>
        </w:rPr>
      </w:pPr>
    </w:p>
    <w:p>
      <w:pPr>
        <w:jc w:val="both"/>
        <w:ind w:left="880" w:right="459" w:hanging="426"/>
        <w:spacing w:after="0" w:line="256" w:lineRule="auto"/>
        <w:tabs>
          <w:tab w:leader="none" w:pos="89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is expected to take place (a) the second business day following the satisfaction or waiver of the conditions described below under the section titled </w:t>
      </w:r>
      <w:r>
        <w:rPr>
          <w:rFonts w:ascii="Times New Roman" w:cs="Times New Roman" w:eastAsia="Times New Roman" w:hAnsi="Times New Roman"/>
          <w:sz w:val="18"/>
          <w:szCs w:val="18"/>
          <w:i w:val="1"/>
          <w:iCs w:val="1"/>
          <w:color w:val="auto"/>
        </w:rPr>
        <w:t>“The Business Combination Proposal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Conditions to Closing”</w:t>
      </w:r>
      <w:r>
        <w:rPr>
          <w:rFonts w:ascii="Times New Roman" w:cs="Times New Roman" w:eastAsia="Times New Roman" w:hAnsi="Times New Roman"/>
          <w:sz w:val="18"/>
          <w:szCs w:val="18"/>
          <w:color w:val="auto"/>
        </w:rPr>
        <w:t>; or (b) such other date as agreed to by FS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Gemini in writing, in each case, subject to the satisfaction or waiver of the closing conditions. The Merger Agreement may be terminated by either FS Development or Gemini if the Closing has not occurred by April 15, 2021, subject to certain exceptions.</w:t>
      </w:r>
    </w:p>
    <w:p>
      <w:pPr>
        <w:spacing w:after="0" w:line="120"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For a description of the conditions to the completion of the Business Combination, see the section titled “</w:t>
      </w:r>
      <w:r>
        <w:rPr>
          <w:rFonts w:ascii="Times New Roman" w:cs="Times New Roman" w:eastAsia="Times New Roman" w:hAnsi="Times New Roman"/>
          <w:sz w:val="18"/>
          <w:szCs w:val="18"/>
          <w:i w:val="1"/>
          <w:iCs w:val="1"/>
          <w:color w:val="auto"/>
        </w:rPr>
        <w:t>The Business Combination Proposal — The Merger Agreement — Conditions to Closing.</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880" w:hanging="426"/>
        <w:spacing w:after="0"/>
        <w:tabs>
          <w:tab w:leader="none" w:pos="8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62" w:lineRule="exact"/>
        <w:rPr>
          <w:sz w:val="20"/>
          <w:szCs w:val="20"/>
          <w:color w:val="auto"/>
        </w:rPr>
      </w:pPr>
    </w:p>
    <w:p>
      <w:pPr>
        <w:jc w:val="both"/>
        <w:ind w:left="880" w:right="459" w:hanging="426"/>
        <w:spacing w:after="0" w:line="258" w:lineRule="auto"/>
        <w:tabs>
          <w:tab w:leader="none" w:pos="85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read carefully and consider the information contained in this proxy statement/prospectus, including the annexes, and to consider how the Business Combination will affect you as a stockholder.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w:t>
      </w:r>
    </w:p>
    <w:p>
      <w:pPr>
        <w:spacing w:after="0" w:line="112" w:lineRule="exact"/>
        <w:rPr>
          <w:sz w:val="20"/>
          <w:szCs w:val="20"/>
          <w:color w:val="auto"/>
        </w:rPr>
      </w:pPr>
    </w:p>
    <w:p>
      <w:pPr>
        <w:ind w:left="46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Q:</w:t>
        <w:tab/>
        <w:t>How do I vote?</w:t>
      </w:r>
    </w:p>
    <w:p>
      <w:pPr>
        <w:spacing w:after="0" w:line="148" w:lineRule="exact"/>
        <w:rPr>
          <w:sz w:val="20"/>
          <w:szCs w:val="20"/>
          <w:color w:val="auto"/>
        </w:rPr>
      </w:pPr>
    </w:p>
    <w:p>
      <w:pPr>
        <w:ind w:left="460"/>
        <w:spacing w:after="0"/>
        <w:tabs>
          <w:tab w:leader="none" w:pos="860" w:val="left"/>
          <w:tab w:leader="none" w:pos="6420" w:val="left"/>
        </w:tabs>
        <w:rPr>
          <w:sz w:val="20"/>
          <w:szCs w:val="20"/>
          <w:color w:val="auto"/>
        </w:rPr>
      </w:pPr>
      <w:r>
        <w:rPr>
          <w:rFonts w:ascii="Times New Roman" w:cs="Times New Roman" w:eastAsia="Times New Roman" w:hAnsi="Times New Roman"/>
          <w:sz w:val="18"/>
          <w:szCs w:val="18"/>
          <w:color w:val="auto"/>
        </w:rPr>
        <w:t>A.</w:t>
        <w:tab/>
        <w:t>If you were a holder of record of FS Development Common Stock on</w:t>
      </w:r>
      <w:r>
        <w:rPr>
          <w:sz w:val="20"/>
          <w:szCs w:val="20"/>
          <w:color w:val="auto"/>
        </w:rPr>
        <w:tab/>
      </w:r>
      <w:r>
        <w:rPr>
          <w:rFonts w:ascii="Times New Roman" w:cs="Times New Roman" w:eastAsia="Times New Roman" w:hAnsi="Times New Roman"/>
          <w:sz w:val="18"/>
          <w:szCs w:val="18"/>
          <w:color w:val="auto"/>
        </w:rPr>
        <w:t>, 2020, the Record Date, you</w:t>
      </w:r>
    </w:p>
    <w:p>
      <w:pPr>
        <w:spacing w:after="0" w:line="27" w:lineRule="exact"/>
        <w:rPr>
          <w:sz w:val="20"/>
          <w:szCs w:val="20"/>
          <w:color w:val="auto"/>
        </w:rPr>
      </w:pPr>
    </w:p>
    <w:p>
      <w:pPr>
        <w:jc w:val="both"/>
        <w:ind w:left="880" w:right="479"/>
        <w:spacing w:after="0" w:line="252" w:lineRule="auto"/>
        <w:rPr>
          <w:sz w:val="20"/>
          <w:szCs w:val="20"/>
          <w:color w:val="auto"/>
        </w:rPr>
      </w:pPr>
      <w:r>
        <w:rPr>
          <w:rFonts w:ascii="Times New Roman" w:cs="Times New Roman" w:eastAsia="Times New Roman" w:hAnsi="Times New Roman"/>
          <w:sz w:val="18"/>
          <w:szCs w:val="18"/>
          <w:color w:val="auto"/>
        </w:rPr>
        <w:t>may vote with respect to the applicable proposals online at the Special Meeting or by completing, signing, dating and returning the enclosed proxy card in the postage-paid envelope provided. If you choose to participate in the Special Meeting, you can vote your shares electronically during the Special Meeting via live webcast by visiting. You will need the 12-digit meeting control number that is printed on your proxy card to enter the Special Meeting. FS Development recommends that you log in at least 15 minutes before the Special Meeting to ensure you are logged in when the Special Meeting starts.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color w:val="auto"/>
        </w:rPr>
        <w:t xml:space="preserve">If on the Record Date your shares were held, not in your 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online. However, since you are not the stockholder of record, you may not vote your shares online at the Special Meeting unless you first request and obtain a valid legal proxy from your broker or other agent. You must then e-mail a copy (a legible photograph is sufficient) of your legal proxy to </w:t>
      </w:r>
      <w:r>
        <w:rPr>
          <w:rFonts w:ascii="Times New Roman" w:cs="Times New Roman" w:eastAsia="Times New Roman" w:hAnsi="Times New Roman"/>
          <w:sz w:val="18"/>
          <w:szCs w:val="18"/>
          <w:b w:val="1"/>
          <w:bCs w:val="1"/>
          <w:color w:val="auto"/>
        </w:rPr>
        <w:t>Continental Stock Transfer &amp; Trust Company (“CST”)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proxy@continentalstock.com. Beneficial owners who e-mail a valid legal proxy will be issued a 12-digit meeting control number that will allow them to register to attend and participate in the Special Meeting. Beneficial owners who wish to attend the special meeting online should contact</w:t>
      </w:r>
    </w:p>
    <w:p>
      <w:pPr>
        <w:spacing w:after="0" w:line="4" w:lineRule="exact"/>
        <w:rPr>
          <w:sz w:val="20"/>
          <w:szCs w:val="20"/>
          <w:color w:val="auto"/>
        </w:rPr>
      </w:pPr>
    </w:p>
    <w:p>
      <w:pPr>
        <w:ind w:left="880"/>
        <w:spacing w:after="0"/>
        <w:tabs>
          <w:tab w:leader="none" w:pos="2740" w:val="left"/>
        </w:tabs>
        <w:rPr>
          <w:sz w:val="20"/>
          <w:szCs w:val="20"/>
          <w:color w:val="auto"/>
        </w:rPr>
      </w:pPr>
      <w:r>
        <w:rPr>
          <w:rFonts w:ascii="Times New Roman" w:cs="Times New Roman" w:eastAsia="Times New Roman" w:hAnsi="Times New Roman"/>
          <w:sz w:val="18"/>
          <w:szCs w:val="18"/>
          <w:b w:val="1"/>
          <w:bCs w:val="1"/>
          <w:color w:val="auto"/>
        </w:rPr>
        <w:t>CST no later than</w:t>
      </w:r>
      <w:r>
        <w:rPr>
          <w:sz w:val="20"/>
          <w:szCs w:val="20"/>
          <w:color w:val="auto"/>
        </w:rPr>
        <w:tab/>
      </w:r>
      <w:r>
        <w:rPr>
          <w:rFonts w:ascii="Times New Roman" w:cs="Times New Roman" w:eastAsia="Times New Roman" w:hAnsi="Times New Roman"/>
          <w:sz w:val="18"/>
          <w:szCs w:val="18"/>
          <w:b w:val="1"/>
          <w:bCs w:val="1"/>
          <w:color w:val="auto"/>
        </w:rPr>
        <w:t>, 2020 to obtain this information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880" w:hanging="426"/>
        <w:spacing w:after="0"/>
        <w:tabs>
          <w:tab w:leader="none" w:pos="8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abstain from voting or fail to vote at the Special Meeting?</w:t>
      </w:r>
    </w:p>
    <w:p>
      <w:pPr>
        <w:spacing w:after="0" w:line="162" w:lineRule="exact"/>
        <w:rPr>
          <w:sz w:val="20"/>
          <w:szCs w:val="20"/>
          <w:color w:val="auto"/>
        </w:rPr>
      </w:pPr>
    </w:p>
    <w:p>
      <w:pPr>
        <w:jc w:val="both"/>
        <w:ind w:left="880" w:right="459" w:hanging="426"/>
        <w:spacing w:after="0" w:line="255" w:lineRule="auto"/>
        <w:tabs>
          <w:tab w:leader="none" w:pos="8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FS Development will count a properly executed proxy card marked “ABSTAIN” with respect to a particular proposal as present for purposes of determining whether a quorum is present. The failure to vote, abstentions and broker non-votes will have the same effect as a vote “AGAINST” the Charter Amendment Proposal. The failure to vote, abstentions and broker non-votes will not be counted as votes cast and will have no effect on any of the Business Combination Proposal, the Nasdaq Stock Issuance Proposal, the Advisory Charter Proposals, the Incentive Plan Proposal, and the Adjournment Proposal.</w:t>
      </w:r>
    </w:p>
    <w:p>
      <w:pPr>
        <w:spacing w:after="0" w:line="104" w:lineRule="exact"/>
        <w:rPr>
          <w:sz w:val="20"/>
          <w:szCs w:val="20"/>
          <w:color w:val="auto"/>
        </w:rPr>
      </w:pPr>
    </w:p>
    <w:p>
      <w:pPr>
        <w:ind w:left="880" w:hanging="426"/>
        <w:spacing w:after="0"/>
        <w:tabs>
          <w:tab w:leader="none" w:pos="8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sign and return my proxy card without indicating how I wish to vote?</w:t>
      </w:r>
    </w:p>
    <w:p>
      <w:pPr>
        <w:spacing w:after="0" w:line="162" w:lineRule="exact"/>
        <w:rPr>
          <w:sz w:val="20"/>
          <w:szCs w:val="20"/>
          <w:color w:val="auto"/>
        </w:rPr>
      </w:pPr>
    </w:p>
    <w:p>
      <w:pPr>
        <w:jc w:val="both"/>
        <w:ind w:left="880" w:right="479" w:hanging="426"/>
        <w:spacing w:after="0" w:line="261" w:lineRule="auto"/>
        <w:tabs>
          <w:tab w:leader="none" w:pos="97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and dated proxies received by FS Development without an indication of how the stockholder intends to vote on a proposal will be voted “FOR” each proposal presented to the stockholders. The proxyholders may use their discretion to vote on any other matters which properly come before the Special Meeting.</w:t>
      </w:r>
    </w:p>
    <w:p>
      <w:pPr>
        <w:spacing w:after="0" w:line="108" w:lineRule="exact"/>
        <w:rPr>
          <w:sz w:val="20"/>
          <w:szCs w:val="20"/>
          <w:color w:val="auto"/>
        </w:rPr>
      </w:pPr>
    </w:p>
    <w:p>
      <w:pPr>
        <w:ind w:left="860" w:hanging="406"/>
        <w:spacing w:after="0"/>
        <w:tabs>
          <w:tab w:leader="none" w:pos="8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the Special Meeting?</w:t>
      </w:r>
    </w:p>
    <w:p>
      <w:pPr>
        <w:spacing w:after="0" w:line="148" w:lineRule="exact"/>
        <w:rPr>
          <w:sz w:val="20"/>
          <w:szCs w:val="20"/>
          <w:color w:val="auto"/>
        </w:rPr>
      </w:pPr>
    </w:p>
    <w:p>
      <w:pPr>
        <w:ind w:left="960" w:hanging="506"/>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and vote your shares online during the Special Meeting via live</w:t>
      </w:r>
    </w:p>
    <w:p>
      <w:pPr>
        <w:spacing w:after="0" w:line="27" w:lineRule="exact"/>
        <w:rPr>
          <w:sz w:val="20"/>
          <w:szCs w:val="20"/>
          <w:color w:val="auto"/>
        </w:rPr>
      </w:pPr>
    </w:p>
    <w:p>
      <w:pPr>
        <w:jc w:val="both"/>
        <w:ind w:left="880" w:right="479"/>
        <w:spacing w:after="0" w:line="252" w:lineRule="auto"/>
        <w:rPr>
          <w:sz w:val="20"/>
          <w:szCs w:val="20"/>
          <w:color w:val="auto"/>
        </w:rPr>
      </w:pPr>
      <w:r>
        <w:rPr>
          <w:rFonts w:ascii="Times New Roman" w:cs="Times New Roman" w:eastAsia="Times New Roman" w:hAnsi="Times New Roman"/>
          <w:sz w:val="18"/>
          <w:szCs w:val="18"/>
          <w:color w:val="auto"/>
        </w:rPr>
        <w:t>webcast by visiting . As a registered stockholder, you received a proxy card from CST, which contains instructions on how to attend the Special Meeting online, including the URL address, along with your 12-digit meeting control number. You will need the 12-digit meeting control number that is printed on your proxy card to enter the Special Meeting. If you do not have your 12-digit meeting control number, contact CST at 917-262-2373 or e-mail CST at proxy@continentalstock.com. Please note that you will not be able to physically attend the special meeting in person, but may attend the Special Meeting online by following the instructions below.</w:t>
      </w:r>
    </w:p>
    <w:p>
      <w:pPr>
        <w:spacing w:after="0" w:line="121"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You can pre-register to attend the Special Meeting online starting, 2020. Enter the URL address into your browser, and enter your 12-digit meeting control number, name and email address. Once you pre-register you can vote or enter questions in the chat box. Prior to or at the start of the Special Meeting you will need to re-log in using your 12-digit meeting control number and will also be prompted to enter your 12-digit meeting control number if you vote online during the Special Meeting. FS Development recommends that you log in at least 15 minutes before the Special Meeting to ensure you are logged in when the Special Meeting starts.</w:t>
      </w:r>
    </w:p>
    <w:p>
      <w:pPr>
        <w:spacing w:after="0" w:line="121" w:lineRule="exact"/>
        <w:rPr>
          <w:sz w:val="20"/>
          <w:szCs w:val="20"/>
          <w:color w:val="auto"/>
        </w:rPr>
      </w:pPr>
    </w:p>
    <w:p>
      <w:pPr>
        <w:jc w:val="both"/>
        <w:ind w:left="880" w:right="479"/>
        <w:spacing w:after="0" w:line="258" w:lineRule="auto"/>
        <w:rPr>
          <w:sz w:val="20"/>
          <w:szCs w:val="20"/>
          <w:color w:val="auto"/>
        </w:rPr>
      </w:pPr>
      <w:r>
        <w:rPr>
          <w:rFonts w:ascii="Times New Roman" w:cs="Times New Roman" w:eastAsia="Times New Roman" w:hAnsi="Times New Roman"/>
          <w:sz w:val="18"/>
          <w:szCs w:val="18"/>
          <w:color w:val="auto"/>
        </w:rPr>
        <w:t>If your shares are held in “street name,” you may attend the Special Meeting. You will need to contact CST at the number or email address above, to receive a 12-digit meeting control number and gain access to the Special Meeting or otherwise contact your broker, bank, or other nominee as soon as possible, to do so. Please allow up to 72 hours prior to the Special Meeting for processing your 12-digit meeting control number.</w:t>
      </w:r>
    </w:p>
    <w:p>
      <w:pPr>
        <w:spacing w:after="0" w:line="102" w:lineRule="exact"/>
        <w:rPr>
          <w:sz w:val="20"/>
          <w:szCs w:val="20"/>
          <w:color w:val="auto"/>
        </w:rPr>
      </w:pPr>
    </w:p>
    <w:p>
      <w:pPr>
        <w:ind w:left="880"/>
        <w:spacing w:after="0"/>
        <w:tabs>
          <w:tab w:leader="none" w:pos="8480" w:val="left"/>
        </w:tabs>
        <w:rPr>
          <w:sz w:val="20"/>
          <w:szCs w:val="20"/>
          <w:color w:val="auto"/>
        </w:rPr>
      </w:pPr>
      <w:r>
        <w:rPr>
          <w:rFonts w:ascii="Times New Roman" w:cs="Times New Roman" w:eastAsia="Times New Roman" w:hAnsi="Times New Roman"/>
          <w:sz w:val="18"/>
          <w:szCs w:val="18"/>
          <w:color w:val="auto"/>
        </w:rPr>
        <w:t>If you do not have Internet capabilities, you can listen only to the Special Meeting by dialing</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880"/>
        <w:spacing w:after="0"/>
        <w:tabs>
          <w:tab w:leader="none" w:pos="3680" w:val="left"/>
        </w:tabs>
        <w:rPr>
          <w:sz w:val="20"/>
          <w:szCs w:val="20"/>
          <w:color w:val="auto"/>
        </w:rPr>
      </w:pPr>
      <w:r>
        <w:rPr>
          <w:rFonts w:ascii="Times New Roman" w:cs="Times New Roman" w:eastAsia="Times New Roman" w:hAnsi="Times New Roman"/>
          <w:sz w:val="18"/>
          <w:szCs w:val="18"/>
          <w:color w:val="auto"/>
        </w:rPr>
        <w:t>when prompted enter the pin #</w:t>
      </w:r>
      <w:r>
        <w:rPr>
          <w:sz w:val="20"/>
          <w:szCs w:val="20"/>
          <w:color w:val="auto"/>
        </w:rPr>
        <w:tab/>
      </w:r>
      <w:r>
        <w:rPr>
          <w:rFonts w:ascii="Times New Roman" w:cs="Times New Roman" w:eastAsia="Times New Roman" w:hAnsi="Times New Roman"/>
          <w:sz w:val="18"/>
          <w:szCs w:val="18"/>
          <w:color w:val="auto"/>
        </w:rPr>
        <w:t>. This is listen only, you will not be able to vote or enter questions</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during the Special Meeting.</w:t>
      </w:r>
    </w:p>
    <w:p>
      <w:pPr>
        <w:spacing w:after="0" w:line="135" w:lineRule="exact"/>
        <w:rPr>
          <w:sz w:val="20"/>
          <w:szCs w:val="20"/>
          <w:color w:val="auto"/>
        </w:rPr>
      </w:pPr>
    </w:p>
    <w:p>
      <w:pPr>
        <w:ind w:left="880" w:hanging="426"/>
        <w:spacing w:after="0"/>
        <w:tabs>
          <w:tab w:leader="none" w:pos="8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not going to attend the Special Meeting, should I return my proxy card instead?</w:t>
      </w:r>
    </w:p>
    <w:p>
      <w:pPr>
        <w:spacing w:after="0" w:line="162" w:lineRule="exact"/>
        <w:rPr>
          <w:sz w:val="20"/>
          <w:szCs w:val="20"/>
          <w:color w:val="auto"/>
        </w:rPr>
      </w:pPr>
    </w:p>
    <w:p>
      <w:pPr>
        <w:jc w:val="both"/>
        <w:ind w:left="880" w:right="479" w:hanging="426"/>
        <w:spacing w:after="0" w:line="266" w:lineRule="auto"/>
        <w:tabs>
          <w:tab w:leader="none" w:pos="113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Whether you plan to attend the Special Meeting or not, please read the enclosed proxy statement/prospectus carefully, and vote your shares by completing, signing, dating and returning the enclosed proxy card in the postage-paid envelope provided.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 xml:space="preserve">In order to exercise your redemption rights, you must properly demand redemption and deliver your shares (either physically or electronically) to our transfer agent at least two business days prior to the Special Meeting. See “— </w:t>
      </w:r>
      <w:r>
        <w:rPr>
          <w:rFonts w:ascii="Times New Roman" w:cs="Times New Roman" w:eastAsia="Times New Roman" w:hAnsi="Times New Roman"/>
          <w:sz w:val="18"/>
          <w:szCs w:val="18"/>
          <w:i w:val="1"/>
          <w:iCs w:val="1"/>
          <w:color w:val="auto"/>
        </w:rPr>
        <w:t>How do I exercise my redemption rights</w:t>
      </w:r>
      <w:r>
        <w:rPr>
          <w:rFonts w:ascii="Times New Roman" w:cs="Times New Roman" w:eastAsia="Times New Roman" w:hAnsi="Times New Roman"/>
          <w:sz w:val="18"/>
          <w:szCs w:val="18"/>
          <w:color w:val="auto"/>
        </w:rPr>
        <w:t>” above.</w:t>
      </w:r>
    </w:p>
    <w:p>
      <w:pPr>
        <w:spacing w:after="0" w:line="104" w:lineRule="exact"/>
        <w:rPr>
          <w:sz w:val="20"/>
          <w:szCs w:val="20"/>
          <w:color w:val="auto"/>
        </w:rPr>
      </w:pPr>
    </w:p>
    <w:p>
      <w:pPr>
        <w:ind w:left="880" w:hanging="426"/>
        <w:spacing w:after="0"/>
        <w:tabs>
          <w:tab w:leader="none" w:pos="8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mailed my signed proxy card?</w:t>
      </w:r>
    </w:p>
    <w:p>
      <w:pPr>
        <w:spacing w:after="0" w:line="162" w:lineRule="exact"/>
        <w:rPr>
          <w:sz w:val="20"/>
          <w:szCs w:val="20"/>
          <w:color w:val="auto"/>
        </w:rPr>
      </w:pPr>
    </w:p>
    <w:p>
      <w:pPr>
        <w:jc w:val="both"/>
        <w:ind w:left="880" w:right="459" w:hanging="426"/>
        <w:spacing w:after="0" w:line="266" w:lineRule="auto"/>
        <w:tabs>
          <w:tab w:leader="none" w:pos="8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you are a stockholder of record of FS Development Common Stock as of the close of business on the Record Date, you can change or revoke your proxy before it is voted at the meeting in one of the following ways:</w:t>
      </w:r>
    </w:p>
    <w:p>
      <w:pPr>
        <w:spacing w:after="0" w:line="94"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new proxy card bearing a later date;</w:t>
      </w:r>
    </w:p>
    <w:p>
      <w:pPr>
        <w:spacing w:after="0" w:line="157"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6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written notice of your revocation to FS Development’s Corporate Secretary, which notice must be received by FS Development’s Corporate Secretary prior to the vote at the Special Meeting; or</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81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electronically at the Special Meeting by visiting and entering the control number found on your proxy card, voting instruction form or notice you previously received. Please note that your attendance at the Special Meeting will not alone serve to revoke your proxy.</w:t>
      </w:r>
    </w:p>
    <w:p>
      <w:pPr>
        <w:spacing w:after="0" w:line="95"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by your broker, bank or another nominee as of the close of business on the Record Date, you must follow the instructions of your broker, bank or other nominee to revoke or change your voting instructions.</w:t>
      </w:r>
    </w:p>
    <w:p>
      <w:pPr>
        <w:spacing w:after="0" w:line="104" w:lineRule="exact"/>
        <w:rPr>
          <w:sz w:val="20"/>
          <w:szCs w:val="20"/>
          <w:color w:val="auto"/>
        </w:rPr>
      </w:pPr>
    </w:p>
    <w:p>
      <w:pPr>
        <w:ind w:left="880" w:hanging="426"/>
        <w:spacing w:after="0"/>
        <w:tabs>
          <w:tab w:leader="none" w:pos="8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62" w:lineRule="exact"/>
        <w:rPr>
          <w:sz w:val="20"/>
          <w:szCs w:val="20"/>
          <w:color w:val="auto"/>
        </w:rPr>
      </w:pPr>
    </w:p>
    <w:p>
      <w:pPr>
        <w:jc w:val="both"/>
        <w:ind w:left="880" w:right="459" w:hanging="426"/>
        <w:spacing w:after="0" w:line="255" w:lineRule="auto"/>
        <w:tabs>
          <w:tab w:leader="none" w:pos="106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104" w:lineRule="exact"/>
        <w:rPr>
          <w:sz w:val="20"/>
          <w:szCs w:val="20"/>
          <w:color w:val="auto"/>
        </w:rPr>
      </w:pPr>
    </w:p>
    <w:p>
      <w:pPr>
        <w:ind w:left="880" w:hanging="426"/>
        <w:spacing w:after="0"/>
        <w:tabs>
          <w:tab w:leader="none" w:pos="8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w:t>
      </w:r>
    </w:p>
    <w:p>
      <w:pPr>
        <w:spacing w:after="0" w:line="162" w:lineRule="exact"/>
        <w:rPr>
          <w:sz w:val="20"/>
          <w:szCs w:val="20"/>
          <w:color w:val="auto"/>
        </w:rPr>
      </w:pPr>
    </w:p>
    <w:p>
      <w:pPr>
        <w:jc w:val="both"/>
        <w:ind w:left="880" w:right="459" w:hanging="426"/>
        <w:spacing w:after="0" w:line="253" w:lineRule="auto"/>
        <w:tabs>
          <w:tab w:leader="none" w:pos="96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will pay the cost of soliciting proxies for the Special Meeting. FS Development has engaged Morrow Sodali LLC, which we refer to as “Morrow Sodali LLC,” to assist in the solicitation of proxies for the Special Meeting. FS Development has agreed to pay Morrow Sodali LLC a fee of $22,500, plus disbursements. FS Development will reimburse Morrow Sodali LLC for reasonable out-of-pocket expenses and will indemnify Morrow Sodali LLC and its affiliates against certain claims, liabilities, losses, damages and expenses. FS Development will also reimburse banks, brokers and other custodians, nominees and fiduciaries representing beneficial owners of shares of FS Development Common Stock for their expenses in forwarding soliciting materials to beneficial owners of the FS Development Common Stock and in obtaining voting instructions from those owners. FS Development’s directors, officers and employees may also solicit proxies by telephone, by facsimile, by mail, on the Internet or in person. They will not be paid any additional amounts for soliciting proxies.</w:t>
      </w:r>
    </w:p>
    <w:p>
      <w:pPr>
        <w:spacing w:after="0" w:line="120" w:lineRule="exact"/>
        <w:rPr>
          <w:sz w:val="20"/>
          <w:szCs w:val="20"/>
          <w:color w:val="auto"/>
        </w:rPr>
      </w:pPr>
    </w:p>
    <w:p>
      <w:pPr>
        <w:ind w:left="880" w:right="479" w:hanging="426"/>
        <w:spacing w:after="0" w:line="286" w:lineRule="auto"/>
        <w:tabs>
          <w:tab w:leader="none" w:pos="886"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risks that I should consider as a FS Development stockholder in deciding how to vote or whether to exercise my redemption rights?</w:t>
      </w:r>
    </w:p>
    <w:p>
      <w:pPr>
        <w:spacing w:after="0" w:line="76" w:lineRule="exact"/>
        <w:rPr>
          <w:sz w:val="20"/>
          <w:szCs w:val="20"/>
          <w:color w:val="auto"/>
        </w:rPr>
      </w:pPr>
    </w:p>
    <w:p>
      <w:pPr>
        <w:ind w:left="880" w:right="479" w:hanging="426"/>
        <w:spacing w:after="0" w:line="284" w:lineRule="auto"/>
        <w:tabs>
          <w:tab w:leader="none" w:pos="85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should read and carefully consider the risk factors set forth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proxy statement/prospectus.</w:t>
      </w:r>
    </w:p>
    <w:p>
      <w:pPr>
        <w:spacing w:after="0" w:line="89" w:lineRule="exact"/>
        <w:rPr>
          <w:sz w:val="20"/>
          <w:szCs w:val="20"/>
          <w:color w:val="auto"/>
        </w:rPr>
      </w:pPr>
    </w:p>
    <w:p>
      <w:pPr>
        <w:ind w:left="880" w:hanging="426"/>
        <w:spacing w:after="0"/>
        <w:tabs>
          <w:tab w:leader="none" w:pos="8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62" w:lineRule="exact"/>
        <w:rPr>
          <w:sz w:val="20"/>
          <w:szCs w:val="20"/>
          <w:color w:val="auto"/>
        </w:rPr>
      </w:pPr>
    </w:p>
    <w:p>
      <w:pPr>
        <w:ind w:left="880" w:right="479" w:hanging="426"/>
        <w:spacing w:after="0" w:line="282" w:lineRule="auto"/>
        <w:tabs>
          <w:tab w:leader="none" w:pos="120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proposals or if you need additional copies of this proxy statement/prospectus or the enclosed proxy card, please call us at (415) 877-4887.</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You may also contact our proxy solicitor at: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Morrow Sodali LLC,</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Individuals call toll-free (800) 662-5200</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Banks and brokers call (203) 658-9400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FSDC.info@investor.morrowsodali.com</w:t>
      </w:r>
    </w:p>
    <w:p>
      <w:pPr>
        <w:spacing w:after="0" w:line="126"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To obtain timely delivery, FS Development stockholders must request the materials no later than five (5) business days prior to the Special Meeting.</w:t>
      </w:r>
    </w:p>
    <w:p>
      <w:pPr>
        <w:spacing w:after="0" w:line="94"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FS Development from documents filed with the SEC by following the instructions in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 xml:space="preserve">If you intend to seek redemption of your Public Shares, you will need to send a letter demanding redemption and deliver your stock (either physically or electronically) to FS Development’s transfer agent prior to the Special Meeting in accordance with the procedures detailed under the question “— </w:t>
      </w:r>
      <w:r>
        <w:rPr>
          <w:rFonts w:ascii="Times New Roman" w:cs="Times New Roman" w:eastAsia="Times New Roman" w:hAnsi="Times New Roman"/>
          <w:sz w:val="18"/>
          <w:szCs w:val="18"/>
          <w:i w:val="1"/>
          <w:iCs w:val="1"/>
          <w:color w:val="auto"/>
        </w:rPr>
        <w:t>How do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exercise my redemption rights</w:t>
      </w:r>
      <w:r>
        <w:rPr>
          <w:rFonts w:ascii="Times New Roman" w:cs="Times New Roman" w:eastAsia="Times New Roman" w:hAnsi="Times New Roman"/>
          <w:sz w:val="18"/>
          <w:szCs w:val="18"/>
          <w:color w:val="auto"/>
        </w:rPr>
        <w:t>” If you have questions regarding the certification of your position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your stock, please contact:</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One State Street Plaza,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88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Mark Zimkind</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051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810514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PROXY STATEMENT/PROSPECTUS</w:t>
      </w:r>
    </w:p>
    <w:p>
      <w:pPr>
        <w:spacing w:after="0" w:line="160"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together with the section titled, “Questions and Answers About the Proposals” summarizes certain information contained in this proxy statement/prospectus and may not contain all of the information that is important to you. To better understand the Business Combination and the Proposals to be considered at the Special Meeting, you should read this entire proxy statement/prospectus carefully, including the annexes. See also the section titled “Where You Can Find More Information.”</w:t>
      </w:r>
    </w:p>
    <w:p>
      <w:pPr>
        <w:spacing w:after="0" w:line="89"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Summary of the Proxy Statement/Prospectus to the “Combined Entity” refer to FS Development and its consolidated subsidiaries after giving effect to the Business Combination. References to the “Company,” “FS Development”, “we”, “us” or “our” generally refer to FS Development Corp.</w:t>
      </w:r>
    </w:p>
    <w:p>
      <w:pPr>
        <w:spacing w:after="0" w:line="99"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specified, all share calculations assume no exercise of redemption rights by the Company’s public stockholders.</w:t>
      </w:r>
    </w:p>
    <w:p>
      <w:pPr>
        <w:spacing w:after="0" w:line="1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Parties to the Business Combination</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FS Development Corp.</w:t>
      </w:r>
    </w:p>
    <w:p>
      <w:pPr>
        <w:spacing w:after="0" w:line="14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FS Development is a blank check company incorporated on June 25, 2020 as a Delaware corporation for the purpose of effecting a merger, capital stock exchange, asset acquisition, stock purchase, reorganization or similar business combination involving FS Development and one or more businesses. Upon the Closing, we intend to change our name from “FS Development Corp.” to “Gemini Therapeutics, Inc.”</w:t>
      </w:r>
    </w:p>
    <w:p>
      <w:pPr>
        <w:spacing w:after="0" w:line="112"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600 Montgomery Street, Suite 4500, San Francisco, CA 94111.</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Merger Sub</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FSG Merger Sub, Inc. is a Delaware corporation and wholly-owned subsidiary of FS Development, which was formed on October 9, 2020 to consummate the Business Combination. Following the Business Combination, Gemini will merge with Merger Sub with Gemini surviving the merger. As a result, Gemini will become a wholly-owned subsidiary of the Combined Entity.</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Gemini Therapeutics, Inc.</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Gemini is a clinical-stage precision medicine company developing novel therapeutic compounds to treat genetically defined, AMD. Its lead candidate, GEM103, is a recombinant form of the CFH and is designed to address both complement hyperactivity and restore retinal health. Variations in the gene that encodes CFH strongly correlate with an increased risk for developing AMD.</w:t>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Below is a summary of Gemini’s product candidate pipeline as of November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In the table above, IND enabled means Gemini has completed the necessary nonclinical studies, including without limitation </w:t>
      </w:r>
      <w:r>
        <w:rPr>
          <w:rFonts w:ascii="Times New Roman" w:cs="Times New Roman" w:eastAsia="Times New Roman" w:hAnsi="Times New Roman"/>
          <w:sz w:val="18"/>
          <w:szCs w:val="18"/>
          <w:b w:val="1"/>
          <w:bCs w:val="1"/>
          <w:color w:val="auto"/>
        </w:rPr>
        <w:t>absorption, distribution, metabolism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excretion</w:t>
      </w:r>
      <w:r>
        <w:rPr>
          <w:rFonts w:ascii="Times New Roman" w:cs="Times New Roman" w:eastAsia="Times New Roman" w:hAnsi="Times New Roman"/>
          <w:sz w:val="18"/>
          <w:szCs w:val="18"/>
          <w:color w:val="auto"/>
        </w:rPr>
        <w:t>, or ADME and toxicology, as well as formulation and manufacturing development necessary to seek the permission of regulatory authorities to begin human clinical testing.</w:t>
      </w:r>
    </w:p>
    <w:p>
      <w:pPr>
        <w:spacing w:after="0" w:line="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additional information about Gemini, see the section titled “</w:t>
      </w:r>
      <w:r>
        <w:rPr>
          <w:rFonts w:ascii="Times New Roman" w:cs="Times New Roman" w:eastAsia="Times New Roman" w:hAnsi="Times New Roman"/>
          <w:sz w:val="18"/>
          <w:szCs w:val="18"/>
          <w:i w:val="1"/>
          <w:iCs w:val="1"/>
          <w:color w:val="auto"/>
        </w:rPr>
        <w:t>Information about Gemini</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019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7701915"/>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Proposals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 Proposal</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FS Development and Gemini have agreed to a Business Combination under the terms of the Merger Agreement. Pursuant to the terms and subject to the conditions set forth in the Merger Agreement, at the Closing, Merger Sub will merge with and into Gemini, with Gemini continuing as the surviving entity and becoming a wholly-owned subsidiary of FS Development. See the section 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The Merger Agreement</w:t>
      </w:r>
    </w:p>
    <w:p>
      <w:pPr>
        <w:spacing w:after="0" w:line="146"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by and among FS Development, Merger Sub, Gemini and the Shareholders Representative. The Merger Agreement provides, among other things, that on the terms and subject to the conditions set forth therein, Merger Sub will merge with and into Gemini, with Gemini surviving as a wholly-owned subsidiary of FS Development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Upon the Closing, it is anticipated that FS Development will change its name to “Gemini Therapeutics, Inc.”</w:t>
      </w:r>
    </w:p>
    <w:p>
      <w:pPr>
        <w:spacing w:after="0" w:line="116"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Under the Merger Agreement, FS Development has agreed to acquire all of the outstanding equity interests of Gemini in exchange for up to 21,500,000 shares of FS Development Class A Common Stock,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Acquisition of Gemini; Merger Consideration”</w:t>
      </w:r>
      <w:r>
        <w:rPr>
          <w:rFonts w:ascii="Times New Roman" w:cs="Times New Roman" w:eastAsia="Times New Roman" w:hAnsi="Times New Roman"/>
          <w:sz w:val="18"/>
          <w:szCs w:val="18"/>
          <w:color w:val="auto"/>
        </w:rPr>
        <w:t>, to be paid at the Effective Time.</w:t>
      </w:r>
    </w:p>
    <w:p>
      <w:pPr>
        <w:spacing w:after="0" w:line="11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at or prior to the Effective Time, each option exercisable for Gemini equity that is outstanding immediately prior to the Effective Time shall be assumed by FS Development and continue in full force and effect on the same terms and conditions as are currently applicable to such options, subject to adjustments to exercise price and number of shares of Common Stock issued upon exercise. In addition, the Merger Agreement contemplates that at Closing, FS Development will deliver 2,150,000 of FS Development Class A Common Stock to be placed into escrow for indemnification purposes, as further described in the Merger Agreement.</w:t>
      </w:r>
    </w:p>
    <w:p>
      <w:pPr>
        <w:spacing w:after="0" w:line="10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For additional information and a summary of the terms of the Merger Agreement and the other agreements executed, or to be executed, in connection with the Business Combination, see the sections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The Merger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The Business Combination Proposal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Ancillary Agreements Related to the Business Combination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60"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Combined Entity’s board of directors will consist of seven members upon the Closing.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11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Class I directors will be</w:t>
            </w:r>
          </w:p>
        </w:tc>
        <w:tc>
          <w:tcPr>
            <w:tcW w:w="1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and</w:t>
            </w:r>
          </w:p>
        </w:tc>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and their terms will expire at the</w:t>
            </w:r>
          </w:p>
        </w:tc>
      </w:tr>
      <w:tr>
        <w:trPr>
          <w:trHeight w:val="234"/>
        </w:trPr>
        <w:tc>
          <w:tcPr>
            <w:tcW w:w="240" w:type="dxa"/>
            <w:vAlign w:val="bottom"/>
          </w:tcPr>
          <w:p>
            <w:pPr>
              <w:spacing w:after="0"/>
              <w:rPr>
                <w:sz w:val="20"/>
                <w:szCs w:val="20"/>
                <w:color w:val="auto"/>
              </w:rPr>
            </w:pPr>
          </w:p>
        </w:tc>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annual meeting of stockholders to be held in 2021;</w:t>
            </w:r>
          </w:p>
        </w:tc>
        <w:tc>
          <w:tcPr>
            <w:tcW w:w="5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3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Class II directors will be</w:t>
            </w:r>
          </w:p>
        </w:tc>
        <w:tc>
          <w:tcPr>
            <w:tcW w:w="1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and</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and their terms will expire at the</w:t>
            </w:r>
          </w:p>
        </w:tc>
      </w:tr>
      <w:tr>
        <w:trPr>
          <w:trHeight w:val="234"/>
        </w:trPr>
        <w:tc>
          <w:tcPr>
            <w:tcW w:w="240" w:type="dxa"/>
            <w:vAlign w:val="bottom"/>
          </w:tcPr>
          <w:p>
            <w:pPr>
              <w:spacing w:after="0"/>
              <w:rPr>
                <w:sz w:val="20"/>
                <w:szCs w:val="20"/>
                <w:color w:val="auto"/>
              </w:rPr>
            </w:pPr>
          </w:p>
        </w:tc>
        <w:tc>
          <w:tcPr>
            <w:tcW w:w="4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annual meeting of stockholders to be held in 2022; and</w:t>
            </w:r>
          </w:p>
        </w:tc>
        <w:tc>
          <w:tcPr>
            <w:tcW w:w="2800" w:type="dxa"/>
            <w:vAlign w:val="bottom"/>
          </w:tcPr>
          <w:p>
            <w:pPr>
              <w:spacing w:after="0"/>
              <w:rPr>
                <w:sz w:val="20"/>
                <w:szCs w:val="20"/>
                <w:color w:val="auto"/>
              </w:rPr>
            </w:pPr>
          </w:p>
        </w:tc>
      </w:tr>
      <w:tr>
        <w:trPr>
          <w:trHeight w:val="34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Class III directors will be</w:t>
            </w:r>
          </w:p>
        </w:tc>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and</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and their terms will expire at the</w:t>
            </w:r>
          </w:p>
        </w:tc>
      </w:tr>
      <w:tr>
        <w:trPr>
          <w:trHeight w:val="234"/>
        </w:trPr>
        <w:tc>
          <w:tcPr>
            <w:tcW w:w="240" w:type="dxa"/>
            <w:vAlign w:val="bottom"/>
          </w:tcPr>
          <w:p>
            <w:pPr>
              <w:spacing w:after="0"/>
              <w:rPr>
                <w:sz w:val="20"/>
                <w:szCs w:val="20"/>
                <w:color w:val="auto"/>
              </w:rPr>
            </w:pPr>
          </w:p>
        </w:tc>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annual meeting of stockholders to be held in 2023.</w:t>
            </w:r>
          </w:p>
        </w:tc>
        <w:tc>
          <w:tcPr>
            <w:tcW w:w="52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130"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the board of directors into three classes with staggered three-year terms may delay or prevent a change of our management or a change in control.</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505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2505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Board’s Reasons for the Business Combination</w:t>
      </w:r>
    </w:p>
    <w:p>
      <w:pPr>
        <w:spacing w:after="0" w:line="160" w:lineRule="exact"/>
        <w:rPr>
          <w:sz w:val="20"/>
          <w:szCs w:val="20"/>
          <w:color w:val="auto"/>
        </w:rPr>
      </w:pPr>
    </w:p>
    <w:p>
      <w:pPr>
        <w:jc w:val="both"/>
        <w:ind w:left="540" w:right="559"/>
        <w:spacing w:after="0" w:line="281" w:lineRule="auto"/>
        <w:rPr>
          <w:sz w:val="20"/>
          <w:szCs w:val="20"/>
          <w:color w:val="auto"/>
        </w:rPr>
      </w:pPr>
      <w:r>
        <w:rPr>
          <w:rFonts w:ascii="Times New Roman" w:cs="Times New Roman" w:eastAsia="Times New Roman" w:hAnsi="Times New Roman"/>
          <w:sz w:val="17"/>
          <w:szCs w:val="17"/>
          <w:color w:val="auto"/>
        </w:rPr>
        <w:t>FS Development was formed for the purpose of effecting a merger, capital stock exchange, asset acquisition, stock purchase, reorganization or similar business combination with one or more businesses. FS Development sought to do this by utilizing the networks and industry experience of both its management team and the Board to identify, acquire and operate one or more businesses within or outside of the United States.</w:t>
      </w:r>
    </w:p>
    <w:p>
      <w:pPr>
        <w:spacing w:after="0" w:line="97"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In particular, the Board considered the following positive factors, although not weighted or in any order of significance:</w:t>
      </w:r>
    </w:p>
    <w:p>
      <w:pPr>
        <w:spacing w:after="0" w:line="77" w:lineRule="exact"/>
        <w:rPr>
          <w:sz w:val="20"/>
          <w:szCs w:val="20"/>
          <w:color w:val="auto"/>
        </w:rPr>
      </w:pPr>
    </w:p>
    <w:p>
      <w:pPr>
        <w:jc w:val="both"/>
        <w:ind w:left="1400" w:right="559" w:hanging="424"/>
        <w:spacing w:after="0" w:line="254" w:lineRule="auto"/>
        <w:tabs>
          <w:tab w:leader="none" w:pos="152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Pioneering precision medicine approach targeting trial enrichment with genetically-defined patients. </w:t>
      </w:r>
      <w:r>
        <w:rPr>
          <w:rFonts w:ascii="Times New Roman" w:cs="Times New Roman" w:eastAsia="Times New Roman" w:hAnsi="Times New Roman"/>
          <w:sz w:val="18"/>
          <w:szCs w:val="18"/>
          <w:color w:val="auto"/>
        </w:rPr>
        <w:t>Gemini’s lead program, GEM103, targets a genetically-defined subset of age-related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macular degeneration (“</w:t>
      </w:r>
      <w:r>
        <w:rPr>
          <w:rFonts w:ascii="Times New Roman" w:cs="Times New Roman" w:eastAsia="Times New Roman" w:hAnsi="Times New Roman"/>
          <w:sz w:val="18"/>
          <w:szCs w:val="18"/>
          <w:b w:val="1"/>
          <w:bCs w:val="1"/>
          <w:color w:val="auto"/>
        </w:rPr>
        <w:t>AMD</w:t>
      </w:r>
      <w:r>
        <w:rPr>
          <w:rFonts w:ascii="Times New Roman" w:cs="Times New Roman" w:eastAsia="Times New Roman" w:hAnsi="Times New Roman"/>
          <w:sz w:val="18"/>
          <w:szCs w:val="18"/>
          <w:color w:val="auto"/>
        </w:rPr>
        <w:t>”) patients with complement dysregulation. Of the 15 million dry AMD patients, emerging science shows approximately 40% (or six million) present variants in the complement factor H (CFH) gene. Such loss-of-function variants are associated with increased dry AMD disease risk. The Board believes that Gemini’s lead asset, GEM103, the first ever recombinant native complement modulator, full-length recombinant complement factor H (rCFH) protein, when delivered by intravitreal injections, has the potential to meet unmet medical needs by circumventing dysfunctional CFH loss-of-function variants in genetically-defined subsets of AMD patients and slowing the progression of their retinal disease.</w:t>
      </w:r>
    </w:p>
    <w:p>
      <w:pPr>
        <w:spacing w:after="0" w:line="117"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4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Supporting Phase 1 study data in advanced dry AMD patients. </w:t>
      </w:r>
      <w:r>
        <w:rPr>
          <w:rFonts w:ascii="Times New Roman" w:cs="Times New Roman" w:eastAsia="Times New Roman" w:hAnsi="Times New Roman"/>
          <w:sz w:val="18"/>
          <w:szCs w:val="18"/>
          <w:color w:val="auto"/>
        </w:rPr>
        <w:t>Gemini conducted a single-ascending dose Phase 1 study to assess the safety of GEM103 in advanced dry AMD patients. In Gemini’s Phase 1 study, GEM103 was well tolerated, with no adverse drug reactions, no ocular inflammation, no anti-drug antibodies, and no dose-limiting toxicities, when dosed up to 500 micrograms as a single intravitreal dose. In addition to meeting the primary endpoint of safety, the Phase 1 study data supported the mechanism of action of the product candidate in the ocular compartment, as evidenced by sustained supraphysiological CFH levels, and apparent reductions in a pro-inflammatory biomarker related to complement activation in several subjects. The data from this Phase 1 study provided Gemini with a rationale for commencing its ongoing Phase 2a trial of GEM103.</w:t>
      </w:r>
    </w:p>
    <w:p>
      <w:pPr>
        <w:spacing w:after="0" w:line="117"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44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Vast market opportunity in dry AMD. </w:t>
      </w:r>
      <w:r>
        <w:rPr>
          <w:rFonts w:ascii="Times New Roman" w:cs="Times New Roman" w:eastAsia="Times New Roman" w:hAnsi="Times New Roman"/>
          <w:sz w:val="18"/>
          <w:szCs w:val="18"/>
          <w:color w:val="auto"/>
        </w:rPr>
        <w:t>Third-party reports indicate there are approximately 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patients with AMD in the United States alone. Dry AMD represents about 90% (or about 15 million) of U.S. AMD patients, which compares to 1.4 million U.S. wet AMD U.S. patients. Third party market forecasts estimate the global wet AMD market generated $6.9 billion of sales in 2018 (e.g., aggregate sales of Eylea, Lucentis, and Avastin in wet AMD), demonstrating a vast market opportunity for a successful product in the potentially larger global dry AMD market.</w:t>
      </w:r>
    </w:p>
    <w:p>
      <w:pPr>
        <w:spacing w:after="0" w:line="101"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39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to address an area of high unmet medical need. </w:t>
      </w:r>
      <w:r>
        <w:rPr>
          <w:rFonts w:ascii="Times New Roman" w:cs="Times New Roman" w:eastAsia="Times New Roman" w:hAnsi="Times New Roman"/>
          <w:sz w:val="18"/>
          <w:szCs w:val="18"/>
          <w:color w:val="auto"/>
        </w:rPr>
        <w:t>Dry AMD, Gemini’s lead indication,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the leading cause of blindness among individuals aged 50 and older. There are no approved therapies for dry AMD. The Board believes that based upon the association of CFH mutations with disease risk, Gemini’s approach to dry AMD will precisely target patients with genetically defined complement pathway dysregulation and in the future could bring a much needed therapeutic to an area of high unmet medical need.</w:t>
      </w:r>
    </w:p>
    <w:p>
      <w:pPr>
        <w:spacing w:after="0" w:line="114"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49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screening. </w:t>
      </w:r>
      <w:r>
        <w:rPr>
          <w:rFonts w:ascii="Times New Roman" w:cs="Times New Roman" w:eastAsia="Times New Roman" w:hAnsi="Times New Roman"/>
          <w:sz w:val="18"/>
          <w:szCs w:val="18"/>
          <w:color w:val="auto"/>
        </w:rPr>
        <w:t>Gemini has a proprietary genetic screening process that enables it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identify genetically-defined dry AMD patients who may be most likely to benefit from GEM103. The Board believes this proprietary approach provides a competitive advantage to Gemini.</w:t>
      </w:r>
    </w:p>
    <w:p>
      <w:pPr>
        <w:spacing w:after="0" w:line="103"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458" w:val="left"/>
        </w:tabs>
        <w:numPr>
          <w:ilvl w:val="0"/>
          <w:numId w:val="9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Multiple pipeline opportunities led by a Phase 2a clinical stage program. </w:t>
      </w:r>
      <w:r>
        <w:rPr>
          <w:rFonts w:ascii="Times New Roman" w:cs="Times New Roman" w:eastAsia="Times New Roman" w:hAnsi="Times New Roman"/>
          <w:sz w:val="18"/>
          <w:szCs w:val="18"/>
          <w:color w:val="auto"/>
        </w:rPr>
        <w:t>Gemini’s pipeline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multiple programs that include lead clinical candidate GEM103 in both dry and wet AMD, plus additional programs in AMD, plus one preclinical program in a systemic renal indication. The Board believes that the data generated in Gemini’s Phase 1 study of GEM103 demonstrate sustained supraphysiologic concentrations of CFH in aqueous humor, supporting further clinical development dry AMD. Future demonstration of efficacy and safety in dry AMD, could ultimately lead to market confidence in Gemini’s precision approach and its expansion into commercial opportunities in patients with more complex AMD disease, including anti-vascular endothelial growth factor (“</w:t>
      </w:r>
      <w:r>
        <w:rPr>
          <w:rFonts w:ascii="Times New Roman" w:cs="Times New Roman" w:eastAsia="Times New Roman" w:hAnsi="Times New Roman"/>
          <w:sz w:val="18"/>
          <w:szCs w:val="18"/>
          <w:b w:val="1"/>
          <w:bCs w:val="1"/>
          <w:color w:val="auto"/>
        </w:rPr>
        <w:t>anti-VEGF</w:t>
      </w:r>
      <w:r>
        <w:rPr>
          <w:rFonts w:ascii="Times New Roman" w:cs="Times New Roman" w:eastAsia="Times New Roman" w:hAnsi="Times New Roman"/>
          <w:sz w:val="18"/>
          <w:szCs w:val="18"/>
          <w:color w:val="auto"/>
        </w:rPr>
        <w:t>”) treated wet AMD with concomitant geographic atrophy.</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839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7839075"/>
                    </a:xfrm>
                    <a:prstGeom prst="rect">
                      <a:avLst/>
                    </a:prstGeom>
                    <a:noFill/>
                  </pic:spPr>
                </pic:pic>
              </a:graphicData>
            </a:graphic>
          </wp:anchor>
        </w:drawing>
      </w:r>
    </w:p>
    <w:p>
      <w:pPr>
        <w:spacing w:after="0" w:line="323" w:lineRule="exact"/>
        <w:rPr>
          <w:sz w:val="20"/>
          <w:szCs w:val="20"/>
          <w:color w:val="auto"/>
        </w:rPr>
      </w:pPr>
    </w:p>
    <w:p>
      <w:pPr>
        <w:jc w:val="both"/>
        <w:ind w:left="1400" w:right="559" w:hanging="424"/>
        <w:spacing w:after="0" w:line="259" w:lineRule="auto"/>
        <w:tabs>
          <w:tab w:leader="none" w:pos="1404" w:val="left"/>
        </w:tabs>
        <w:numPr>
          <w:ilvl w:val="0"/>
          <w:numId w:val="9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Diversified risk profile from multimodality approach. </w:t>
      </w:r>
      <w:r>
        <w:rPr>
          <w:rFonts w:ascii="Times New Roman" w:cs="Times New Roman" w:eastAsia="Times New Roman" w:hAnsi="Times New Roman"/>
          <w:sz w:val="18"/>
          <w:szCs w:val="18"/>
          <w:color w:val="auto"/>
        </w:rPr>
        <w:t>Gemini’s therapeutic candidates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recombinant proteins, adeno-associated virus — (“</w:t>
      </w:r>
      <w:r>
        <w:rPr>
          <w:rFonts w:ascii="Times New Roman" w:cs="Times New Roman" w:eastAsia="Times New Roman" w:hAnsi="Times New Roman"/>
          <w:sz w:val="18"/>
          <w:szCs w:val="18"/>
          <w:b w:val="1"/>
          <w:bCs w:val="1"/>
          <w:color w:val="auto"/>
        </w:rPr>
        <w:t>AAV</w:t>
      </w:r>
      <w:r>
        <w:rPr>
          <w:rFonts w:ascii="Times New Roman" w:cs="Times New Roman" w:eastAsia="Times New Roman" w:hAnsi="Times New Roman"/>
          <w:sz w:val="18"/>
          <w:szCs w:val="18"/>
          <w:color w:val="auto"/>
        </w:rPr>
        <w:t>”) based gene therapies, and monoclonal antibodies across multiple indications, thus reducing Gemini’s risk exposure to any single modality. The Board believes Gemini will leverage multimodality capabilities to increase the likelihood of finding therapies to address unmet needs.</w:t>
      </w:r>
    </w:p>
    <w:p>
      <w:pPr>
        <w:spacing w:after="0" w:line="111" w:lineRule="exact"/>
        <w:rPr>
          <w:rFonts w:ascii="Times New Roman" w:cs="Times New Roman" w:eastAsia="Times New Roman" w:hAnsi="Times New Roman"/>
          <w:sz w:val="18"/>
          <w:szCs w:val="18"/>
          <w:b w:val="1"/>
          <w:bCs w:val="1"/>
          <w:i w:val="1"/>
          <w:iCs w:val="1"/>
          <w:color w:val="auto"/>
        </w:rPr>
      </w:pPr>
    </w:p>
    <w:p>
      <w:pPr>
        <w:jc w:val="both"/>
        <w:ind w:left="1400" w:right="559" w:hanging="424"/>
        <w:spacing w:after="0" w:line="255" w:lineRule="auto"/>
        <w:tabs>
          <w:tab w:leader="none" w:pos="159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Near-term catalysts. </w:t>
      </w:r>
      <w:r>
        <w:rPr>
          <w:rFonts w:ascii="Times New Roman" w:cs="Times New Roman" w:eastAsia="Times New Roman" w:hAnsi="Times New Roman"/>
          <w:sz w:val="18"/>
          <w:szCs w:val="18"/>
          <w:color w:val="auto"/>
        </w:rPr>
        <w:t>Gemini has initiated a Phase 2a trial of GEM103 in dry AMD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anticipates multiple dose clinical safety, tolerability and exploratory biomarker data in the first half of 2021. In addition, Gemini is currently conducting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enabling studies for GEM103 in anti-VEGF treated wet AMD patients with geographic atrophy and plans to initiate a Phase 1/2a clinical study in the second half of 2020 with safety and tolerability data anticipated in the second half of 2021. Gemini also plans to complete IND enabling studies for additional therapeutic candidates in the second half of 2021. The Board believes these catalysts could serve as important value inflection points for the company.</w:t>
      </w:r>
    </w:p>
    <w:p>
      <w:pPr>
        <w:spacing w:after="0" w:line="103" w:lineRule="exact"/>
        <w:rPr>
          <w:rFonts w:ascii="Times New Roman" w:cs="Times New Roman" w:eastAsia="Times New Roman" w:hAnsi="Times New Roman"/>
          <w:sz w:val="18"/>
          <w:szCs w:val="18"/>
          <w:color w:val="auto"/>
        </w:rPr>
      </w:pPr>
    </w:p>
    <w:p>
      <w:pPr>
        <w:ind w:left="1400" w:right="559" w:hanging="424"/>
        <w:spacing w:after="0" w:line="286" w:lineRule="auto"/>
        <w:tabs>
          <w:tab w:leader="none" w:pos="139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w:t>
      </w:r>
      <w:r>
        <w:rPr>
          <w:rFonts w:ascii="Times New Roman" w:cs="Times New Roman" w:eastAsia="Times New Roman" w:hAnsi="Times New Roman"/>
          <w:sz w:val="18"/>
          <w:szCs w:val="18"/>
          <w:color w:val="auto"/>
        </w:rPr>
        <w:t>The Board believes that Gemini has a proven and experienced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that will effectively lead the company after the Business Combination.</w:t>
      </w:r>
    </w:p>
    <w:p>
      <w:pPr>
        <w:spacing w:after="0" w:line="87"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51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Backed by top-tier healthcare investors. </w:t>
      </w:r>
      <w:r>
        <w:rPr>
          <w:rFonts w:ascii="Times New Roman" w:cs="Times New Roman" w:eastAsia="Times New Roman" w:hAnsi="Times New Roman"/>
          <w:sz w:val="18"/>
          <w:szCs w:val="18"/>
          <w:color w:val="auto"/>
        </w:rPr>
        <w:t>Gemini’s existing investors include Atlas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Lightstone Ventures, OrbiMed, and Wu Capital, which the Board believes provides additional validation to Gemini’s clinical and business strategies.</w:t>
      </w:r>
    </w:p>
    <w:p>
      <w:pPr>
        <w:spacing w:after="0" w:line="103"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60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analysis conducted by FS Development. </w:t>
      </w:r>
      <w:r>
        <w:rPr>
          <w:rFonts w:ascii="Times New Roman" w:cs="Times New Roman" w:eastAsia="Times New Roman" w:hAnsi="Times New Roman"/>
          <w:sz w:val="18"/>
          <w:szCs w:val="18"/>
          <w:color w:val="auto"/>
        </w:rPr>
        <w:t>The financial analysis conducted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FS Development’s management team and reviewed by the Board supported the equity valuation of Gemini.</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46"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in conformity with accounting principles generally accepted in the United States of America, or GAAP. Under this method of accounting, FS Development has been treated as the “acquired” company for financial reporting purposes. This determination was primarily based on existing Gemini Equityholders comprising a relative majority of the voting power of the Combined Entity, Gemini’s operations prior to the Merger comprising the only ongoing operations of the Combined Entity, and Gemini’s senior management comprising the senior management of the Combined Entity.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will be stated at historical cost, with no goodwill or other intangible assets recorded.</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Dissenter Rights</w:t>
      </w:r>
    </w:p>
    <w:p>
      <w:pPr>
        <w:spacing w:after="0" w:line="160"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Dissenter rights are not available to FS Development stockholders in connection with the Business Combination.</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Impact of the Business Combination on FS Development’s Public Float</w:t>
      </w:r>
    </w:p>
    <w:p>
      <w:pPr>
        <w:spacing w:after="0" w:line="160"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It is anticipated that, upon the Closing,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The ownership percentage with respect to the Combined Entity following the Business Combination does not take into account the redemption of any shares by FS Development’s public stockholders. If the actual facts are different than these assumptions (which they are likely to be), the percentage ownership retained by the FS Development’s existing stockholders in the Combined Entity will be different.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271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9271000"/>
                    </a:xfrm>
                    <a:prstGeom prst="rect">
                      <a:avLst/>
                    </a:prstGeom>
                    <a:noFill/>
                  </pic:spPr>
                </pic:pic>
              </a:graphicData>
            </a:graphic>
          </wp:anchor>
        </w:drawing>
      </w:r>
    </w:p>
    <w:p>
      <w:pPr>
        <w:sectPr>
          <w:pgSz w:w="11900" w:h="16838" w:orient="portrait"/>
          <w:cols w:equalWidth="0" w:num="1">
            <w:col w:w="9019"/>
          </w:cols>
          <w:pgMar w:left="1440" w:top="270" w:right="1440" w:bottom="812" w:gutter="0" w:footer="0" w:header="0"/>
        </w:sectPr>
      </w:pPr>
    </w:p>
    <w:p>
      <w:pPr>
        <w:spacing w:after="0" w:line="35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following tables illustrate varying ownership levels in FS Development assuming the factors mentioned above:</w:t>
      </w:r>
    </w:p>
    <w:p>
      <w:pPr>
        <w:spacing w:after="0" w:line="12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12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No redemption</w:t>
            </w:r>
          </w:p>
        </w:tc>
        <w:tc>
          <w:tcPr>
            <w:tcW w:w="21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redemption</w:t>
            </w:r>
          </w:p>
        </w:tc>
      </w:tr>
      <w:tr>
        <w:trPr>
          <w:trHeight w:val="212"/>
        </w:trPr>
        <w:tc>
          <w:tcPr>
            <w:tcW w:w="3660" w:type="dxa"/>
            <w:vAlign w:val="bottom"/>
          </w:tcPr>
          <w:p>
            <w:pPr>
              <w:spacing w:after="0"/>
              <w:rPr>
                <w:sz w:val="18"/>
                <w:szCs w:val="18"/>
                <w:color w:val="auto"/>
              </w:rPr>
            </w:pPr>
          </w:p>
        </w:tc>
        <w:tc>
          <w:tcPr>
            <w:tcW w:w="1360" w:type="dxa"/>
            <w:vAlign w:val="bottom"/>
            <w:gridSpan w:val="3"/>
          </w:tcPr>
          <w:p>
            <w:pPr>
              <w:jc w:val="center"/>
              <w:ind w:left="573"/>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center"/>
              <w:ind w:left="613"/>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6"/>
        </w:trPr>
        <w:tc>
          <w:tcPr>
            <w:tcW w:w="3660" w:type="dxa"/>
            <w:vAlign w:val="bottom"/>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31"/>
        </w:trPr>
        <w:tc>
          <w:tcPr>
            <w:tcW w:w="3660" w:type="dxa"/>
            <w:vAlign w:val="bottom"/>
          </w:tcPr>
          <w:p>
            <w:pPr>
              <w:spacing w:after="0"/>
              <w:rPr>
                <w:sz w:val="20"/>
                <w:szCs w:val="20"/>
                <w:color w:val="auto"/>
              </w:rPr>
            </w:pPr>
          </w:p>
        </w:tc>
        <w:tc>
          <w:tcPr>
            <w:tcW w:w="136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8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0"/>
                <w:szCs w:val="20"/>
                <w:color w:val="auto"/>
              </w:rPr>
            </w:pPr>
          </w:p>
        </w:tc>
      </w:tr>
      <w:tr>
        <w:trPr>
          <w:trHeight w:val="46"/>
        </w:trPr>
        <w:tc>
          <w:tcPr>
            <w:tcW w:w="36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43"/>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Corp. public stockholders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Corp. Sponsor and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3,460,250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41"/>
        </w:trPr>
        <w:tc>
          <w:tcPr>
            <w:tcW w:w="3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Gemini Stockholders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PIPE – Gemini Stockholders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40"/>
        </w:trPr>
        <w:tc>
          <w:tcPr>
            <w:tcW w:w="3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 Sponsor Affiliate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5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PIPE – Other Investors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6,446,000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7"/>
        </w:trPr>
        <w:tc>
          <w:tcPr>
            <w:tcW w:w="3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46,541,250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35,388,875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3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540" w:right="559"/>
        <w:spacing w:after="0" w:line="257" w:lineRule="auto"/>
        <w:rPr>
          <w:sz w:val="20"/>
          <w:szCs w:val="20"/>
          <w:color w:val="auto"/>
        </w:rPr>
      </w:pPr>
      <w:r>
        <w:rPr>
          <w:rFonts w:ascii="Times New Roman" w:cs="Times New Roman" w:eastAsia="Times New Roman" w:hAnsi="Times New Roman"/>
          <w:sz w:val="18"/>
          <w:szCs w:val="18"/>
          <w:color w:val="auto"/>
        </w:rPr>
        <w:t>Upon Closing, the Board anticipates having seven directors, with each Class I director having an initial term that expires at the Combined Entity’s annual meeting of stockholders in 2021, each Class II director having an initial term that expires at the Combined Entity’s annual meeting of stockholders in 2022, and each Class</w:t>
      </w:r>
    </w:p>
    <w:p>
      <w:pPr>
        <w:spacing w:after="0" w:line="1" w:lineRule="exact"/>
        <w:rPr>
          <w:sz w:val="20"/>
          <w:szCs w:val="20"/>
          <w:color w:val="auto"/>
        </w:rPr>
      </w:pPr>
    </w:p>
    <w:p>
      <w:pPr>
        <w:jc w:val="both"/>
        <w:ind w:left="540" w:right="559" w:firstLine="4"/>
        <w:spacing w:after="0" w:line="253" w:lineRule="auto"/>
        <w:tabs>
          <w:tab w:leader="none" w:pos="78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having an initial term that expires at the Combined Entity’s annual meeting of stockholders in 2023, or in each case until their respective successors are duly elected and qualified, or until their earlier resignation, removal or death. See the section titled “</w:t>
      </w:r>
      <w:r>
        <w:rPr>
          <w:rFonts w:ascii="Times New Roman" w:cs="Times New Roman" w:eastAsia="Times New Roman" w:hAnsi="Times New Roman"/>
          <w:sz w:val="18"/>
          <w:szCs w:val="18"/>
          <w:i w:val="1"/>
          <w:iCs w:val="1"/>
          <w:color w:val="auto"/>
        </w:rPr>
        <w:t>Management After the Business Combination</w:t>
      </w:r>
      <w:r>
        <w:rPr>
          <w:rFonts w:ascii="Times New Roman" w:cs="Times New Roman" w:eastAsia="Times New Roman" w:hAnsi="Times New Roman"/>
          <w:sz w:val="18"/>
          <w:szCs w:val="18"/>
          <w:color w:val="auto"/>
        </w:rPr>
        <w:t>” for additional information.</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Nasdaq Stock Issuance Proposal</w:t>
      </w:r>
    </w:p>
    <w:p>
      <w:pPr>
        <w:spacing w:after="0" w:line="148"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 xml:space="preserve">As the consideration for the Business Combination, FS Development is obligated to issue up to 21,500,000 shares of FS Development Class A Common Stock to the Gemini Equityholders,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of Gemini; Merger Consideration”</w:t>
      </w:r>
      <w:r>
        <w:rPr>
          <w:rFonts w:ascii="Times New Roman" w:cs="Times New Roman" w:eastAsia="Times New Roman" w:hAnsi="Times New Roman"/>
          <w:sz w:val="18"/>
          <w:szCs w:val="18"/>
          <w:color w:val="auto"/>
        </w:rPr>
        <w:t>. In addition, in connection with the Business Combination, FS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entered into the Subscription Agreements with investors to purchase 9,506,000 shares of Class A Common Stock for an aggregate amount of $95,060,000, subject to certain conditions, including that all conditions precedent to the Closing will have been satisfied or waived (other than those conditions that are to be satisfied at Closing).</w:t>
      </w:r>
    </w:p>
    <w:p>
      <w:pPr>
        <w:spacing w:after="0" w:line="124"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 xml:space="preserve">FS Development stockholders will be asked to approve, for purposes of complying with the Nasdaq Listing Rules, the issuance of up to 21,500,000 newly issued shares of FS Development Class A Common Stock pursuant to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 Acquisition of Gemini; Merger Consideration”</w:t>
      </w:r>
      <w:r>
        <w:rPr>
          <w:rFonts w:ascii="Times New Roman" w:cs="Times New Roman" w:eastAsia="Times New Roman" w:hAnsi="Times New Roman"/>
          <w:sz w:val="18"/>
          <w:szCs w:val="18"/>
          <w:color w:val="auto"/>
        </w:rPr>
        <w:t>, and 9,506,000 newly issued shares of FS Development Class A Common Stock in the PIPE Investment. See the section titled “</w:t>
      </w:r>
      <w:r>
        <w:rPr>
          <w:rFonts w:ascii="Times New Roman" w:cs="Times New Roman" w:eastAsia="Times New Roman" w:hAnsi="Times New Roman"/>
          <w:sz w:val="18"/>
          <w:szCs w:val="18"/>
          <w:i w:val="1"/>
          <w:iCs w:val="1"/>
          <w:color w:val="auto"/>
        </w:rPr>
        <w:t>The Nasdaq Stock Issuance Proposal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Charter Amendment Proposal</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 xml:space="preserve">FS Development stockholders will be asked to approve and adopt, subject to and conditional on (but with immediate effect therefrom) approval of the Business Combination Proposal, the Nasdaq Stock Issuance Proposal, the Incentive Plan Proposal and the Closing, an amendment and restatement of the Current Charter, as set out in the Proposed Charter appended to this proxy statement/prospectus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color w:val="auto"/>
        </w:rPr>
        <w:t>. See the section titled “</w:t>
      </w:r>
      <w:r>
        <w:rPr>
          <w:rFonts w:ascii="Times New Roman" w:cs="Times New Roman" w:eastAsia="Times New Roman" w:hAnsi="Times New Roman"/>
          <w:sz w:val="18"/>
          <w:szCs w:val="18"/>
          <w:i w:val="1"/>
          <w:iCs w:val="1"/>
          <w:color w:val="auto"/>
        </w:rPr>
        <w:t>The Charter Amendment Proposal</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Charter Amendment Advisory Proposals</w:t>
      </w:r>
    </w:p>
    <w:p>
      <w:pPr>
        <w:spacing w:after="0" w:line="14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FS Development stockholders will be asked to approve, on a non-binding advisory basis, the following material differences between the Proposed Charter and the Current Charter, which are being presented in accordance with the requirements of the SEC as five separate sub-proposals (the “</w:t>
      </w:r>
      <w:r>
        <w:rPr>
          <w:rFonts w:ascii="Times New Roman" w:cs="Times New Roman" w:eastAsia="Times New Roman" w:hAnsi="Times New Roman"/>
          <w:sz w:val="18"/>
          <w:szCs w:val="18"/>
          <w:b w:val="1"/>
          <w:bCs w:val="1"/>
          <w:color w:val="auto"/>
        </w:rPr>
        <w:t>Advisory 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400" w:right="559" w:hanging="424"/>
        <w:spacing w:after="0" w:line="286" w:lineRule="auto"/>
        <w:tabs>
          <w:tab w:leader="none" w:pos="141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increase the authorized shares of FS Development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to shares;</w:t>
      </w:r>
    </w:p>
    <w:p>
      <w:pPr>
        <w:spacing w:after="0" w:line="87"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41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increase the authorized shares of “blank check”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the Combined Entity’s board of directors could issue to discourage a takeover attempt to 10,000,000 shares;</w:t>
      </w:r>
    </w:p>
    <w:p>
      <w:pPr>
        <w:spacing w:after="0" w:line="89"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54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C </w:t>
      </w:r>
      <w:r>
        <w:rPr>
          <w:rFonts w:ascii="Times New Roman" w:cs="Times New Roman" w:eastAsia="Times New Roman" w:hAnsi="Times New Roman"/>
          <w:sz w:val="18"/>
          <w:szCs w:val="18"/>
          <w:color w:val="auto"/>
        </w:rPr>
        <w:t>— to provide that certain amendments to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Charter will require the approval of at least 662/3% of the Combined Entity’s then-outstanding shares of capital stock entitled to vote on such amendment;</w:t>
      </w:r>
    </w:p>
    <w:p>
      <w:pPr>
        <w:sectPr>
          <w:pgSz w:w="11900" w:h="16838" w:orient="portrait"/>
          <w:cols w:equalWidth="0" w:num="1">
            <w:col w:w="9019"/>
          </w:cols>
          <w:pgMar w:left="1440" w:top="270" w:right="1440" w:bottom="812" w:gutter="0" w:footer="0" w:header="0"/>
          <w:type w:val="continuous"/>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812" w:gutter="0" w:footer="0" w:header="0"/>
          <w:type w:val="continuous"/>
        </w:sectPr>
      </w:pPr>
    </w:p>
    <w:bookmarkStart w:id="33" w:name="page34"/>
    <w:bookmarkEnd w:id="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8047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7804785"/>
                    </a:xfrm>
                    <a:prstGeom prst="rect">
                      <a:avLst/>
                    </a:prstGeom>
                    <a:noFill/>
                  </pic:spPr>
                </pic:pic>
              </a:graphicData>
            </a:graphic>
          </wp:anchor>
        </w:drawing>
      </w:r>
    </w:p>
    <w:p>
      <w:pPr>
        <w:spacing w:after="0" w:line="323" w:lineRule="exact"/>
        <w:rPr>
          <w:sz w:val="20"/>
          <w:szCs w:val="20"/>
          <w:color w:val="auto"/>
        </w:rPr>
      </w:pPr>
    </w:p>
    <w:p>
      <w:pPr>
        <w:jc w:val="both"/>
        <w:ind w:left="1400" w:right="559" w:hanging="424"/>
        <w:spacing w:after="0" w:line="259" w:lineRule="auto"/>
        <w:tabs>
          <w:tab w:leader="none" w:pos="139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D — </w:t>
      </w:r>
      <w:r>
        <w:rPr>
          <w:rFonts w:ascii="Times New Roman" w:cs="Times New Roman" w:eastAsia="Times New Roman" w:hAnsi="Times New Roman"/>
          <w:sz w:val="18"/>
          <w:szCs w:val="18"/>
          <w:color w:val="auto"/>
        </w:rPr>
        <w:t>to make the Combined Entity’s corporate existence perpetual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11"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41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E </w:t>
      </w:r>
      <w:r>
        <w:rPr>
          <w:rFonts w:ascii="Times New Roman" w:cs="Times New Roman" w:eastAsia="Times New Roman" w:hAnsi="Times New Roman"/>
          <w:sz w:val="18"/>
          <w:szCs w:val="18"/>
          <w:color w:val="auto"/>
        </w:rPr>
        <w:t>— to provide that any amendment to the Amended By-laws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 the approval of at least 66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Incentive Plan Proposal</w:t>
      </w:r>
    </w:p>
    <w:p>
      <w:pPr>
        <w:spacing w:after="0" w:line="14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FS Development is proposing that its stockholders approve and adopt the Equity Incentive Plan of the Combined Entity, which will become effective as of the date immediately preceding the date of the Closing and will have the following principal features:</w:t>
      </w:r>
    </w:p>
    <w:p>
      <w:pPr>
        <w:spacing w:after="0" w:line="104" w:lineRule="exact"/>
        <w:rPr>
          <w:sz w:val="20"/>
          <w:szCs w:val="20"/>
          <w:color w:val="auto"/>
        </w:rPr>
      </w:pPr>
    </w:p>
    <w:p>
      <w:pPr>
        <w:jc w:val="both"/>
        <w:ind w:left="1400" w:right="559" w:hanging="424"/>
        <w:spacing w:after="0" w:line="255" w:lineRule="auto"/>
        <w:tabs>
          <w:tab w:leader="none" w:pos="144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Types of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Equity Incentive Plan provides for the grant of incentive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non-qualified stock options, stock appreciation rights, restricted stock awards, restricted stock unit awards, unrestricted stock awards, and dividend equivalent rights, or collectively, stock awards, all of which may be granted to employees, including officers, non-employee directors and consultants of the Combined Entity and its affiliates. Additionally, the Equity Incentive Plan provides for the grant of performance-based cash awards. Incentive stock options may be granted only to employees. All other awards may be granted to employees, including officers, and to non-employee directors and consultants.</w:t>
      </w:r>
    </w:p>
    <w:p>
      <w:pPr>
        <w:spacing w:after="0" w:line="117"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43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Shares Available for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Initially, the aggregate number of shares of Common Stock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issued pursuant to stock awards under the Equity Incentive Plan after the Equity Incentive Plan becomes effective will not exceed [•] shares. Additionally, the number of shares of Common Stock reserved for issuance under the Equity Incentive Plan will automatically increase on January 1 of each year, beginning on January 1, 2022 by 4% of the total number of shares of Common Stock outstanding on December 31 of the preceding calendar year, or a lesser number of shares determined by the administrator of the Equity Incentive Plan.</w:t>
      </w:r>
    </w:p>
    <w:p>
      <w:pPr>
        <w:spacing w:after="0" w:line="101" w:lineRule="exact"/>
        <w:rPr>
          <w:rFonts w:ascii="Times New Roman" w:cs="Times New Roman" w:eastAsia="Times New Roman" w:hAnsi="Times New Roman"/>
          <w:sz w:val="18"/>
          <w:szCs w:val="18"/>
          <w:color w:val="auto"/>
        </w:rPr>
      </w:pPr>
    </w:p>
    <w:p>
      <w:pPr>
        <w:jc w:val="both"/>
        <w:ind w:left="1400" w:right="559" w:hanging="424"/>
        <w:spacing w:after="0" w:line="259" w:lineRule="auto"/>
        <w:tabs>
          <w:tab w:leader="none" w:pos="151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Non-Employee Director Compensation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value of all awards awarded under the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Plan and all other cash compensation paid by the Combined Entity to any non-employee director in any calendar year for services as a non-employee director will not exceed $750,000, or $1,000,000 for the year in which a non-employee director is first appointed or elected to the Combined Entity’s board of directors.</w:t>
      </w:r>
    </w:p>
    <w:p>
      <w:pPr>
        <w:spacing w:after="0" w:line="114"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A summary of the Equity Incentive Plan is set forth in the “</w:t>
      </w:r>
      <w:r>
        <w:rPr>
          <w:rFonts w:ascii="Times New Roman" w:cs="Times New Roman" w:eastAsia="Times New Roman" w:hAnsi="Times New Roman"/>
          <w:sz w:val="18"/>
          <w:szCs w:val="18"/>
          <w:i w:val="1"/>
          <w:iCs w:val="1"/>
          <w:color w:val="auto"/>
        </w:rPr>
        <w:t>The Incentive Plan Proposal</w:t>
      </w:r>
      <w:r>
        <w:rPr>
          <w:rFonts w:ascii="Times New Roman" w:cs="Times New Roman" w:eastAsia="Times New Roman" w:hAnsi="Times New Roman"/>
          <w:sz w:val="18"/>
          <w:szCs w:val="18"/>
          <w:color w:val="auto"/>
        </w:rPr>
        <w:t xml:space="preserve">” section of this proxy statement/prospectus and a complete copy of the Equity Incentive Plan is attached hereto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Date, Time and Place of Special Meeting</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Special Meeting will be held on , 2020, at , Eastern time, conducted via live webcast at the following address . You will need the 12-digit meeting control number that is printed on your</w:t>
      </w: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proxy card to enter the Special Meeting. FS Development recommends that you log in at least 15 minutes before the Special Meeting to ensure you are logged in when the Special Meeting starts. Please note that you will not be able to attend the Special Meeting in person.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Only holders of record of issued and outstanding FS Development Common Stock as of the close of business</w:t>
      </w:r>
    </w:p>
    <w:p>
      <w:pPr>
        <w:spacing w:after="0" w:line="27"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on , 2020, the Record Date for the Special Meeting, are entitled to notice of, and to vote at, the Special Meeting or any adjournment or postponement of the Special Meeting. You may cast one vote for each share of FS Development Common Stock that you owned as of the close of business on the Record Date.</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24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852487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Proxies may be solicited by mail. We have engaged Morrow Sodali LLC to assist in the solicitation of proxies. If a stockholder grants a proxy, it may still vote its shares online if it revokes its proxy before the Special Meeting. A stockholder may also change its vote by submitting a later-dated proxy as described in the section titled “</w:t>
      </w:r>
      <w:r>
        <w:rPr>
          <w:rFonts w:ascii="Times New Roman" w:cs="Times New Roman" w:eastAsia="Times New Roman" w:hAnsi="Times New Roman"/>
          <w:sz w:val="18"/>
          <w:szCs w:val="18"/>
          <w:i w:val="1"/>
          <w:iCs w:val="1"/>
          <w:color w:val="auto"/>
        </w:rPr>
        <w:t>Special Meeting of FS Development Stockholders — Revoking Your Proxy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 for the Special Meeting</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 quorum of FS Development stockholders is necessary to hold a valid meeting. A quorum will be present at the Special Meeting if the holders of a majority of the FS Development Common Stock outstanding and entitled to vote at the Special Meeting is represented in person (which would include presence at a virtual meeting) or by proxy at the Special Meeting. Abstentions will count as present for the purposes of establishing a quorum. Broker non-votes will not be counted for purposes of establishing a quorum.</w:t>
      </w:r>
    </w:p>
    <w:p>
      <w:pPr>
        <w:spacing w:after="0" w:line="10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FS Development Common Stock voting together as a single class as of the Record Date. Accordingly, a FS Development stockholder’s failure to vote by proxy or to vote in person (which would include presence at a virtual meeting) at the Special Meeting or an abstention will have the same effect as a vote “AGAINST” the Charter Amendment Proposal.</w:t>
      </w:r>
    </w:p>
    <w:p>
      <w:pPr>
        <w:spacing w:after="0" w:line="116"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(which would include presence at a virtual meeting) or by proxy and entitled to vote thereon at the Special Meeting, voting together a single class. A FS Development stockholder’s failure to vote by proxy or to vote in person (which would include presence at a virtual meeting) at the Special Meeting will not be counted towards the number of shares of FS Development Common Stock required to validly establish a quorum, and if a valid quorum is otherwise established, it will have no effect on the outcome of the vote on the Business Combination Proposal, the Nasdaq Stock Issuance Proposal, the Advisory Charter Proposals, the Incentive Plan Proposal, and the Adjournment Proposal.</w:t>
      </w:r>
    </w:p>
    <w:p>
      <w:pPr>
        <w:spacing w:after="0" w:line="127"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Approval of the Nasdaq Stock Issuance Proposal, the Charter Amendment Proposal, and the Incentive Plan Proposal are conditioned on the approval of the Business Combination Proposal and the Business Combination Proposal is conditioned on the approval of the Nasdaq Stock Issuance Proposal, the Charter Amendment Proposal, and the Incentive Plan Proposal. Unless the Business Combination Proposal is approved, the Nasdaq Stock Issuance Proposal, the Charter Amendment Proposal, and the Incentive Plan Proposal will not be presented to the stockholders of FS Development at the Special Meeting. The Adjournment Proposal is not conditioned on any other Proposal and does not require the approval of any other Proposal to be effective. It is important for you to note that in the event the Business Combination Proposal, the Nasdaq Stock Issuance Proposal, the Charter Amendment Proposal, and the Incentive Plan Proposal do not receive the requisite vote for approval, then FS Development will not consummate the Business Combination. If FS Development does not consummate the Business Combination and fails to complete an initial business combination by August 14, 2022, it will be required to dissolve and liquidate its Trust Account by returning the then remaining funds in such account to its public stockholders.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Recommendation to FS Development Stockholders</w:t>
      </w:r>
    </w:p>
    <w:p>
      <w:pPr>
        <w:spacing w:after="0" w:line="144" w:lineRule="exact"/>
        <w:rPr>
          <w:sz w:val="20"/>
          <w:szCs w:val="20"/>
          <w:color w:val="auto"/>
        </w:rPr>
      </w:pPr>
    </w:p>
    <w:p>
      <w:pPr>
        <w:jc w:val="both"/>
        <w:ind w:left="540" w:right="559"/>
        <w:spacing w:after="0" w:line="268" w:lineRule="auto"/>
        <w:rPr>
          <w:sz w:val="20"/>
          <w:szCs w:val="20"/>
          <w:color w:val="auto"/>
        </w:rPr>
      </w:pPr>
      <w:r>
        <w:rPr>
          <w:rFonts w:ascii="Times New Roman" w:cs="Times New Roman" w:eastAsia="Times New Roman" w:hAnsi="Times New Roman"/>
          <w:sz w:val="18"/>
          <w:szCs w:val="18"/>
          <w:b w:val="1"/>
          <w:bCs w:val="1"/>
          <w:color w:val="auto"/>
        </w:rPr>
        <w:t>The Board believes that the Proposals to be presented at the Special Meeting are in the best interests of FS Development and its stockholders and unanimously recommends that FS Development stockholders vote “FOR” the Proposals.</w:t>
      </w:r>
    </w:p>
    <w:p>
      <w:pPr>
        <w:spacing w:after="0" w:line="107"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When you consider the recommendation of the Board in favor of approval of these Proposals, you should keep in mind that FS Development directors and officers have interests in the Business Combination that are different from or in addition to (and which may conflict with) your interests as a stockholder. These interests include, among other things:</w:t>
      </w:r>
    </w:p>
    <w:p>
      <w:pPr>
        <w:spacing w:after="0" w:line="112" w:lineRule="exact"/>
        <w:rPr>
          <w:sz w:val="20"/>
          <w:szCs w:val="20"/>
          <w:color w:val="auto"/>
        </w:rPr>
      </w:pPr>
    </w:p>
    <w:p>
      <w:pPr>
        <w:jc w:val="both"/>
        <w:ind w:left="1400" w:right="559" w:hanging="424"/>
        <w:spacing w:after="0" w:line="258" w:lineRule="auto"/>
        <w:tabs>
          <w:tab w:leader="none" w:pos="148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FS Development consummates an initial business combination by August 14, 2022, FS Development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spacing w:after="0" w:line="270" w:lineRule="auto"/>
        <w:rPr>
          <w:sz w:val="20"/>
          <w:szCs w:val="20"/>
          <w:color w:val="auto"/>
        </w:rPr>
      </w:pPr>
      <w:r>
        <w:rPr>
          <w:rFonts w:ascii="Times New Roman" w:cs="Times New Roman" w:eastAsia="Times New Roman" w:hAnsi="Times New Roman"/>
          <w:sz w:val="17"/>
          <w:szCs w:val="17"/>
          <w:color w:val="auto"/>
        </w:rPr>
        <w:t>on the funds held in the Trust Account and not previously released to us to pay FS Development’s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w:t>
      </w:r>
    </w:p>
    <w:p>
      <w:pPr>
        <w:spacing w:after="0" w:line="3" w:lineRule="exact"/>
        <w:rPr>
          <w:sz w:val="20"/>
          <w:szCs w:val="20"/>
          <w:color w:val="auto"/>
        </w:rPr>
      </w:pPr>
    </w:p>
    <w:p>
      <w:pPr>
        <w:jc w:val="both"/>
        <w:ind w:left="1400" w:right="559"/>
        <w:spacing w:after="0" w:line="253" w:lineRule="auto"/>
        <w:rPr>
          <w:sz w:val="20"/>
          <w:szCs w:val="20"/>
          <w:color w:val="auto"/>
        </w:rPr>
      </w:pPr>
      <w:r>
        <w:rPr>
          <w:rFonts w:ascii="Times New Roman" w:cs="Times New Roman" w:eastAsia="Times New Roman" w:hAnsi="Times New Roman"/>
          <w:sz w:val="18"/>
          <w:szCs w:val="18"/>
          <w:color w:val="auto"/>
        </w:rPr>
        <w:t>(iii) as promptly as reasonably possible following such redemption, subject to the approval of FS Development’s remaining stockholders and the Board, liquidate and dissolve, subject in each case to FS Development’s obligations under Delaware law to provide for claims of creditors and the requirements of other applicable law.</w:t>
      </w:r>
    </w:p>
    <w:p>
      <w:pPr>
        <w:spacing w:after="0" w:line="121" w:lineRule="exact"/>
        <w:rPr>
          <w:sz w:val="20"/>
          <w:szCs w:val="20"/>
          <w:color w:val="auto"/>
        </w:rPr>
      </w:pPr>
    </w:p>
    <w:p>
      <w:pPr>
        <w:jc w:val="both"/>
        <w:ind w:left="1400" w:right="559" w:hanging="424"/>
        <w:spacing w:after="0" w:line="258" w:lineRule="auto"/>
        <w:tabs>
          <w:tab w:leader="none" w:pos="14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FS Development fails to complete a business combination within the required period. Our Sponsor purchased the Founders Shares prior to the FS Development IPO for an aggregate purchase price of $25,000, and transferred 30,000 Founders Shares to each of Mr. Carey, Dr. Dubin and Dr. Pakianathan.</w:t>
      </w:r>
    </w:p>
    <w:p>
      <w:pPr>
        <w:spacing w:after="0" w:line="102"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41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Private Placement Shares at a price of $10.00 per share in a private placement to the Sponsor. If FS Development does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52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FS Development’s officers and directors will lose their entire investment in FS Development if FS Development does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55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07"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40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Development’s initial stockholders and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44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FS Development if and to the extent any claims by a vendor for services rendered or products sold to FS Development, or a prospective target business with which FS Development has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FS Development’s indemnity of the underwriters of the offering against certain liabilities, including liabilities under the Securities Act.</w:t>
      </w:r>
    </w:p>
    <w:p>
      <w:pPr>
        <w:spacing w:after="0" w:line="124"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4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FS Development does not complete an initial business combination within the required period, FS Development may use a portion of its working capital held outside the Trust Account to repay the working capital loans, but no proceeds held in the Trust Account would be used to repay the working capital loans.</w:t>
      </w:r>
    </w:p>
    <w:p>
      <w:pPr>
        <w:spacing w:after="0" w:line="10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52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Business Combination, FS Development will continue to indemnify FS Development’s existing directors and officers and will maintain a directors’ and officers’ liability insurance policy.</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2449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7310" cy="9244965"/>
                    </a:xfrm>
                    <a:prstGeom prst="rect">
                      <a:avLst/>
                    </a:prstGeom>
                    <a:noFill/>
                  </pic:spPr>
                </pic:pic>
              </a:graphicData>
            </a:graphic>
          </wp:anchor>
        </w:drawing>
      </w:r>
    </w:p>
    <w:p>
      <w:pPr>
        <w:sectPr>
          <w:pgSz w:w="11900" w:h="16838" w:orient="portrait"/>
          <w:cols w:equalWidth="0" w:num="1">
            <w:col w:w="9019"/>
          </w:cols>
          <w:pgMar w:left="1440" w:top="270" w:right="1440" w:bottom="852" w:gutter="0" w:footer="0" w:header="0"/>
        </w:sectPr>
      </w:pPr>
    </w:p>
    <w:p>
      <w:pPr>
        <w:spacing w:after="0" w:line="358" w:lineRule="exact"/>
        <w:rPr>
          <w:sz w:val="20"/>
          <w:szCs w:val="20"/>
          <w:color w:val="auto"/>
        </w:rPr>
      </w:pPr>
    </w:p>
    <w:p>
      <w:pPr>
        <w:jc w:val="both"/>
        <w:ind w:left="1400" w:right="559" w:hanging="424"/>
        <w:spacing w:after="0" w:line="255" w:lineRule="auto"/>
        <w:tabs>
          <w:tab w:leader="none" w:pos="151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the Sponsor, FS Development’s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In evaluating the proposals set forth in this proxy statement/prospectus, you should carefully read this proxy statement/prospectus, including the annexes, and especially consider the factors discussed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4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FS Development’s Class A Common Stock is publicly traded on Nasdaq, under the symbol “FSDC.” FS Development intends to apply to list the common stock of the Combined Entity on Nasdaq under the symbol “GMNI”, upon the Closing.</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Sources and Uses for the Business Combination</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tables summarizes the sources and uses for funding the Business Combination based on (i) the assumption that there will be no redemptions and (ii) the assumption that there will be maximum redemptions. See section 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for further information.</w:t>
      </w:r>
    </w:p>
    <w:p>
      <w:pPr>
        <w:spacing w:after="0" w:line="112" w:lineRule="exact"/>
        <w:rPr>
          <w:sz w:val="20"/>
          <w:szCs w:val="20"/>
          <w:color w:val="auto"/>
        </w:rPr>
      </w:pPr>
    </w:p>
    <w:p>
      <w:pPr>
        <w:ind w:left="940" w:hanging="396"/>
        <w:spacing w:after="0"/>
        <w:tabs>
          <w:tab w:leader="none" w:pos="9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redemptions</w:t>
      </w:r>
    </w:p>
    <w:p>
      <w:pPr>
        <w:spacing w:after="0" w:line="273"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6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Existing Cash in Trust Account</w:t>
            </w:r>
          </w:p>
        </w:tc>
        <w:tc>
          <w:tcPr>
            <w:tcW w:w="42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120,751</w:t>
            </w:r>
          </w:p>
        </w:tc>
        <w:tc>
          <w:tcPr>
            <w:tcW w:w="316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6"/>
                <w:szCs w:val="16"/>
                <w:color w:val="auto"/>
              </w:rPr>
              <w:t>Gemini Equityholders’ Retained Equity</w:t>
            </w:r>
          </w:p>
        </w:tc>
        <w:tc>
          <w:tcPr>
            <w:tcW w:w="2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Value</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95,060</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191,201</w:t>
            </w: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2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FS Development Estimated Transaction</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Value</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Costs</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430,811</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Uses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430,811</w:t>
            </w:r>
          </w:p>
        </w:tc>
        <w:tc>
          <w:tcPr>
            <w:tcW w:w="0" w:type="dxa"/>
            <w:vAlign w:val="bottom"/>
          </w:tcPr>
          <w:p>
            <w:pPr>
              <w:spacing w:after="0"/>
              <w:rPr>
                <w:sz w:val="1"/>
                <w:szCs w:val="1"/>
                <w:color w:val="auto"/>
              </w:rPr>
            </w:pPr>
          </w:p>
        </w:tc>
      </w:tr>
      <w:tr>
        <w:trPr>
          <w:trHeight w:val="22"/>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(ii) Maximum redemptions</w:t>
            </w: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28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6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Existing Cash in Trust Account</w:t>
            </w:r>
          </w:p>
        </w:tc>
        <w:tc>
          <w:tcPr>
            <w:tcW w:w="42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5,001</w:t>
            </w:r>
          </w:p>
        </w:tc>
        <w:tc>
          <w:tcPr>
            <w:tcW w:w="316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6"/>
                <w:szCs w:val="16"/>
                <w:color w:val="auto"/>
              </w:rPr>
              <w:t>Gemini Equityholders’ Retained Equity</w:t>
            </w:r>
          </w:p>
        </w:tc>
        <w:tc>
          <w:tcPr>
            <w:tcW w:w="2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Value</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95,060</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75,451</w:t>
            </w: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2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FS Development Estimated Transaction</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Value</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Costs</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315,061</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Uses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315,061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Comparison of Stockholder Rights</w:t>
      </w:r>
    </w:p>
    <w:p>
      <w:pPr>
        <w:spacing w:after="0" w:line="14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Following the Closing, the rights of the Combined Entity’s Stockholders will be governed by the Proposed Charter and the Amended By-laws. See the section titled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58"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w:t>
      </w:r>
    </w:p>
    <w:p>
      <w:pPr>
        <w:sectPr>
          <w:pgSz w:w="11900" w:h="16838" w:orient="portrait"/>
          <w:cols w:equalWidth="0" w:num="1">
            <w:col w:w="9019"/>
          </w:cols>
          <w:pgMar w:left="1440" w:top="270" w:right="1440" w:bottom="852" w:gutter="0" w:footer="0" w:header="0"/>
          <w:type w:val="continuous"/>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52" w:gutter="0" w:footer="0" w:header="0"/>
          <w:type w:val="continuous"/>
        </w:sectPr>
      </w:pPr>
    </w:p>
    <w:bookmarkStart w:id="37" w:name="page38"/>
    <w:bookmarkEnd w:id="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4074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7310" cy="3407410"/>
                    </a:xfrm>
                    <a:prstGeom prst="rect">
                      <a:avLst/>
                    </a:prstGeom>
                    <a:noFill/>
                  </pic:spPr>
                </pic:pic>
              </a:graphicData>
            </a:graphic>
          </wp:anchor>
        </w:drawing>
      </w:r>
    </w:p>
    <w:p>
      <w:pPr>
        <w:spacing w:after="0" w:line="327"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company, can adopt the new or revised standard at the time private companies adopt the new or revised standard. This may make comparison of our financial statements with those of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27" w:lineRule="exact"/>
        <w:rPr>
          <w:sz w:val="20"/>
          <w:szCs w:val="20"/>
          <w:color w:val="auto"/>
        </w:rPr>
      </w:pPr>
    </w:p>
    <w:p>
      <w:pPr>
        <w:jc w:val="both"/>
        <w:ind w:left="540" w:right="559" w:firstLine="4"/>
        <w:spacing w:after="0" w:line="252" w:lineRule="auto"/>
        <w:tabs>
          <w:tab w:leader="none" w:pos="80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closing of our initial public offering, (b) in which we have total annual gross revenue of at least $1.07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have the meaning associated with it in the JOBS Act.</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48"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1338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7310" cy="9133840"/>
                    </a:xfrm>
                    <a:prstGeom prst="rect">
                      <a:avLst/>
                    </a:prstGeom>
                    <a:noFill/>
                  </pic:spPr>
                </pic:pic>
              </a:graphicData>
            </a:graphic>
          </wp:anchor>
        </w:drawing>
      </w:r>
    </w:p>
    <w:p>
      <w:pPr>
        <w:sectPr>
          <w:pgSz w:w="11900" w:h="16838" w:orient="portrait"/>
          <w:cols w:equalWidth="0" w:num="1">
            <w:col w:w="9019"/>
          </w:cols>
          <w:pgMar w:left="1440" w:top="270" w:right="1440" w:bottom="1014"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FINANCIAL AND OTHER DATA OF GEMINI</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The following tables summarize Gemini’s financial and other data. Gemini has derived the summary statements of operations data for the years ended December 31, 2018 and 2019 and the balance sheet data as of December 31, 2019 from its audited financial statements included elsewhere in this proxy statement/prospectus. The summary statements of operations data for the nine months ended September 30, 2019 and 2020 and the summary balance sheet data as of September 30, 2020 are derived from Gemini’s unaudited interim condensed financial statements included elsewhere in this proxy statement/prospectus. Gemini’s unaudited interim condensed financial statements were prepared on a basis consistent with its audited financial statements and include, in management’s opinion, all adjustments, consisting only of normal recurring adjustments, that Gemini considers necessary for a fair presentation of the financial information set forth in those statements included elsewhere in this proxy statement/prospectus. Gemini’s historical results are not necessarily indicative of the results that may be expected in any future period, and interim financial results are not necessarily indicative of the results that may be expected for the full year.</w:t>
      </w:r>
    </w:p>
    <w:p>
      <w:pPr>
        <w:spacing w:after="0" w:line="12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You should read this data together with Gemini’s financial statements and related notes included elsewhere in this proxy statement/prospectus and the sections titled “</w:t>
      </w:r>
      <w:r>
        <w:rPr>
          <w:rFonts w:ascii="Times New Roman" w:cs="Times New Roman" w:eastAsia="Times New Roman" w:hAnsi="Times New Roman"/>
          <w:sz w:val="18"/>
          <w:szCs w:val="18"/>
          <w:i w:val="1"/>
          <w:iCs w:val="1"/>
          <w:color w:val="auto"/>
        </w:rPr>
        <w:t>Selected Financial and Other Data of Gemini</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Gemini</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Statements of Operations and Comprehensive Loss Data:</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30"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gridSpan w:val="18"/>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Nine Months Ended September 30,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14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34,472</w:t>
            </w:r>
          </w:p>
        </w:tc>
        <w:tc>
          <w:tcPr>
            <w:tcW w:w="140" w:type="dxa"/>
            <w:vAlign w:val="bottom"/>
          </w:tcPr>
          <w:p>
            <w:pPr>
              <w:spacing w:after="0"/>
              <w:rPr>
                <w:sz w:val="21"/>
                <w:szCs w:val="21"/>
                <w:color w:val="auto"/>
              </w:rPr>
            </w:pP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3160" w:type="dxa"/>
            <w:vAlign w:val="bottom"/>
            <w:gridSpan w:val="2"/>
            <w:vMerge w:val="continue"/>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40" w:type="dxa"/>
            <w:vAlign w:val="bottom"/>
            <w:vMerge w:val="continue"/>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vMerge w:val="continue"/>
          </w:tcPr>
          <w:p>
            <w:pPr>
              <w:spacing w:after="0"/>
              <w:rPr>
                <w:sz w:val="24"/>
                <w:szCs w:val="24"/>
                <w:color w:val="auto"/>
              </w:rPr>
            </w:pP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00" w:type="dxa"/>
            <w:vAlign w:val="bottom"/>
            <w:vMerge w:val="continue"/>
          </w:tcPr>
          <w:p>
            <w:pPr>
              <w:spacing w:after="0"/>
              <w:rPr>
                <w:sz w:val="24"/>
                <w:szCs w:val="24"/>
                <w:color w:val="auto"/>
              </w:rPr>
            </w:pPr>
          </w:p>
        </w:tc>
        <w:tc>
          <w:tcPr>
            <w:tcW w:w="40" w:type="dxa"/>
            <w:vAlign w:val="bottom"/>
            <w:vMerge w:val="continue"/>
          </w:tcPr>
          <w:p>
            <w:pPr>
              <w:spacing w:after="0"/>
              <w:rPr>
                <w:sz w:val="24"/>
                <w:szCs w:val="24"/>
                <w:color w:val="auto"/>
              </w:rPr>
            </w:pPr>
          </w:p>
        </w:tc>
        <w:tc>
          <w:tcPr>
            <w:tcW w:w="32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Net loss attributable to common</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(20,167)</w:t>
            </w: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(41,400)</w:t>
            </w:r>
          </w:p>
        </w:tc>
        <w:tc>
          <w:tcPr>
            <w:tcW w:w="300" w:type="dxa"/>
            <w:vAlign w:val="bottom"/>
            <w:tcBorders>
              <w:bottom w:val="single" w:sz="8" w:color="CCEEFF"/>
            </w:tcBorders>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(26,522)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(8.01)</w:t>
            </w: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40" w:type="dxa"/>
            <w:vAlign w:val="bottom"/>
          </w:tcPr>
          <w:p>
            <w:pPr>
              <w:spacing w:after="0"/>
              <w:rPr>
                <w:sz w:val="20"/>
                <w:szCs w:val="20"/>
                <w:color w:val="auto"/>
              </w:rPr>
            </w:pPr>
          </w:p>
        </w:tc>
        <w:tc>
          <w:tcPr>
            <w:tcW w:w="32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4,811,641</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5,171,537</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5,133,773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5,507,900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Balance Sheet Data:</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8"/>
          </w:tcPr>
          <w:p>
            <w:pPr>
              <w:ind w:left="5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3"/>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18,528</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21,608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carrying value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current portion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380" w:type="dxa"/>
            <w:vAlign w:val="bottom"/>
            <w:gridSpan w:val="4"/>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current portion and discount</w:t>
            </w: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1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47,113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(71,984)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(98,506)</w:t>
            </w:r>
          </w:p>
        </w:tc>
        <w:tc>
          <w:tcPr>
            <w:tcW w:w="0" w:type="dxa"/>
            <w:vAlign w:val="bottom"/>
          </w:tcPr>
          <w:p>
            <w:pPr>
              <w:spacing w:after="0"/>
              <w:rPr>
                <w:sz w:val="1"/>
                <w:szCs w:val="1"/>
                <w:color w:val="auto"/>
              </w:rPr>
            </w:pPr>
          </w:p>
        </w:tc>
      </w:tr>
      <w:tr>
        <w:trPr>
          <w:trHeight w:val="40"/>
        </w:trPr>
        <w:tc>
          <w:tcPr>
            <w:tcW w:w="31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(70,797)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(88,727)</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014"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14" w:gutter="0" w:footer="0" w:header="0"/>
          <w:type w:val="continuous"/>
        </w:sectPr>
      </w:pPr>
    </w:p>
    <w:bookmarkStart w:id="39" w:name="page40"/>
    <w:bookmarkEnd w:id="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935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7310" cy="593598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FINANCIAL AND OTHER DATA OF FS DEVELOPMENT</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FS Development’s statement of operations data for the period from June 25, 2020 (inception) through September 30, 2020 and balance sheet data as at September 30, 2020 is derived from FS Development’s unaudited condensed financial statements included elsewhere in this proxy statement/prospectus.</w:t>
      </w:r>
    </w:p>
    <w:p>
      <w:pPr>
        <w:spacing w:after="0" w:line="10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This information is only a summary and should be read in conjunction with FS Development’s financial statements and related notes included elsewhere in this proxy statement/prospectus and the sections titled “</w:t>
      </w:r>
      <w:r>
        <w:rPr>
          <w:rFonts w:ascii="Times New Roman" w:cs="Times New Roman" w:eastAsia="Times New Roman" w:hAnsi="Times New Roman"/>
          <w:sz w:val="18"/>
          <w:szCs w:val="18"/>
          <w:i w:val="1"/>
          <w:iCs w:val="1"/>
          <w:color w:val="auto"/>
        </w:rPr>
        <w:t>Selected Financial and Other Data of FS Development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of FS Development</w:t>
      </w:r>
      <w:r>
        <w:rPr>
          <w:rFonts w:ascii="Times New Roman" w:cs="Times New Roman" w:eastAsia="Times New Roman" w:hAnsi="Times New Roman"/>
          <w:sz w:val="18"/>
          <w:szCs w:val="18"/>
          <w:color w:val="auto"/>
        </w:rPr>
        <w:t>.”</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Period</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From June 25,</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(inception)</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through</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8"/>
                <w:szCs w:val="18"/>
                <w:color w:val="auto"/>
              </w:rPr>
            </w:pPr>
          </w:p>
        </w:tc>
      </w:tr>
      <w:tr>
        <w:trPr>
          <w:trHeight w:val="47"/>
        </w:trPr>
        <w:tc>
          <w:tcPr>
            <w:tcW w:w="634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80" w:type="dxa"/>
            <w:vAlign w:val="bottom"/>
          </w:tcPr>
          <w:p>
            <w:pPr>
              <w:spacing w:after="0"/>
              <w:rPr>
                <w:sz w:val="22"/>
                <w:szCs w:val="22"/>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452,486</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49,914</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Loss from operations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(502,400)</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interest earned on Trust Account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00" w:type="dxa"/>
            <w:vAlign w:val="bottom"/>
          </w:tcPr>
          <w:p>
            <w:pPr>
              <w:spacing w:after="0"/>
              <w:rPr>
                <w:sz w:val="21"/>
                <w:szCs w:val="21"/>
                <w:color w:val="auto"/>
              </w:rPr>
            </w:pPr>
          </w:p>
        </w:tc>
      </w:tr>
      <w:tr>
        <w:trPr>
          <w:trHeight w:val="41"/>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A common stock</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12,516,500</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A</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B common stock</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3,018,750</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r>
      <w:tr>
        <w:trPr>
          <w:trHeight w:val="403"/>
        </w:trPr>
        <w:tc>
          <w:tcPr>
            <w:tcW w:w="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8"/>
                <w:szCs w:val="18"/>
                <w:color w:val="auto"/>
              </w:rPr>
            </w:pPr>
          </w:p>
        </w:tc>
      </w:tr>
      <w:tr>
        <w:trPr>
          <w:trHeight w:val="47"/>
        </w:trPr>
        <w:tc>
          <w:tcPr>
            <w:tcW w:w="634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80" w:type="dxa"/>
            <w:vAlign w:val="bottom"/>
          </w:tcPr>
          <w:p>
            <w:pPr>
              <w:spacing w:after="0"/>
              <w:rPr>
                <w:sz w:val="22"/>
                <w:szCs w:val="22"/>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122,358,987</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54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4,778,652</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Value of Class A Common Stock subject to possible redemption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112,580,330</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54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5,000,005</w:t>
            </w:r>
          </w:p>
        </w:tc>
        <w:tc>
          <w:tcPr>
            <w:tcW w:w="100" w:type="dxa"/>
            <w:vAlign w:val="bottom"/>
          </w:tcPr>
          <w:p>
            <w:pPr>
              <w:spacing w:after="0"/>
              <w:rPr>
                <w:sz w:val="22"/>
                <w:szCs w:val="22"/>
                <w:color w:val="auto"/>
              </w:rPr>
            </w:pPr>
          </w:p>
        </w:tc>
      </w:tr>
      <w:tr>
        <w:trPr>
          <w:trHeight w:val="361"/>
        </w:trPr>
        <w:tc>
          <w:tcPr>
            <w:tcW w:w="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02"/>
        </w:trPr>
        <w:tc>
          <w:tcPr>
            <w:tcW w:w="6340" w:type="dxa"/>
            <w:vAlign w:val="bottom"/>
            <w:tcBorders>
              <w:bottom w:val="single" w:sz="8" w:color="auto"/>
            </w:tcBorders>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64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7310" cy="87649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UNAUDITED PRO FORMA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COMBINED FINANCIAL INFORMATION</w:t>
      </w:r>
    </w:p>
    <w:p>
      <w:pPr>
        <w:spacing w:after="0" w:line="139"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following summary unaudited pro forma condensed combined financial information has been derived from the unaudited pro forma condensed combined balance sheet as of September 30, 2020 and the unaudited pro forma condensed combined statements of operations for the year ended December 31, 2019 and the nine months ended September 30, 2020 included in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The summary unaudited pro forma condensed combined financial information should be read in conjunction with the unaudited pro forma condensed combined balance sheet and the unaudited pro forma condensed combined statement of operations, and the accompanying notes. In addition, the unaudited condensed combined pro forma financial information was based on and should be read in conjunction with the historical financial statements of FS Development and Gemini, including the accompanying notes, which are included elsewhere in this proxy statement/prospectus.</w:t>
      </w:r>
    </w:p>
    <w:p>
      <w:pPr>
        <w:spacing w:after="0" w:line="106"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capitalization, with no goodwill or other intangible assets recorded, in accordance with GAAP. Under this method of accounting, FS Development is treated as the “acquired” company for financial reporting purposes.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are stated at historical cost, with no goodwill or other intangible assets recorded. Operations prior to the Business Combination are those of Gemini.</w:t>
      </w:r>
    </w:p>
    <w:p>
      <w:pPr>
        <w:spacing w:after="0" w:line="124"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two alternative levels of redemption into cash of FS Development Common Stock:</w:t>
      </w:r>
    </w:p>
    <w:p>
      <w:pPr>
        <w:spacing w:after="0" w:line="92" w:lineRule="exact"/>
        <w:rPr>
          <w:sz w:val="20"/>
          <w:szCs w:val="20"/>
          <w:color w:val="auto"/>
        </w:rPr>
      </w:pPr>
    </w:p>
    <w:p>
      <w:pPr>
        <w:ind w:left="1400" w:right="559" w:hanging="424"/>
        <w:spacing w:after="0" w:line="284" w:lineRule="auto"/>
        <w:tabs>
          <w:tab w:leader="none" w:pos="166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Assuming No Redemptions</w:t>
      </w:r>
      <w:r>
        <w:rPr>
          <w:rFonts w:ascii="Times New Roman" w:cs="Times New Roman" w:eastAsia="Times New Roman" w:hAnsi="Times New Roman"/>
          <w:sz w:val="18"/>
          <w:szCs w:val="18"/>
          <w:color w:val="auto"/>
        </w:rPr>
        <w:t>: This presentation assumes that no FS Development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exercise redemption rights with respect to their Public Shares.</w:t>
      </w:r>
    </w:p>
    <w:p>
      <w:pPr>
        <w:spacing w:after="0" w:line="77"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53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Assuming Maximum Redemptions</w:t>
      </w:r>
      <w:r>
        <w:rPr>
          <w:rFonts w:ascii="Times New Roman" w:cs="Times New Roman" w:eastAsia="Times New Roman" w:hAnsi="Times New Roman"/>
          <w:sz w:val="18"/>
          <w:szCs w:val="18"/>
          <w:color w:val="auto"/>
        </w:rPr>
        <w:t>: This presentation assumes that all of FS Development’s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stockholders, without giving effect to the Subscription Agreements entered into by certain FS Development public stockholders participating in the PIPE Investment, exercise redemption rights with respect to their shares of FS Development Class A Common Stock. This scenario assumes that 11,152,375 FS Development Class A Common Stock shares are redeemed for an aggregate redemption payment of approximately $111.5 million. This maximum redemption scenario is based on the maximum number of redemptions which may occur, but which would still provide FS Development with net tangible assets of $5.0 million, less FS Development’s unpaid expenses.</w:t>
      </w: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7"/>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6"/>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47"/>
        </w:trPr>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80"/>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 For the Nine</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redemption</w:t>
            </w:r>
          </w:p>
        </w:tc>
      </w:tr>
      <w:tr>
        <w:trPr>
          <w:trHeight w:val="212"/>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Months Ended September 30, 2020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FSDC</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Gemini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scenario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8"/>
              </w:rPr>
              <w:t>scenario</w:t>
            </w:r>
          </w:p>
        </w:tc>
      </w:tr>
      <w:tr>
        <w:trPr>
          <w:trHeight w:val="46"/>
        </w:trPr>
        <w:tc>
          <w:tcPr>
            <w:tcW w:w="2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24,748</w:t>
            </w: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(24,748)</w:t>
            </w:r>
          </w:p>
        </w:tc>
      </w:tr>
      <w:tr>
        <w:trPr>
          <w:trHeight w:val="40"/>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(33,827)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(33,827)</w:t>
            </w:r>
          </w:p>
        </w:tc>
      </w:tr>
      <w:tr>
        <w:trPr>
          <w:trHeight w:val="243"/>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and diluted net loss per share – Class A</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(0.96)</w:t>
            </w:r>
          </w:p>
        </w:tc>
      </w:tr>
      <w:tr>
        <w:trPr>
          <w:trHeight w:val="40"/>
        </w:trPr>
        <w:tc>
          <w:tcPr>
            <w:tcW w:w="304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3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 Class B</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r>
      <w:tr>
        <w:trPr>
          <w:trHeight w:val="413"/>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w w:val="97"/>
              </w:rPr>
              <w:t>Historical</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6"/>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46"/>
        </w:trPr>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80"/>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44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154"/>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 Year Ended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redemption</w:t>
            </w:r>
          </w:p>
        </w:tc>
      </w:tr>
      <w:tr>
        <w:trPr>
          <w:trHeight w:val="212"/>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FSDC</w:t>
            </w:r>
          </w:p>
        </w:tc>
        <w:tc>
          <w:tcPr>
            <w:tcW w:w="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Gemini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scenario</w:t>
            </w:r>
          </w:p>
        </w:tc>
      </w:tr>
      <w:tr>
        <w:trPr>
          <w:trHeight w:val="46"/>
        </w:trPr>
        <w:tc>
          <w:tcPr>
            <w:tcW w:w="2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41,225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41,225</w:t>
            </w: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(41,225)</w:t>
            </w:r>
          </w:p>
        </w:tc>
      </w:tr>
      <w:tr>
        <w:trPr>
          <w:trHeight w:val="41"/>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(41,400)</w:t>
            </w: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4" w:lineRule="exact"/>
        <w:rPr>
          <w:sz w:val="20"/>
          <w:szCs w:val="20"/>
          <w:color w:val="auto"/>
        </w:rPr>
      </w:pPr>
    </w:p>
    <w:tbl>
      <w:tblPr>
        <w:tblLayout w:type="fixed"/>
        <w:tblInd w:w="470" w:type="dxa"/>
        <w:tblCellMar>
          <w:top w:w="0" w:type="dxa"/>
          <w:left w:w="0" w:type="dxa"/>
          <w:bottom w:w="0" w:type="dxa"/>
          <w:right w:w="0" w:type="dxa"/>
        </w:tblCellMar>
      </w:tblPr>
      <w:tr>
        <w:trPr>
          <w:trHeight w:val="598"/>
        </w:trPr>
        <w:tc>
          <w:tcPr>
            <w:tcW w:w="80" w:type="dxa"/>
            <w:vAlign w:val="bottom"/>
            <w:tcBorders>
              <w:top w:val="single" w:sz="8" w:color="auto"/>
              <w:left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40" w:type="dxa"/>
            <w:vAlign w:val="bottom"/>
            <w:tcBorders>
              <w:top w:val="single" w:sz="8" w:color="auto"/>
              <w:right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47"/>
        </w:trPr>
        <w:tc>
          <w:tcPr>
            <w:tcW w:w="80" w:type="dxa"/>
            <w:vAlign w:val="bottom"/>
            <w:tcBorders>
              <w:left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80" w:type="dxa"/>
            <w:vAlign w:val="bottom"/>
            <w:tcBorders>
              <w:left w:val="single" w:sz="8" w:color="auto"/>
            </w:tcBorders>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212"/>
        </w:trPr>
        <w:tc>
          <w:tcPr>
            <w:tcW w:w="30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Balance Sheet – As of September 30, 2020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FSDC</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w w:val="98"/>
              </w:rPr>
              <w:t>Gemini</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0" w:type="dxa"/>
            <w:vAlign w:val="bottom"/>
          </w:tcPr>
          <w:p>
            <w:pPr>
              <w:spacing w:after="0"/>
              <w:rPr>
                <w:sz w:val="1"/>
                <w:szCs w:val="1"/>
                <w:color w:val="auto"/>
              </w:rPr>
            </w:pPr>
          </w:p>
        </w:tc>
      </w:tr>
      <w:tr>
        <w:trPr>
          <w:trHeight w:val="46"/>
        </w:trPr>
        <w:tc>
          <w:tcPr>
            <w:tcW w:w="3040" w:type="dxa"/>
            <w:vAlign w:val="bottom"/>
            <w:tcBorders>
              <w:left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29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14,206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95,491</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16,253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97,538</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040" w:type="dxa"/>
            <w:vAlign w:val="bottom"/>
            <w:tcBorders>
              <w:left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18,033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24,531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040" w:type="dxa"/>
            <w:vAlign w:val="bottom"/>
            <w:tcBorders>
              <w:left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Borders>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80,449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Borders>
              <w:left w:val="single" w:sz="8" w:color="auto"/>
            </w:tcBorders>
          </w:tcPr>
          <w:p>
            <w:pPr>
              <w:spacing w:after="0"/>
              <w:rPr>
                <w:sz w:val="17"/>
                <w:szCs w:val="17"/>
                <w:color w:val="auto"/>
              </w:rPr>
            </w:pPr>
          </w:p>
        </w:tc>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subject to</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 w:type="dxa"/>
            <w:vAlign w:val="bottom"/>
            <w:tcBorders>
              <w:left w:val="single" w:sz="8" w:color="auto"/>
            </w:tcBorders>
          </w:tcPr>
          <w:p>
            <w:pPr>
              <w:spacing w:after="0"/>
              <w:rPr>
                <w:sz w:val="20"/>
                <w:szCs w:val="20"/>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040" w:type="dxa"/>
            <w:vAlign w:val="bottom"/>
            <w:tcBorders>
              <w:left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80,054</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80" w:type="dxa"/>
            <w:vAlign w:val="bottom"/>
            <w:tcBorders>
              <w:left w:val="single" w:sz="8" w:color="auto"/>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150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7310" cy="9150985"/>
                    </a:xfrm>
                    <a:prstGeom prst="rect">
                      <a:avLst/>
                    </a:prstGeom>
                    <a:noFill/>
                  </pic:spPr>
                </pic:pic>
              </a:graphicData>
            </a:graphic>
          </wp:anchor>
        </w:drawing>
      </w:r>
    </w:p>
    <w:p>
      <w:pPr>
        <w:sectPr>
          <w:pgSz w:w="11900" w:h="16838" w:orient="portrait"/>
          <w:cols w:equalWidth="0" w:num="1">
            <w:col w:w="9019"/>
          </w:cols>
          <w:pgMar w:left="1440" w:top="270" w:right="1440" w:bottom="1001"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COMPARATIVE SHARE INFORMATION</w:t>
      </w:r>
    </w:p>
    <w:p>
      <w:pPr>
        <w:spacing w:after="0" w:line="16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per share data of FS Development on a stand-alone basis and the unaudited pro forma condensed combined per share data for the year ended December 31, 2019 and the nine months ended September 30, 2020 after giving effect to the Business Combination, (1) assuming no FS Development stockholders exercise redemption rights with respect to their Public Shares upon the Closing; and</w:t>
      </w:r>
    </w:p>
    <w:p>
      <w:pPr>
        <w:spacing w:after="0" w:line="3" w:lineRule="exact"/>
        <w:rPr>
          <w:sz w:val="20"/>
          <w:szCs w:val="20"/>
          <w:color w:val="auto"/>
        </w:rPr>
      </w:pPr>
    </w:p>
    <w:p>
      <w:pPr>
        <w:ind w:left="540" w:right="559" w:firstLine="4"/>
        <w:spacing w:after="0" w:line="260" w:lineRule="auto"/>
        <w:tabs>
          <w:tab w:leader="none" w:pos="80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FS Development stockholders exercise their redemption rights with respect to a maximum of 11,152,375 Public Shares upon the Closing.</w:t>
      </w:r>
    </w:p>
    <w:p>
      <w:pPr>
        <w:spacing w:after="0" w:line="114"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You should read the information in the following table in conjunction with the selected historical financial information summary included elsewhere in this proxy statement/prospectus, and the historical financial statements of FS Development and Gemini and related notes that are included elsewhere in this proxy statement/prospectus. The unaudited FS Development and Gemini pro forma combined per share information is derived from, and should be read in conjunction with, the unaudited pro forma condensed combined financial statements and related notes included elsewhere in this proxy statement/prospectus.</w:t>
      </w:r>
    </w:p>
    <w:p>
      <w:pPr>
        <w:spacing w:after="0" w:line="106"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earnings per share information below does not purport to represent the earnings per share which would have occurred had the companies been combined during the periods presented, nor earnings per share for any future date or period. The unaudited pro forma combined book value per share information below does not purport to represent what the value of FS Development and Gemini would have been had the companies been combined during the periods presented.</w:t>
      </w:r>
    </w:p>
    <w:p>
      <w:pPr>
        <w:spacing w:after="0" w:line="15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b w:val="1"/>
          <w:bCs w:val="1"/>
          <w:color w:val="auto"/>
        </w:rPr>
        <w:t>Gemini equivalent pro forma</w:t>
      </w:r>
    </w:p>
    <w:p>
      <w:pPr>
        <w:spacing w:after="0" w:line="11" w:lineRule="exact"/>
        <w:rPr>
          <w:sz w:val="20"/>
          <w:szCs w:val="20"/>
          <w:color w:val="auto"/>
        </w:rPr>
      </w:pPr>
    </w:p>
    <w:p>
      <w:pPr>
        <w:ind w:left="3160"/>
        <w:spacing w:after="0"/>
        <w:tabs>
          <w:tab w:leader="none" w:pos="4760" w:val="left"/>
          <w:tab w:leader="none" w:pos="6960" w:val="left"/>
        </w:tabs>
        <w:rPr>
          <w:sz w:val="20"/>
          <w:szCs w:val="20"/>
          <w:color w:val="auto"/>
        </w:rPr>
      </w:pPr>
      <w:r>
        <w:rPr>
          <w:rFonts w:ascii="Times New Roman" w:cs="Times New Roman" w:eastAsia="Times New Roman" w:hAnsi="Times New Roman"/>
          <w:sz w:val="14"/>
          <w:szCs w:val="14"/>
          <w:b w:val="1"/>
          <w:bCs w:val="1"/>
          <w:color w:val="auto"/>
        </w:rPr>
        <w:t>Historical</w:t>
      </w:r>
      <w:r>
        <w:rPr>
          <w:sz w:val="20"/>
          <w:szCs w:val="20"/>
          <w:color w:val="auto"/>
        </w:rPr>
        <w:tab/>
      </w:r>
      <w:r>
        <w:rPr>
          <w:rFonts w:ascii="Times New Roman" w:cs="Times New Roman" w:eastAsia="Times New Roman" w:hAnsi="Times New Roman"/>
          <w:sz w:val="14"/>
          <w:szCs w:val="14"/>
          <w:b w:val="1"/>
          <w:bCs w:val="1"/>
          <w:color w:val="auto"/>
        </w:rPr>
        <w:t>Pro Forma Combined</w:t>
      </w:r>
      <w:r>
        <w:rPr>
          <w:sz w:val="20"/>
          <w:szCs w:val="20"/>
          <w:color w:val="auto"/>
        </w:rPr>
        <w:tab/>
      </w:r>
      <w:r>
        <w:rPr>
          <w:rFonts w:ascii="Times New Roman" w:cs="Times New Roman" w:eastAsia="Times New Roman" w:hAnsi="Times New Roman"/>
          <w:sz w:val="13"/>
          <w:szCs w:val="13"/>
          <w:b w:val="1"/>
          <w:bCs w:val="1"/>
          <w:color w:val="auto"/>
        </w:rPr>
        <w:t>per share data</w:t>
      </w:r>
      <w:r>
        <w:rPr>
          <w:rFonts w:ascii="Times New Roman" w:cs="Times New Roman" w:eastAsia="Times New Roman" w:hAnsi="Times New Roman"/>
          <w:sz w:val="19"/>
          <w:szCs w:val="19"/>
          <w:b w:val="1"/>
          <w:bCs w:val="1"/>
          <w:color w:val="auto"/>
          <w:vertAlign w:val="superscript"/>
        </w:rPr>
        <w:t>(3)</w:t>
      </w:r>
    </w:p>
    <w:p>
      <w:pPr>
        <w:spacing w:after="0" w:line="13" w:lineRule="exact"/>
        <w:rPr>
          <w:sz w:val="20"/>
          <w:szCs w:val="20"/>
          <w:color w:val="auto"/>
        </w:rPr>
      </w:pPr>
    </w:p>
    <w:tbl>
      <w:tblPr>
        <w:tblLayout w:type="fixed"/>
        <w:tblInd w:w="540" w:type="dxa"/>
        <w:tblCellMar>
          <w:top w:w="0" w:type="dxa"/>
          <w:left w:w="0" w:type="dxa"/>
          <w:bottom w:w="0" w:type="dxa"/>
          <w:right w:w="0" w:type="dxa"/>
        </w:tblCellMar>
      </w:tblPr>
      <w:tr>
        <w:trPr>
          <w:trHeight w:val="183"/>
        </w:trPr>
        <w:tc>
          <w:tcPr>
            <w:tcW w:w="1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(in thousands, except share</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02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Assuming Max</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83"/>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and per share amounts)</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FSDC</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jc w:val="center"/>
              <w:ind w:right="4"/>
              <w:spacing w:after="0" w:line="84" w:lineRule="exact"/>
              <w:rPr>
                <w:sz w:val="20"/>
                <w:szCs w:val="20"/>
                <w:color w:val="auto"/>
              </w:rPr>
            </w:pPr>
            <w:r>
              <w:rPr>
                <w:rFonts w:ascii="Times New Roman" w:cs="Times New Roman" w:eastAsia="Times New Roman" w:hAnsi="Times New Roman"/>
                <w:sz w:val="9"/>
                <w:szCs w:val="9"/>
                <w:b w:val="1"/>
                <w:bCs w:val="1"/>
                <w:color w:val="auto"/>
              </w:rPr>
              <w:t>No</w:t>
            </w:r>
          </w:p>
        </w:tc>
        <w:tc>
          <w:tcPr>
            <w:tcW w:w="10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jc w:val="center"/>
              <w:ind w:right="24"/>
              <w:spacing w:after="0" w:line="84" w:lineRule="exact"/>
              <w:rPr>
                <w:sz w:val="20"/>
                <w:szCs w:val="20"/>
                <w:color w:val="auto"/>
              </w:rPr>
            </w:pPr>
            <w:r>
              <w:rPr>
                <w:rFonts w:ascii="Times New Roman" w:cs="Times New Roman" w:eastAsia="Times New Roman" w:hAnsi="Times New Roman"/>
                <w:sz w:val="9"/>
                <w:szCs w:val="9"/>
                <w:b w:val="1"/>
                <w:bCs w:val="1"/>
                <w:color w:val="auto"/>
              </w:rPr>
              <w:t>No</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jc w:val="center"/>
              <w:ind w:right="24"/>
              <w:spacing w:after="0" w:line="84" w:lineRule="exact"/>
              <w:rPr>
                <w:sz w:val="20"/>
                <w:szCs w:val="20"/>
                <w:color w:val="auto"/>
              </w:rPr>
            </w:pPr>
            <w:r>
              <w:rPr>
                <w:rFonts w:ascii="Times New Roman" w:cs="Times New Roman" w:eastAsia="Times New Roman" w:hAnsi="Times New Roman"/>
                <w:sz w:val="9"/>
                <w:szCs w:val="9"/>
                <w:b w:val="1"/>
                <w:bCs w:val="1"/>
                <w:color w:val="auto"/>
              </w:rPr>
              <w:t>Max</w:t>
            </w:r>
          </w:p>
        </w:tc>
        <w:tc>
          <w:tcPr>
            <w:tcW w:w="0" w:type="dxa"/>
            <w:vAlign w:val="bottom"/>
          </w:tcPr>
          <w:p>
            <w:pPr>
              <w:spacing w:after="0"/>
              <w:rPr>
                <w:sz w:val="1"/>
                <w:szCs w:val="1"/>
                <w:color w:val="auto"/>
              </w:rPr>
            </w:pPr>
          </w:p>
        </w:tc>
      </w:tr>
      <w:tr>
        <w:trPr>
          <w:trHeight w:val="190"/>
        </w:trPr>
        <w:tc>
          <w:tcPr>
            <w:tcW w:w="1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As of and for the Nine</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2020</w:t>
            </w:r>
            <w:r>
              <w:rPr>
                <w:rFonts w:ascii="Times New Roman" w:cs="Times New Roman" w:eastAsia="Times New Roman" w:hAnsi="Times New Roman"/>
                <w:sz w:val="21"/>
                <w:szCs w:val="21"/>
                <w:b w:val="1"/>
                <w:bCs w:val="1"/>
                <w:color w:val="auto"/>
                <w:vertAlign w:val="superscript"/>
              </w:rPr>
              <w:t>(4)</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Book value per share, basic</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diluted</w:t>
            </w:r>
            <w:r>
              <w:rPr>
                <w:rFonts w:ascii="Times New Roman" w:cs="Times New Roman" w:eastAsia="Times New Roman" w:hAnsi="Times New Roman"/>
                <w:sz w:val="21"/>
                <w:szCs w:val="21"/>
                <w:color w:val="auto"/>
                <w:vertAlign w:val="superscript"/>
              </w:rPr>
              <w:t>(1)(2)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0.32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4.12</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0.98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 and diluted – Class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A</w:t>
            </w:r>
            <w:r>
              <w:rPr>
                <w:rFonts w:ascii="Times New Roman" w:cs="Times New Roman" w:eastAsia="Times New Roman" w:hAnsi="Times New Roman"/>
                <w:sz w:val="11"/>
                <w:szCs w:val="11"/>
                <w:color w:val="auto"/>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of Class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 and diluted</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12,516,500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5,507,900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46,541,250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35,388,875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19,282,220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9"/>
              </w:rPr>
              <w:t>19,282,220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 and diluted – Class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B</w:t>
            </w:r>
            <w:r>
              <w:rPr>
                <w:rFonts w:ascii="Times New Roman" w:cs="Times New Roman" w:eastAsia="Times New Roman" w:hAnsi="Times New Roman"/>
                <w:sz w:val="11"/>
                <w:szCs w:val="11"/>
                <w:color w:val="auto"/>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of Class B,</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 and diluted</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0" w:type="dxa"/>
            <w:vAlign w:val="bottom"/>
            <w:vMerge w:val="restart"/>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and for the Year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Ended December 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2019</w:t>
            </w:r>
            <w:r>
              <w:rPr>
                <w:rFonts w:ascii="Times New Roman" w:cs="Times New Roman" w:eastAsia="Times New Roman" w:hAnsi="Times New Roman"/>
                <w:sz w:val="21"/>
                <w:szCs w:val="21"/>
                <w:b w:val="1"/>
                <w:bCs w:val="1"/>
                <w:color w:val="auto"/>
                <w:vertAlign w:val="superscript"/>
              </w:rPr>
              <w:t>(4)</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 and diluted – Class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A</w:t>
            </w:r>
            <w:r>
              <w:rPr>
                <w:rFonts w:ascii="Times New Roman" w:cs="Times New Roman" w:eastAsia="Times New Roman" w:hAnsi="Times New Roman"/>
                <w:sz w:val="11"/>
                <w:szCs w:val="11"/>
                <w:color w:val="auto"/>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 Class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 and diluted</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5,171,537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46,541,250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35,388,875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19,282,220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9"/>
              </w:rPr>
              <w:t>19,282,220</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980" w:right="559" w:hanging="436"/>
        <w:spacing w:after="0" w:line="269" w:lineRule="auto"/>
        <w:tabs>
          <w:tab w:leader="none" w:pos="1005"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Book value per share = Total equity (deficit)/shares outstanding at September 30, 2020 for FSDC, Gemini and the pro forma.</w:t>
      </w:r>
    </w:p>
    <w:p>
      <w:pPr>
        <w:ind w:left="980" w:right="559" w:hanging="436"/>
        <w:spacing w:after="0" w:line="264" w:lineRule="auto"/>
        <w:tabs>
          <w:tab w:leader="none" w:pos="1011"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Book value per share and Net income (loss) per share are based on Class A and Class B common stock for FSDC and total common stock for Gemini.</w:t>
      </w:r>
    </w:p>
    <w:p>
      <w:pPr>
        <w:jc w:val="both"/>
        <w:ind w:left="980" w:right="559" w:hanging="436"/>
        <w:spacing w:after="0" w:line="264" w:lineRule="auto"/>
        <w:tabs>
          <w:tab w:leader="none" w:pos="1029"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equivalent pro forma basic and diluted per share data for Gemini is based on the expected exchange ratio of 0.2385 for both No Redemptions and Max Redemptions scenarios. The equivalent pro forma shares outstanding for Gemini represent the total consideration shares of up to 21.5 million, less shares underlying unvested, unissued, and/or unexercised stock options and warrants, which amount will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 Merger Consideration</w:t>
      </w:r>
      <w:r>
        <w:rPr>
          <w:rFonts w:ascii="Times New Roman" w:cs="Times New Roman" w:eastAsia="Times New Roman" w:hAnsi="Times New Roman"/>
          <w:sz w:val="16"/>
          <w:szCs w:val="16"/>
          <w:color w:val="auto"/>
        </w:rPr>
        <w:t>.”</w:t>
      </w:r>
    </w:p>
    <w:p>
      <w:pPr>
        <w:ind w:left="980" w:hanging="436"/>
        <w:spacing w:after="0"/>
        <w:tabs>
          <w:tab w:leader="none" w:pos="98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cash dividends declared in the periods presented.</w:t>
      </w:r>
    </w:p>
    <w:p>
      <w:pPr>
        <w:sectPr>
          <w:pgSz w:w="11900" w:h="16838" w:orient="portrait"/>
          <w:cols w:equalWidth="0" w:num="1">
            <w:col w:w="9019"/>
          </w:cols>
          <w:pgMar w:left="1440" w:top="270" w:right="1440" w:bottom="1001" w:gutter="0" w:footer="0" w:header="0"/>
          <w:type w:val="continuous"/>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01" w:gutter="0" w:footer="0" w:header="0"/>
          <w:type w:val="continuous"/>
        </w:sectPr>
      </w:pPr>
    </w:p>
    <w:bookmarkStart w:id="43" w:name="page44"/>
    <w:bookmarkEnd w:id="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risk factors will apply to our business and operations following the completion of the Business Combination. These risk factors are not exhaustive and we may face additional risks and uncertainties that are not presently known to us, or that we currently deem immaterial, which may also impair our business, prospects, financial condition or operating results. You should carefully consider the following risk factors in addition to the other information included in this proxy statement/prospectus, including matters addressed in the section titled “Cautionary Note Regarding Forward-Looking Statements,” before deciding how to vote your shares of FS Development Common Stock. The following discussion should be read in conjunction with our financial statements and the financial statements of Gemini and the notes to the financial statements included herein.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Gemini</w:t>
      </w:r>
    </w:p>
    <w:p>
      <w:pPr>
        <w:spacing w:after="0" w:line="16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Gemini”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has incurred significant losses since its inception and expects to incur losses for the foreseeable future.</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has no products approved for commercial sale and has not generated any revenue to date, and Gemini continues to incur significant research and development and other expenses related to its ongoing operations. As a result, Gemini is not profitable and has incurred significant losses in each period since its inception in March 2015. For the years ended December 31, 2018 and December 31, 2019, Gemini reported net losses of $20.2 million and $41.4 million for the years ended December 31, 2018 and 2019, respectively. For the nine months ended September 30, 2020, Gemini reported a net loss of $26.5 million. As of September 30, 2020, Gemini had an accumulated deficit of $98.5 million. Gemini expects to continue to incur significant losses for the foreseeable future, and Gemini expects these losses to increase as Gemini continues its research and development of, and seeks regulatory approvals for, its product candidates. Gemini anticipates that its expenses will increase substantially if, and as, Gemini:</w:t>
      </w:r>
    </w:p>
    <w:p>
      <w:pPr>
        <w:spacing w:after="0" w:line="113" w:lineRule="exact"/>
        <w:rPr>
          <w:sz w:val="20"/>
          <w:szCs w:val="20"/>
          <w:color w:val="auto"/>
        </w:rPr>
      </w:pPr>
    </w:p>
    <w:p>
      <w:pPr>
        <w:ind w:left="1320" w:right="479" w:hanging="434"/>
        <w:spacing w:after="0" w:line="282" w:lineRule="auto"/>
        <w:tabs>
          <w:tab w:leader="none" w:pos="137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larger scale clinical trials for its lead product candidate, GEM103, and any other product candidates;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discovers and develops new product candidates, and conducts nonclinical studies and clinical trials;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or has manufactured, clinical and commercial supplies of its product candidates;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regulatory approvals for its product candidates;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commercializes GEM103 or any other product candidates, if approved;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attempts to transition from a company with a research focus to a company capable of supporting commercial activities, including establishing sales, marketing and distribution infrastructure;</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hires additional clinical, scientific, and management personnel;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operational, financial, and management information systems and personnel;</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additional compounds or product candidates and acquires rights from third parties to those compounds or product candidates through licenses;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incurs additional costs associated with operating as a public company following the Business Combination.</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Even if Gemini succeeds in commercializing GEM103 or any other product candidates, Gemini may continue to incur substantial research and development and other expenditures to develop and market additional product candidates. Gemini may encounter unforeseen expenses, difficulties, complications, delays and other unknown factors that may adversely affect its business for any reason, including as a result of the Coronavirus Disease 19, or COVID-19 pandemic. The size of its future net losses will depend, in part, on the rate of future growth of its expenses and its ability to generate revenue. Its prior losses and expected future losses have had and will continue to have an adverse effect on its stockholders’ equity and working capital.</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4" w:name="page45"/>
    <w:bookmarkEnd w:id="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currently has a limited operating history, has not generated any revenue to date, and may never become profitable.</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a clinical-stage biotechnology company with a limited operating history. Its operations to date have been limited to organizing and staffing its company, acquiring, developing and securing its technology and product candidates, and conducting clinical trials and preclinical studies of its product candidates. Gemini has not yet demonstrated its ability to complete clinical trials, obtain regulatory approval, formulate and manufacture a commercial-scale product, or conduct sales and marketing activities necessary for successful product commercialization. Investment in biotechnology product development is highly speculative because it entails substantial upfront expenditures in contract research organizations, or CROs, and contract manufacturing organizations, or CMOs, and significant risk that any potential product candidate will fail to demonstrate adequate effect or an acceptable safety profile, gain regulatory approval and become commercially viable. Consequently, any predictions you may make about its future success or viability may not be as accurate as they could be if Gemini had a longer operating history.</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Though GEM103 is in Phase 2a clinical development, Gemini does not expect to receive revenue from GEM103 for a number of years, if ever. To date, Gemini has not generated any revenue and Gemini will not be able to generate product revenue unless and until GEM103, or any other product candidate, successfully completes clinical trials, receives regulatory approval, and is commercialized. Gemini may seek to obtain revenue from collaboration or licensing agreements with third parties. Its ability to generate future product revenue from GEM103 or any other product candidates also depends on a number of additional factors, including its, or its current and future collaborators’, ability to:</w:t>
      </w:r>
    </w:p>
    <w:p>
      <w:pPr>
        <w:spacing w:after="0" w:line="121" w:lineRule="exact"/>
        <w:rPr>
          <w:sz w:val="20"/>
          <w:szCs w:val="20"/>
          <w:color w:val="auto"/>
        </w:rPr>
      </w:pPr>
    </w:p>
    <w:p>
      <w:pPr>
        <w:ind w:left="1320" w:right="479" w:hanging="434"/>
        <w:spacing w:after="0" w:line="282" w:lineRule="auto"/>
        <w:tabs>
          <w:tab w:leader="none" w:pos="145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nonclinical studies and clinical trials for GEM103 and any other product candidates;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marketing approvals for any product candidates that complete clinical development;</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6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and ensure adequate and legally compliant manufacturing of bulk drug substances and drug products to maintain that supply;</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any product candidates for which Gemini obtains marketing approval, and, if launched independently, successfully establish a sales, marketing and distribution infrastructure;</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necessary safety data post-approval to ensure continued regulatory approval;</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72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any approved products;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competing technological and market developments;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favorable terms in any collaboration, licensing or other arrangements into which Gemini may enter in the future and performing its obligations in such collaborations;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protect and enforce its intellectual property rights;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biotechnology product development, including that its product candidates may not advance through development or achieve the endpoints of applicable clinical trials, Gemini is unable to predict the timing or amount of increased expenses, or if or when Gemini will achieve or maintain profitability. In addition, its expenses could increase beyond expectations if Gemini decides, or are required by the U.S. Food and Drug Administration, or FDA, or applicable foreign regulatory authorities in other jurisdictions where Gemini may pursue regulatory approval, or applicable foreign regulatory authorities, to perform nonclinical studies or clinical trials in addition to those that Gemini currently anticipates. Even if Gemini completes the development and regulatory processes described above, Gemini anticipates incurring significant costs associated with launching and commercializing any approved product.</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Gemini does achieve profitability, Gemini may not be able to sustain or increase profitability on a quarterly or annual basis. Its failure to become and remain profitable would decrease the value of its company and could impair its ability to raise capital, maintain its research and development efforts, expand its business or continue its operations. A decline in the value of its company also could cause you to lose all or part of your investment.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will require additional capital to finance its operations, which may not be available to it on acceptable terms, or at all. As a result, Gemini may not complete the development and commercialization of GEM103 or any other product candidates.</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a research and development company, Gemini’s operations have consumed substantial amounts of cash since inception. Gemini expects its research and development expenses to increase substantially in connection with its ongoing activities, particularly as Gemini advances GEM103 into later-stage clinical development.</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of September 30, 2020, Gemini had $13.2 million of cash and cash equivalents. Gemini believes that the net proceeds from the Business Combination and the PIPE transaction, together with its existing cash and cash equivalents, will fund its projected operating requirements through at least the next 12 months. Its forecast of the period of time through which its financial reserves will adequately support its operations is a forward-looking statement and involves risks and uncertainties, and actual results could vary as a result of a number of factors, including the factors discussed elsewhere in this “Risk factors” section. Gemini has based this estimate on assumptions that may prove to be wrong, and Gemini could utilize its available capital resources sooner than Gemini currently expects. Its future funding requirements, both short and long-term, will depend on many factors, including, but not limited to:</w:t>
      </w:r>
    </w:p>
    <w:p>
      <w:pPr>
        <w:spacing w:after="0" w:line="121" w:lineRule="exact"/>
        <w:rPr>
          <w:sz w:val="20"/>
          <w:szCs w:val="20"/>
          <w:color w:val="auto"/>
        </w:rPr>
      </w:pPr>
    </w:p>
    <w:p>
      <w:pPr>
        <w:jc w:val="both"/>
        <w:ind w:left="1320" w:right="479" w:hanging="434"/>
        <w:spacing w:after="0" w:line="266" w:lineRule="auto"/>
        <w:tabs>
          <w:tab w:leader="none" w:pos="156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nonclinical studies and clinical trials for GEM103 or any other product candidates Gemini may develop, including any COVID-19-related delays or other effects on its development programs;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4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applicable foreign regulatory authorities, including the potential for such authorities to require that Gemini performs more nonclinical studies or clinical trials than those that Gemini currently expects or change their requirements on studies that had previously been agreed to;</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its intellectual property portfolio, including the amount and timing of any payments Gemini may be required to make, or that Gemini may receive, in connection with licensing, preparing, filing, prosecuting, defending and enforcing any patents or other intellectual property rights;</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 including product pricing, as well as product coverage and the adequacy of reimbursement by third-party payors;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5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Gemini may receive regulatory approval and that Gemini determines to commercialize;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8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need to implement additional internal systems and infrastructure, including financial and reporting systems.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does not have any committed external source of funds or other support for its development efforts and Gemini cannot be certain that additional funding will be available on acceptable terms, or at all. Until Gemini can generate sufficient revenue to finance its cash requirements, which Gemini may never do, Gemini expects to finance its future cash needs through a combination of public or private equity offerings, debt financings, collaborations, strategic alliances, licensing arrangements, and other marketing or distribution arrangements. If Gemini raises additional funds through public or private equity offerings, the terms of these securities may include liquidation or other preferences that adversely affect its stockholders’ rights. Further, to the extent that Gemini raises additional capital through the sale of common stock or securities convertible or exchangeable into common stock, your ownership interest will be diluted. If Gemini raises additional capital through debt financing, Gemini could be subject to fixed payment obligations and may be subject to covenants limiting or restricting its ability to take specific actions, such as incurring additional debt, making capital expenditures or declaring dividends. If Gemini raises additional capital through marketing and distribution arrangements or other collaborations, strategic alliances or licensing arrangements with third parties, Gemini may have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relinquish certain valuable rights to its product candidates, technologies, future revenue streams or research programs or grant licenses on terms that may not be favorable to us. Gemini also could be required to seek collaborators for one or more of its product candidates at an earlier stage than otherwise would be desirable or relinquish its rights to product candidates or technologies that Gemini otherwise would seek to develop or commercialize itself. If Gemini is unable to raise additional capital in sufficient amounts or acceptable terms, Gemini may have to significantly delay, scale back or discontinue the development or commercialization of one or more of its product candidates or one or more of its other research and development initiatives. Any of the above events could significantly harm its business, prospects, financial condition and results of operations and cause the price of its common stock to decline.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is heavily dependent on the success of GEM103, its lead product candidate.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currently has no products that are approved for commercial sale and may never be able to develop marketable products. Gemini expects that a substantial portion of its efforts and expenditures over the next several years will be devoted to its lead product candidate, GEM103. Accordingly, its business currently depends heavily on the successful development, regulatory approval, and commercialization of GEM103. GEM103 is currently being tested in a Phase 2a clinical trial in genetically defined patients with dry age-related macular degeneration, or AMD. Gemini cannot be certain that GEM103 will successfully complete clinical trials, receive regulatory approval or be successfully commercialized even if Gemini receives regulatory approval. If Gemini is required to discontinue development of GEM103 or if GEM103 does not receive regulatory approval or fails to achieve significant market acceptance, Gemini would be substantially delayed in its ability to achieve profitability, if ever.</w:t>
      </w:r>
    </w:p>
    <w:p>
      <w:pPr>
        <w:spacing w:after="0" w:line="127"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research, testing, manufacturing, safety, efficacy, labeling, approval, sale, marketing, and distribution of GEM103 is, and will remain, subject to comprehensive regulation by the FDA and applicable foreign regulatory authorities. Failure to obtain regulatory approval for GEM103 will prevent Gemini from commercializing and marketing GEM103.</w:t>
      </w:r>
    </w:p>
    <w:p>
      <w:pPr>
        <w:spacing w:after="0" w:line="9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Further, its Phase 2a clinical trial of GEM103 and other future clinical trials may not be able to replicate the results from its preclinical studies or past clinical trials of GEM103. To the extent any of foregoing has not occurred, its expected development time and development costs for GEM103 may be increased.</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Even if Gemini is able to successfully obtain approval from the FDA or applicable foreign regulatory authorities for GEM103, any approval might contain significant limitations related to use, including limitations on the stage of disease GEM103 is approved to treat, as well as restrictions for specified age groups, warnings, precautions or contraindications. Furthermore, even if Gemini obtains regulatory approval for GEM103, Gemini will still need to develop a commercial infrastructure or develop relationships with collaborators to commercialize, establish a commercially viable pricing structure and obtain coverage and adequate reimbursement from third-party payors, including government healthcare programs otherwise. If Gemini, or any future collaborators, are unable to successfully commercialize GEM103, Gemini may not be able to generate sufficient revenue to continue its business.</w:t>
      </w:r>
    </w:p>
    <w:p>
      <w:pPr>
        <w:spacing w:after="0" w:line="184"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Gemini is not successful in discovering, developing, receiving regulatory approval for and commercializing GEM103 or other product candidates, its ability to expand its business and achieve its strategic objectives would be impaired.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Although Gemini plans to devote a majority of its resources to the continued preclinical and clinical testing and potential approval of GEM103 for the treatment of patients with AMD, another key element of its strategy is to discover, develop and commercialize a portfolio of products. Gemini is seeking to do so through its internal discovery programs, but its resources are limited, and those that Gemini have are geared towards preclinical and clinical testing and seeking regulatory approval of GEM103 for the treatment of patients with AMD. Gemini may also explore strategic collaborations for the development or acquisition of new product candidates, but Gemini may not be successful in entering into such relationships. GEM103 is its only product candidate in clinical stages of development. Research programs to identify product candidates require substantial technical, financial and human resources, regardless of whether any product candidates are ultimately identified. Its research programs may initially show promise in identifying potential product candidates, yet fail to yield product candidates for clinical development for many reasons, including:</w:t>
      </w:r>
    </w:p>
    <w:p>
      <w:pPr>
        <w:spacing w:after="0" w:line="111" w:lineRule="exact"/>
        <w:rPr>
          <w:sz w:val="20"/>
          <w:szCs w:val="20"/>
          <w:color w:val="auto"/>
        </w:rPr>
      </w:pPr>
    </w:p>
    <w:p>
      <w:pPr>
        <w:ind w:left="1300" w:hanging="41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its product candidates obsolete;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Gemini develop may nevertheless be covered by third parties’ patents or other exclusive rights;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7" w:name="page48"/>
    <w:bookmarkEnd w:id="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6" w:lineRule="auto"/>
        <w:tabs>
          <w:tab w:leader="none" w:pos="159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product may not be accepted as safe and effective by trial participants, the medical community or third-party payors; 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2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or other proprietary rights of third parties for product candidates Gemini develop may potentially block its entry into certain markets or make such entry economically impracticable.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Gemini fails to develop and successfully commercialize other product candidates, its business and future prospects may be harmed and its business will be more vulnerable to any problems that Gemini encounters in developing and commercializing its product candidates.</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GEM103 and any other product candidates must undergo rigorous clinical trials and regulatory approvals, and success in nonclinical studies or earlier-stage clinical trials may not be indicative of results in future clinical trials.</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GEM103 and any other product candidates will be subject to rigorous and extensive clinical trials and extensive regulatory approval processes implemented by the FDA and applicable foreign regulatory authorities. The approval process is typically lengthy and expensive, and approval is never certain. Gemini has limited experience in conducting the clinical trials required to obtain regulatory approval. Gemini may not be able to conduct clinical trials at preferred sites, enlist clinical investigators, enroll sufficient numbers of participants or begin or successfully complete clinical trials in a timely fashion, if at all. Its planned clinical trials may be insufficient to demonstrate that its potential products will be active, safe or effective. Additional clinical trials may be required if clinical trial results are negative or inconclusive, which will require us to incur additional costs and significant delays.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Success in preclinical studies and earlier-stage clinical trials does not ensure that later clinical trials will generate the same results or otherwise provide adequate data to demonstrate the effectiveness and safety of a product candidate. In addition, the design of a clinical trial can determine whether its results will support approval of a product, and flaws in the design of a clinical trial may not become apparent until the clinical trial is well advanced. Because Gemini has limited experience designing clinical trials, Gemini may be unable to design and execute a clinical trial to support regulatory approval. In addition, there is a high failure rate for drugs and biologics proceeding through clinical trials. In fact, many companies in the pharmaceutical and biotechnology industries have suffered significant setbacks in late-stage clinical trials even after achieving promising results in nonclinical studies and earlier-stage clinical trials. Similarly, the outcome of nonclinical studies may not predict the success of clinical trials. Moreover, data obtained from nonclinical and clinical activities are subject to varying interpretations, which may delay, limit or prevent regulatory approval. In addition, Gemini may experience regulatory delays or rejections as a result of many factors, including due to changes in regulatory policy during the period of development of its product candidates. Any such delays could negatively impact its business, financial condition, results of operations and prospects.</w:t>
      </w:r>
    </w:p>
    <w:p>
      <w:pPr>
        <w:spacing w:after="0" w:line="13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From time to time, Gemini may publish interim “top-line” or preliminary data from its clinical trials. Preliminary or interim data from clinical trials that Gemini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Gemini previously published. As a result, interim and preliminary data should be viewed with caution until the final data are available. Adverse differences between preliminary or interim data and final data could significantly harm its business and financial prospects.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Additionally, several of its planned and ongoing clinical trials utilize an “open-label” trial design. An “open-label” clinical trial is one where both the patient and investigator know whether the patient is receiving the investigational product candidate or either an existing approved biologic,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8" w:name="page49"/>
    <w:bookmarkEnd w:id="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its product candidates for which Gemini includes an open-label clinical trial when studied in a controlled environment with a placebo or active control.</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is subject to many manufacturing risks, any of which could substantially increase its costs, delay clinical programs and limit supply of its products.</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has contracted with a third party manufacturer to make new drug substance to support future clinical trials and for commercial sale, if approved. Its contract manufacturer may not be able to adopt, adapt or scale up the manufacturing process in a timely manner to support its future clinical trials. The process of manufacturing its product is complex, highly regulated and subject to several risks, including:</w:t>
      </w:r>
    </w:p>
    <w:p>
      <w:pPr>
        <w:spacing w:after="0" w:line="112" w:lineRule="exact"/>
        <w:rPr>
          <w:sz w:val="20"/>
          <w:szCs w:val="20"/>
          <w:color w:val="auto"/>
        </w:rPr>
      </w:pPr>
    </w:p>
    <w:p>
      <w:pPr>
        <w:jc w:val="both"/>
        <w:ind w:left="1320" w:right="459" w:hanging="434"/>
        <w:spacing w:after="0" w:line="255" w:lineRule="auto"/>
        <w:tabs>
          <w:tab w:leader="none" w:pos="151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is susceptible to product loss due to contamination by adventitious microorganisms, equipment failure, improper installation or operation of equipment, vendor or operator error and improper storage conditions. Even minor deviations from normal manufacturing processes could result in reduced production yields and quality as well as other supply disruptions. If microbial, viral or other contaminations are discovered in its products or in the manufacturing facilities in which its products are made, the manufacturing facilities may need to be closed for an extended period of time to investigate and eliminate the contamination;</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59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facilities in which its products are made could be adversely affected by equipment failures, labor and raw material shortages, financial difficulties of its contract manufacturers, natural disasters, power failures, local political unrest and numerous other factors; and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8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its products may result in shipment delays, inventory shortages, lot failures, product withdrawals or recalls or other interruptions in the supply of its products. Gemini may also have to record inventory write-offs and incur other charges and expenses for products that fail to meet specifications, undertake costly remediation efforts or seek more expensive manufacturing alternatives.</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manufacture of GEM103 and other product candidates require significant expertise and capital investment, including the development of advanced manufacturing techniques and process controls. Manufacturers of these products sometimes encounter difficulties in production, especially during scale-up from the manufacturing process used for early clinical trials to a validated process needed for pivotal clinical studies and commercial launch. These problems include failure to meet target production costs and yields, sub-par quality control testing, including stability of the product, quality assurance system failures, operator error and shortages of qualified personnel, as well as compliance with strictly enforced federal, state and foreign regulations. Gemini cannot assure you that any product quality issues relating to the manufacture of GEM103 or any other product candidates will not occur in the future.</w:t>
      </w:r>
    </w:p>
    <w:p>
      <w:pPr>
        <w:spacing w:after="0" w:line="107"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Gemini does not have and Gemini does not currently plan to acquire or build the facilities or internal capabilities to manufacture bulk drug substance or filled drug product for use in clinical trials or commercialization. To a large extent, that makes us dependent on the goodwill of its contract manufacturing partners to quickly fix deviations that will inevitably occur during the manufacturing of its product.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altogether.</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Its business could be adversely affected by the effects of health epidemics, including the recent COVID-19 pandemic, in regions where third parties for which Gemini relies have significant research, development or manufacturing facilities, concentrations of clinical trial sites or other business operations, causing disruption in supplies and services.</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Its business could be adversely affected by health epidemics in regions where third parties for which Gemini relies, such as CROs or CMOs, have concentrations of clinical trial sites or other business operations, and could cause significant disruption in the operations of third-party manufacturers and CROs upon whom Gemini relies. On January 30, 2020, the World Health Organization, or WHO, announced a global health emergency because of SARS-CoV-2, a new strain of novel coronavirus originating in Wuhan, China, and the risks to the international community as the virus spread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9" w:name="page50"/>
    <w:bookmarkEnd w:id="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globally beyond its point of origin. In March 2020, the WHO declared the COVID-19 outbreak a pandemic, which continues to spread throughout the world. The spread of this pandemic has caused significant volatility and uncertainty in U.S. and international markets. This could result in an economic downturn and may disrupt its business and delay its clinical programs and timelines.</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Quarantines, shelter-in-place and similar government orders, or the perception that such orders, shutdowns or other restrictions on the conduct of business operations could occur, related to COVID-19 pandemic or other infectious diseases, could impact personnel at third-party manufacturing facilities in the United States and other countries, or the availability or cost of materials, which would disrupt its supply chain. Any manufacturing supply interruption of materials could adversely affect its ability to conduct ongoing and future research and manufacturing activities.</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addition, its clinical trials may be affected by the COVID-19 pandemic. Clinical site initiation and patient enrollment may be delayed due to prioritization of healthcare system resources toward the COVID-19 pandemic. Some patients may not be able to comply with clinical trial protocols if quarantines impede patient movement or interrupt healthcare services. Similarly, Gemini’s clinical trial operations may be adversely impacted due to increased difficulty to recruit and retain patients and principal investigators and site staff who, as healthcare providers, may have heightened exposure to COVID-19 pandemic.</w:t>
      </w:r>
    </w:p>
    <w:p>
      <w:pPr>
        <w:spacing w:after="0" w:line="10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spread of COVID-19 pandemic, which has caused a broad impact globally, may materially affect Gemini economically. While the potential economic impact brought by, and the duration of, COVID-19 pandemic may be difficult to assess or predict, a widespread pandemic could result in significant disruption of global financial markets, reducing its ability to access capital, which could in the future negatively affect its liquidity. In addition, a recession or market correction resulting from the spread of COVID-19 pandemic could materially affect its business and the value of its common stock.</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global pandemic of COVID-19 continues to rapidly evolve. The ultimate impact of the COVID-19 pandemic or a similar health epidemic is highly uncertain and subject to change. Gemini does not yet know the full extent of potential delays or impacts on its business, its clinical trials, healthcare systems or the global economy as a whole. However, these effects could have a material impact on its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may encounter difficulties in managing its growth, which could adversely affect its operations.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November 30, 2020, Gemini had 29 full-time and part-time employees. As Gemini continues development and pursues the potential commercialization of its product candidates, Gemini will need to expand its financial, development, regulatory, manufacturing, marketing and sales capabilities or contract with third parties to provide these capabilities for us. As its operations expand, Gemini expects that it will need to manage additional relationships with various strategic collaborators, suppliers and other third parties. Its future financial performance and its ability to develop and commercialize its product candidates and to compete effectively will depend, in part, on its ability to manage any future growth effectively.</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Gemini fails to maintain an effective system of internal control over financial reporting, Gemini may not be able to accurately report its financial results or prevent fraud. As a result, stockholders could lose confidence in its financial and other public reporting, which would harm its business and the trading price of its common stock.</w:t>
      </w:r>
    </w:p>
    <w:p>
      <w:pPr>
        <w:spacing w:after="0" w:line="9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Gemini to provide reliable financial reports and, together with adequate disclosure controls and procedures, are designed to prevent fraud. Any failure to implement required new or improved controls, or difficulties encountered in their implementation could cause us to fail to meet its reporting obligations. In addition, any testing by Gemini conducted in connection with Section 404 of the Sarbanes-Oxley Act, or Section 404, or any subsequent testing by its independent registered public accounting firm, may reveal deficiencies in its internal controls over financial reporting that are deemed to be material weaknesses or that may require prospective or retroactive changes to its financial statements or identify other areas for further attention or improvement. Inferior internal controls could also cause investors to lose confidence in its reported financial information, which could have a negative effect on the trading price of its stock.</w:t>
      </w:r>
    </w:p>
    <w:p>
      <w:pPr>
        <w:spacing w:after="0" w:line="1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 will be required to disclose changes made in its internal controls and procedures on a quarterly basis and its management will be required to assess the effectiveness of these controls annually. However, for as long as Gemini is an emerging growth company, or EGC, its independent registered public accounting firm will not be required to attest to the effectiveness of its internal controls over financial reporting pursuant to Section 404. An independent assessment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of the effectiveness of its internal controls over financial reporting could detect problems that its management’s assessment might not. Undetected material weaknesses in its internal controls over financial reporting could lead to restatements of its financial statements and require us to incur the expense of remediation.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Gemini’s disclosure controls and procedures may not prevent or detect all errors or acts of fraud.</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Gemini’s disclosure controls and procedures are designed to reasonably assure that information required to be disclosed by it in reports Gemini files or submits under the Securities Exchange Act of 1934, as amended, or Exchange Act, is accumulated and communicated to management, recorded, processed, summarized and reported within the time periods specified in the rules and forms of the SEC. Gemini believes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its control system, misstatements or insufficient disclosures due to error or fraud may occur and not be detected.</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must attract and retain highly skilled employees in order to succeed. If Gemini is not able to retain its current senior management team and its scientific advisors or continue to attract and retain qualified scientific, technical and business personnel, its business will suffer.</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succeed, Gemini must recruit, retain, manage and motivate qualified clinical, scientific, technical and management personnel and Gemini faces significant competition for experienced personnel. If Gemini does not succeed in attracting and retaining qualified personnel, particularly at the management level, it could adversely affect its ability to execute its business plan and harm its operating results. Gemini is dependent on the members of its management team and its scientific advisors for its business success, including its Chief Executive Officer, Jason Meyenburg, its Chief Technology Officer, Scott Lauder, Ph.D., its Chief Medical Officer, Marc Uknis, M.D., and its interim Chief Financial Officer, Gregg Beloff. Gemini does not maintain “key person” insurance for any of its key personnel. An important element of its strategy is to take advantage of the research and development expertise of its current management. Gemini currently has employment agreements with all of its executive officers. Its employment agreements with its executive officers are terminable by them without notice and some provide for severance and change in control benefits. The loss of any one of its executive officers could result in a significant loss in the knowledge and experience that Gemini, as an organization, possesses and could cause significant delays, or outright failure, in the development and further commercialization of its product candidates.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There is intense competition for qualified personnel, including management in the technical fields in which Gemini operates and Gemini may not be able to attract and retain qualified personnel necessary for the successful research, development and commercialization of its product candidates. In particular, Gemini has experienced a very competitive hiring environment in Cambridge, Massachusetts, where Gemini is headquartered. Many of the other pharmaceutical companies that Gemini competes against for qualified personnel has greater financial and other resources, different risk profiles and a longer history in the industry than Gemini does. They also may provide more diverse opportunities and better chances for career advancement. Some of these characteristics may be more appealing to high-quality candidates than what Gemini has to offer. If Gemini is unable to continue to attract and retain high-quality personnel, the rate and success with which Gemini can discover and develop product candidates and its business will be limited.</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Its employees, independent contractors, consultants, commercial partners and vendors may engage in misconduct or other improper activities, including noncompliance with regulatory standards and requirements.</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Gemini cannot ensure that its compliance controls, policies, and procedures will in every instance protect us from acts committed by its employees, agents, contractors, or collaborators that would violate the law or regulation,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its ability to conduct business, operating results, and reputation.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Gemini is exposed to the risk of employee fraud or other illegal activity by its employees, independent contractors, consultants, commercial partners and vendors. Misconduct by these parties could include intentional, reckless and/or negligent conduct that fails to comply with the laws enforced by the FDA and applicable foreign regulatory authorities, fails to provide true, complete and accurate information to the FDA and applicable foreign regulatory authorities, fails to comply with manufacturing standards Gemini has established, fails to comply with healthcare fraud and abuse laws in the United States and similar foreign laws, or fails to report financial information or data accurately or to disclose unauthorized activities to us. If Gemini obtains FDA approval of any of its product candidates and begin commercializing those products in the United States, its potential exposure under these laws will increase significantly, and its costs associated with compliance with these laws are also likely to increase. Additionally, Gemini is subject to the risk that a person could allege such fraud or other misconduct, even if none occurred. These laws may impact, among other things, its current activities with principal investigators and research patients, as well as proposed and future sales, marketing and education programs. If any such actions are instituted against us, and Gemini is not successful in defending itself or asserting its rights, those actions could have a significant impact on its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its operations, any of which could adversely affect its ability to operate its business and its results of operations. It is not always possible to identify and deter employee misconduct, and the precautions Gemini takes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Gemini is not successful in defending itself or asserting its rights, those actions could result in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w:t>
      </w:r>
    </w:p>
    <w:p>
      <w:pPr>
        <w:spacing w:after="0" w:line="39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its control, significant competition for recruiting patients with AMD in clinical trials.</w:t>
      </w:r>
    </w:p>
    <w:p>
      <w:pPr>
        <w:spacing w:after="0" w:line="10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Identifying and qualifying patients to participate in its clinical trials is critical to its success. Gemini may encounter delays in enrolling, or be unable to enroll, a sufficient number of patients to complete any of its clinical trials, and even once enrolled Gemini may be unable to retain a sufficient number of patients to complete any of its trials.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Factors that may generally affect patient enrollment include:</w:t>
      </w:r>
    </w:p>
    <w:p>
      <w:pPr>
        <w:spacing w:after="0" w:line="144" w:lineRule="exact"/>
        <w:rPr>
          <w:sz w:val="20"/>
          <w:szCs w:val="20"/>
          <w:color w:val="auto"/>
        </w:rPr>
      </w:pPr>
    </w:p>
    <w:p>
      <w:pPr>
        <w:ind w:left="1300" w:hanging="41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where patients are to be enrolled;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patient consents;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participants will drop out before completion;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7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of the product being studied in relation to other available therapies, including any new products that may be approved for the indications Gemini is investigating.</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if any significant adverse events or other side effects are observed in any of its future clinical trials, it may make it more difficult for Gemini to recruit patients to its clinical trials and patients may drop out of its trials, or Gemini may be required to abandon the trials or its development efforts of one or more product candidates altogether. Its inability to enroll a sufficient number of patients for its clinical trials would result in significant delays, which would increase its costs and have an adverse effect on Gemini.</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faces substantial competition, which may result in others discovering, developing or commercializing products before or more successfully than us.</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biotechnology industry is intensely competitive and subject to rapid and significant technological change. Its competitors include multinational pharmaceutical companies, specialized biotechnology companies and universities and other research institutions. A number of pharmaceutical companies, as well as large and small biotechnology companies such as Apellis Pharmaceuticals, Inc. and IVERIC bio are pursuing the development or marketing of pharmaceuticals that target AMD. It is also probable that the number of companies seeking to develop products and therapies for the treatment of serious eye diseases, such as AMD, will increase. Many of its competitors have substantially greater financial, technical, human and other resources than Gemini does and may be better equipped to develop, manufacture and market technologically superior products. In addition, many of these competitors has significantly greater experience than Gemini has in undertaking nonclinical studies and human clinical trials of new pharmaceutical products and in obtaining regulatory approvals of human therapeutic products. Accordingly, its competitors may succeed in obtaining FDA approval for superior products.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3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Its competitors may obtain regulatory approval of their products more rapidly than Gemini does or may obtain patent protection or other intellectual property rights that limit its ability to develop or commercialize its product candidates. Its competitors may also develop drugs that are more effective, more convenient, more widely used and less costly or have a better safety profile than its products and these competitors may also be more successful than Gemini is in manufacturing and marketing their products. If Gemini is unable to compete effectively against these companies, then Gemini may not be able to commercialize its product candidates or achieve a competitive position in the market. This would adversely affect its ability to generate revenue. Its competitors also compete with us in recruiting and retaining qualified scientific, management and commercial personnel, establishing clinical trial sites and patient registration for clinical trials, as well as in acquiring technologies complementary to, or necessary for, its programs.</w:t>
      </w:r>
    </w:p>
    <w:p>
      <w:pPr>
        <w:spacing w:after="0" w:line="19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Gemini’s business and operations would suffer in the event of computer system failures, cyber-attacks or deficiencies in its or related parties’ cyber security.</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Given its limited operating history, Gemini is still in the process of implementing its internal security measures. Its internal computer systems and those of current and future third parties on which Gemini rely may fail and are vulnerable to damage from computer viruses and unauthorized access. Its information technology and other internal infrastructure systems, including corporate firewalls, servers, leased lines and connection to the Internet, face the risk of systemic failure that could disrupt its operations. While Gemini has not, to its knowledge, experienced any such material system failure or security breach to date, if such an event were to occur and cause interruptions in its operations, it could result in a material disruption of its development programs and its business operations. For example, the loss of clinical trial data from completed or future clinical trials could result in delays in its regulatory approval efforts and significantly increase its costs to recover or reproduce the data. Likewise, Gemini relies on third parties for the manufacture of its product candidates and to conduct clinical trials, and similar events relating to their computer systems could also have a material adverse effect on its business. To the extent that any disruption or security breach were to result in a loss of, or damage to, its data or applications, or inappropriate disclosure of confidential or proprietary information, Gemini could incur liability, its competitive position could be harmed and the further development and commercialization of its product candidates could be hindered or delayed.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its business and financial condition.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“Tax Cuts and Jobs Act,” or the Tax Act, significantly revised the Code. The Tax Act, among other things, includes a reduction of the corporate tax rate from a top marginal rate of 35% to a flat rate of 21%, a limitation of the tax deduction for net interest expense to 30% of adjusted earnings (except for certain small businesses), a limitation of the deduction for net operating losses, or NOLs, to 80% of current year taxable income and an elimination of NOL carrybacks (though any such NOLs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 Additionally, on March 27, 2020, President Trump signed into law the Coronavirus Aid, Relief, and Economic Security Act, or the CARES Act, which, among other things, suspends the 80% limitation on the deduction for NOLs in taxable years beginning before January 1, 2021, permits a 5-year carryback of NOLs arising in taxable years beginning after December 31, 2017 and</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3" w:name="page54"/>
    <w:bookmarkEnd w:id="5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before January 1, 2021, and generally caps the limitation on the deduction for net interest expense at 50% of adjusted taxable income for taxable years beginning in 2019 and 2020. Gemini continues to examine the impact this tax reform legislation may has on its business. Gemini urges investors to consult with their legal and tax advisers regarding the implications of the Tax Act and the CARES Act on an investment in its common stock.</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might not be able to utilize a significant portion of its U.S. NOL carryforwards and U.S. research and development tax credit carryforwards.</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of December 31, 2019, Gemini had U.S. federal and state NOL carryforwards of $66.5 million and $65.1 million, respectively, and U.S. federal and state research and development tax credit carryforwards of $2.1 million and $0.7 million, respectively. If not utilized, such NOL carryforwards and research and development credits will expire at various dates beginning in 2037 (with the exception of $58.9 million, which has no expiration date) and 2039, respectively. Gemini does not anticipate generating revenue from sales of products for the foreseeable future, if ever, and Gemini may never achieve profitability. These NOL and tax credit carryforwards could expire unused and be unavailable to offset future income tax liabilities. Under the Tax Act, unused losses generated in taxable years beginning after December 31, 2017 will not expire and may be carried forward indefinitely, and generally may not be carried back to prior taxable years, except that, under the CARES Act a 5-year carryback of NOLs arising in taxable years beginning after December 31, 2017 and before January 1, 2021 is permitted. Additionally, for taxable years beginning after December 31, 2020, the deductibility of such U.S. federal NOLs is limited to 80% of its taxable income in any future taxable year. In addition, under Section 382 of the Code, the amount of benefits from its NOL carryforwards may be impaired or limited if Gemini incurs a cumulative ownership change of more than 50% over a three-year period. Gemini may have experienced ownership changes in the past and may experience ownership changes in the future as a result of the Business Combination and subsequent shifts in its stock ownership, some of which are outside its control. As a result, its use of U.S. federal NOL carryforwards could be limited. State NOL carryforwards may be similarly limited. Any such disallowances may result in greater tax liabilities than Gemini would incur in the absence of such a limitation and any increased liabilities could adversely affect its business, results of operations, financial position and cash flows.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uses and generates materials that may expose it to material liability.</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Gemini’s research programs involve the use of hazardous materials and chemicals, which are currently only handled by third parties. Gemini is subject to foreign, federal, state and local environmental and health and safety laws and regulations governing, among other matters, the use, manufacture, handling, storage and disposal of hazardous materials and waste products. Gemini may incur significant costs to comply with these current or future environmental and health and safety laws and regulations. In addition, Gemini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its workers’ compensation, property and business interruption insurance and Gemini may not be able to maintain insurance on acceptable terms, if at all. Gemini currently carries no insurance specifically covering environmental claims.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46"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Government Regulation”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applicable foreign regulatory authorities are lengthy, time-consuming and inherently unpredictable. Its inability to obtain regulatory approval for GEM103 or any other product candidate would substantially harm its business.</w:t>
      </w:r>
    </w:p>
    <w:p>
      <w:pPr>
        <w:spacing w:after="0" w:line="10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from the FDA and applicable foreign regulatory authorities is unpredictable but typically takes many years following the commencement of nonclinical studies and clinical trials and depends upon numerous factors, including the substantial discretion of regulatory authorities. In addition, approval policies, regulations or the type and amount of clinical data necessary to gain approval may change during the course of a product candidate’s development and may vary among jurisdictions.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GEM103 or its other product candidates could fail to receive regulatory approval from the FDA or an applicable foreign regulatory authority for many reasons, including:</w:t>
      </w:r>
    </w:p>
    <w:p>
      <w:pPr>
        <w:spacing w:after="0" w:line="94" w:lineRule="exact"/>
        <w:rPr>
          <w:sz w:val="20"/>
          <w:szCs w:val="20"/>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implementation of its clinical trials;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 is safe and effective for its proposed indication;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level of statistical significance required for approval;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candidate’s clinical and other benefits outweigh its safety risks;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its interpretation of data from nonclinical studies or clinical trials;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6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clinical trials of its product candidates to obtain regulatory approval;</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the manufacturing processes or facilities of third-party manufacturers with whom Gemini contract for clinical and commercial supplies; or</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0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its nonclinical and clinical data insufficient for approval.</w:t>
      </w:r>
    </w:p>
    <w:p>
      <w:pPr>
        <w:spacing w:after="0" w:line="8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FDA or an applicable foreign regulatory authority may require more information, including additional nonclinical or clinical data to support approval, which may delay or prevent approval and its commercialization plans, or Gemini may decide to abandon the development program for other reasons. If Gemini were to obtain approval, regulatory authorities may approve any of its product for fewer more limited indications than Gemini request, may require labeling or a Risk Evaluation Mitigation Strategy, or REMS, that includes significant use or distribution restrictions or safety warnings, precautions, or contraindications,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18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commencement or completion of, or ambiguous or negative results from, Gemini’s ongoing and planned clinical trials of its product candidates could result in increased costs to us and could delay, prevent, or limit its ability to generate revenue and continue its business.</w:t>
      </w:r>
    </w:p>
    <w:p>
      <w:pPr>
        <w:spacing w:after="0" w:line="10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does not know whether its Phase 2a clinical trial or any of its planned clinical trials will be completed on schedule, if at all, as the commencement and completion of clinical trials can be delayed or prevented for a number of reasons, including, among others:</w:t>
      </w:r>
    </w:p>
    <w:p>
      <w:pPr>
        <w:spacing w:after="0" w:line="108" w:lineRule="exact"/>
        <w:rPr>
          <w:sz w:val="20"/>
          <w:szCs w:val="20"/>
          <w:color w:val="auto"/>
        </w:rPr>
      </w:pPr>
    </w:p>
    <w:p>
      <w:pPr>
        <w:jc w:val="both"/>
        <w:ind w:left="1320" w:right="459" w:hanging="434"/>
        <w:spacing w:after="0" w:line="261" w:lineRule="auto"/>
        <w:tabs>
          <w:tab w:leader="none" w:pos="13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authorities may not authorize Gemini’s or its investigators to commence its planned clinical trials or any other clinical trials Gemini may initiate, or may suspend its clinical trials, for example, through imposition of a clinical hold, and may request additional data to permit allowance of its investigational new drug, or IND;</w:t>
      </w:r>
    </w:p>
    <w:p>
      <w:pPr>
        <w:spacing w:after="0" w:line="9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or receiving allowance of additional IND applications that may be required;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its clinical trials and nonclinical studies;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from its ongoing nonclinical studies;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CROs and clinical study sites, the terms of which can be subject to extensive negotiation and may vary significantly among different CROs and study sites;</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CROs to perform under these agreements, including due to impacts from the COVID-19 pandemic on their workforce;</w:t>
      </w:r>
    </w:p>
    <w:p>
      <w:pPr>
        <w:spacing w:after="0" w:line="80" w:lineRule="exact"/>
        <w:rPr>
          <w:rFonts w:ascii="Times New Roman" w:cs="Times New Roman" w:eastAsia="Times New Roman" w:hAnsi="Times New Roman"/>
          <w:sz w:val="18"/>
          <w:szCs w:val="18"/>
          <w:color w:val="auto"/>
        </w:rPr>
      </w:pPr>
    </w:p>
    <w:p>
      <w:pPr>
        <w:ind w:left="1320" w:right="479" w:hanging="434"/>
        <w:spacing w:after="0" w:line="312" w:lineRule="auto"/>
        <w:tabs>
          <w:tab w:leader="none" w:pos="1311"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inadequate quantity or quality of a product candidate or other materials necessary to conduct clinical trials, for example delays in the manufacturing of sufficient supply of finished drug product;</w:t>
      </w:r>
    </w:p>
    <w:p>
      <w:pPr>
        <w:spacing w:after="0" w:line="72" w:lineRule="exact"/>
        <w:rPr>
          <w:rFonts w:ascii="Times New Roman" w:cs="Times New Roman" w:eastAsia="Times New Roman" w:hAnsi="Times New Roman"/>
          <w:sz w:val="17"/>
          <w:szCs w:val="17"/>
          <w:color w:val="auto"/>
        </w:rPr>
      </w:pPr>
    </w:p>
    <w:p>
      <w:pPr>
        <w:ind w:left="1320" w:right="459" w:hanging="434"/>
        <w:spacing w:after="0" w:line="282" w:lineRule="auto"/>
        <w:tabs>
          <w:tab w:leader="none" w:pos="13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ethics committee or Institutional Review Board, or IRB, approval to conduct a clinical study at a prospective site or sites;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1" w:lineRule="auto"/>
        <w:tabs>
          <w:tab w:leader="none" w:pos="15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subjects to participate in clinical trials, the proximity of subjects to study sites, eligibility criteria for the clinical study, the nature of the clinical study protocol, the availability of approved effective treatments for the relevant disease, and competition from other clinical study programs for similar indications;</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side effects experienced by subjects in a clinical trial;</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decide, or regulatory authorities may require us, to conduct additional nonclinical or clinical trials or abandon product development programs;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validating, or inability to validate, any endpoints utilized in a clinical trial;</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3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authorities may disagree with its clinical study design and its interpretation of data from clinical trials, or may change the requirements for approval even after it has reviewed and commented on the design for its clinical trials;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subjects who has enrolled in a clinical trial but may be prone to withdraw due to rigors of the clinical trials, lack of efficacy, side effects, personal issues, or loss of interest.</w:t>
      </w:r>
    </w:p>
    <w:p>
      <w:pPr>
        <w:spacing w:after="0" w:line="8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Clinical trials may also be delayed or terminated as a result of ambiguous or negative interim results. In addition, a clinical study may be suspended or terminated by us, the FDA or applicable foreign regulatory authorities, the IRBs at the sites where the IRBs are overseeing a clinical study, a data and safety monitoring board, or DSMB, overseeing the clinical study at issue or other regulatory authorities due to a number of factors, including, among others:</w:t>
      </w:r>
    </w:p>
    <w:p>
      <w:pPr>
        <w:spacing w:after="0" w:line="116" w:lineRule="exact"/>
        <w:rPr>
          <w:sz w:val="20"/>
          <w:szCs w:val="20"/>
          <w:color w:val="auto"/>
        </w:rPr>
      </w:pPr>
    </w:p>
    <w:p>
      <w:pPr>
        <w:ind w:left="1320" w:right="479" w:hanging="434"/>
        <w:spacing w:after="0" w:line="282" w:lineRule="auto"/>
        <w:tabs>
          <w:tab w:leader="none" w:pos="151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study in accordance with regulatory requirements or its clinical protocols;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study operations or study sites by the FDA or other regulatory authorities that reveals deficiencies or violations that require us to undertake corrective action, including in response to the imposition of a clinical hold;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7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safety signals, including any that could be identified in its ongoing nonclinical studies or clinical trials, adverse side effects or lack of effectiveness;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clinical trials.</w:t>
      </w:r>
    </w:p>
    <w:p>
      <w:pPr>
        <w:spacing w:after="0" w:line="15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Any inability to successfully complete nonclinical and clinical development could result in additional costs to us or impair its ability to generate revenue. In addition, if Gemini makes changes to a product candidate, such as changes to the formulation, Gemini may need to conduct additional nonclinical studies or clinical trials to bridge or demonstrate the comparability of its modified product candidate to earlier versions, which could delay its clinical development plan or marketing approval for its product candidates. Clinical trial delays could also shorten any periods during which Gemini may have the exclusive right to commercialize its product candidates or allow its competitors to bring products to market before Gemini does, which could impair its ability to successfully commercialize its product candidates and may harm its business and results of operations.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has limited experience in conducting clinical trials and has never obtained approval for any product candidates and may be unable to do so successfully.</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a company, Gemini has limited experience in designing, conducting or completing clinical trials and has never progressed a product candidate through to regulatory approval. In part because of this lack of experience, its clinical trials may require more time and incur greater costs than Gemini anticipates. Gemini cannot be certain that the planned clinical trials will begin or conclude on time, if at all. Large-scale trials will require significant additional financial and management resources. Any performance failure on the part of such third parties could delay the clinical development of its product candidates or delay or prevent us from obtaining regulatory approval or commercializing its product candidates, depriving us of potential product revenue and resulting in additional losses.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advancement of healthcare reform may negatively impact its ability to profitably sell its product candidates, if approved.</w:t>
      </w:r>
    </w:p>
    <w:p>
      <w:pPr>
        <w:spacing w:after="0" w:line="7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United States and many foreign jurisdictions has enacted or proposed legislative and regulatory changes affecting the healthcare system that could prevent or delay marketing approval of its product candidates, restrict or regulate post-approval activities and affect its ability to profitably sell any product for which Gemini obtains marketing approval. Changes in regulations, statutes or the interpretation of existing regulations could impact its business in the future by requiring, for example: (i) changes to its manufacturing arrangements; (ii) additions or modifications to product labeling; (iii) the recall or discontinuation of its products; or (iv) additional record-keeping requirements.</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or collectively, the Affordable Care Act, was enacted, which includes measures that has significantly changed the way health care is financed by both governmental and private insurers. Some of the provisions of the Affordable Care Act have yet to be implemented, and there have been judicial, congressional, and executive branch challenges to certain aspects of the Affordable Care Act. Since January 2017, President Trump has signed two Executive Orders and other directives designed to delay the implementation of certain provisions of the Affordable Care Act or otherwise circumvent some of the requirements for health insurance mandated by the Affordable Care Act. One Executive Order directs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second Executive Order terminates the cost-sharing subsidies that reimburse insurers under the Affordable Care Act. Several state Attorneys General filed suit to stop the Trump administration from terminating the subsidies, but their request for a restraining order was denied by a federal judge in California on October 25, 2017. Further, on June 14, 2018, U.S. Court of Appeals for the Federal Circuit ruled that the federal government was not required to pay more than $12 billion in Affordable Care Act risk corridor payments to third-party payors who argued were owed to them. The effects of this gap in reimbursement on third-party payors, the viability of the Affordable Care Act marketplace, providers, and potentially its business, are not yet known.</w:t>
      </w:r>
    </w:p>
    <w:p>
      <w:pPr>
        <w:spacing w:after="0" w:line="123"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Congress has also considered legislation that would repeal or repeal and replace all or part of the Affordable Care Act. While Congress has not passed comprehensive repeal legislation, two bills affecting the implementation of certain taxes under the Affordable Care Act has been signed into law.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amended the Affordable Care Act, effective January 1, 2019, to close the coverage gap in most Medicare drug plans, commonly referred to as the “donut hole.” In July 2018, the Centers for Medicare and Medicaid Services, or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Moreover, CMS issued a final rule in 2018 that will give states greater flexibility, starting in 2020, in setting benchmarks for insurers in the individual and small group marketplaces, which may has the effect of relaxing the essential health benefits required under the Affordable Care Act for plans sold through such marketplaces. On December 14, 2018, a U.S. District Judge in the Northern District of Texas, or the Texas District Court Judge, ruled that the individual mandate is a critical and inseverable feature of the Affordable Care Act, and therefore, because it was repealed as part of the Tax Act, the remaining provisions of the Affordable Care Act are invalid as well. While the Texas District Court Judge, as well as the Trump Administration and CMS, has stated that the ruling will has no immediate effect, it is unclear how this decision, subsequent appeals and other efforts to repeal and replace the Affordable Care Act will impact the Affordable Care Act and its business.</w:t>
      </w:r>
    </w:p>
    <w:p>
      <w:pPr>
        <w:spacing w:after="0" w:line="12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legislation’s automatic reduction to several government programs. This includes aggregate reductions to Medicare payments to providers of, on average, 2% per fiscal year through 2025 unless Congress takes additional action. These reductions were extended through 2027 under the BBA. In January 2013,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2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Recently, there has been increasing legislative and enforcement interest in the United States with respect to specialty drug pricing practices. Specifically, there has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 Although a number of these, and other proposed measures may require additional authorization to become effective, Congress and the Trump administration has each indicated that it will continue to seek new legislative and/or administrative measures to control drug costs. At the state level, legislatures has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 expects that the healthcare reform measures that has been adopted and may be adopted in the future, may result in more rigorous coverage criteria and in additional downward pressure on the price that Gemini receives for any approved product and could seriously harm its future revenues. Any reduction in reimbursement from Medicare or other government programs may result in a similar reduction in payments from private third-party payors.</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Further, on May 30, 2018, the Trickett Wedler, Frank Mongiello, Jordan McLinn, and Matthew Bellina Right to Try Act of 2017, or the Right to Try Act, was signed into law. The law, among other things, provides a federal framework for certain patients to request access to certain investigational new drug products that has completed a Phase I clinical trial and that are undergoing investigation for FDA approval. There is no obligation for a pharmaceutical manufacturer to make its drug products available to eligible patients as a result of the Right to Try Act.</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There has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its product. Such reforms could have an adverse effect on anticipated revenue from product candidates that Gemini may successfully develop and for which Gemini may obtain regulatory approval and may affect its overall financial condition and ability to develop product candidates.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Gemini’s relationships with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Gemini obtains marketing approval. Its current and future arrangements with healthcare providers, third-party payors and customers may expose us to broadly applicable fraud and abuse and other healthcare laws and regulations that may constrain the business or financial arrangements and relationships through which Gemini researches, and if approved, markets, sells and distributes its products. Restrictions under applicable federal and state healthcare laws and regulations, include the following:</w:t>
      </w:r>
    </w:p>
    <w:p>
      <w:pPr>
        <w:spacing w:after="0" w:line="121" w:lineRule="exact"/>
        <w:rPr>
          <w:sz w:val="20"/>
          <w:szCs w:val="20"/>
          <w:color w:val="auto"/>
        </w:rPr>
      </w:pPr>
    </w:p>
    <w:p>
      <w:pPr>
        <w:jc w:val="both"/>
        <w:ind w:left="1320" w:right="459" w:hanging="434"/>
        <w:spacing w:after="0" w:line="256" w:lineRule="auto"/>
        <w:tabs>
          <w:tab w:leader="none" w:pos="151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9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federal civil and criminal false claims laws and civil monetary penalty laws, including the federal False Claims Act, which can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prohibit individuals or entities from, among other things knowingly presenting, or causing to be presented, to the federal government or a government contractor, grantee, or other recipient of federal funds, claims for payment that are false or fraudulent or making a false statement to avoid, decrease or conceal an obligation to pay money to the federal government;</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7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implementing regulations, imposes obligations on certain healthcare providers, health plans and healthcare clearinghouses, known as covered entities, as well as their business associates, which are individuals and entities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33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(as defined above) and their immediate family members; and</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local,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marketing expenditures or drug prices; state and local laws that require the registration of pharmaceutical sales representatives; and state and foreign laws that govern the privacy and security of health information in certain circumstances, many of which differ from each other in significant ways and often are not preempted by HIPAA, thus complicating compliance efforts.</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Efforts to ensure that its business arrangements with third parties comply with applicable healthcare laws and regulations will involve substantial costs. It is possible that governmental authorities will conclude that its business practices may not comply with current or future statutes, regulations or case law interpreting applicable fraud and abuse or other healthcare laws and regulations. If its operations are found to be in violation of any of these laws or any other governmental regulations that may apply to us, Gemini may be subject to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 If any of the physicians or other healthcare providers or entities with whom Gemini expects to do business is found not to be in compliance with applicable laws, that person or entity may be subject to criminal, civil or administrative sanctions, including exclusions from government funded healthcare programs.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its operating results and business.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Gemini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and California Consumer Privacy Act of 2018, or CCPA), that govern the collection, use, disclosure and protection of health-related and other personal information could apply to its operations or the operations of its collaborators. The state of California, for example, recently adopted the CCPA, which will come into effect beginning in January 2020. The CCPA has been characterized as the first “GDPR-like” privacy statute to be enacted in the United States because it mirrors a number of the key provisions of the European Union General Data Protection Regulation, or EU GDPR.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In addition, Gemini may obtain health information from third parties (including research institutions from which Gemini obtains clinical trial data) that are subject to privacy and security requirements under HIPAA, as amended by HITECH. Depending on the facts and circumstances, Gemini could be subject to civil, criminal, and administrative penalties if Gemini knowingly obtain, use, or disclose individually identifiable health information maintained by a HIPAA-covered entity in a manner that is not authorized or permitted by HIPAA.</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including the EU GDPR and other EU data protection laws, could require us to take on more onerous obligations in its contracts, restrict its ability to collect, use and disclose data, or in some cases, impact its ability to operate in certain jurisdictions. Failure to comply with these laws and regulations could result in government enforcement actions (which could include civil, criminal and administrative penalties), private litigation, and/or adverse publicity and could negatively affect its operating results and business. Moreover, clinical trial subjects, employees and other individuals about whom Gemini or its potential collaborators obtain personal information, as well as the providers who share this information with us, may limit its ability to collect, use and disclose the information. Claims that Gemini has violated individuals’ privacy rights, failed to comply with data protection laws, or breached its contractual obligations, even if Gemini is not found liable, could be expensive and time-consuming to defend and could result in adverse publicity that could harm its business.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is uncertain and Gemini’s clinical trials for GEM103 and any other product candidates may experience delays, which would adversely affect its ability to obtain regulatory approvals or commercialize these programs on a timely basis or at all, which would have an adverse effect on its business.</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cannot be sure that Gemini will be able to submit INDs or similar applications for its preclinical programs on the timelines Gemini expects, if at all. To proceed with its development plans and ultimately commercialization, Gemini may need to conduct and meet regulatory requirements for preclinical and clinical studies. For therapeutic applications, the FDA may require additional extensive preclinical and other studies. Gemini cannot be certain of the timely completion or outcomes of its preclinical testing and studies and cannot predict if the FDA or other regulatory authorities will accept its proposed clinical programs or if the outcomes of its preclinical testing and studies will</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0" w:name="page61"/>
    <w:bookmarkEnd w:id="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ultimately support the further development of its programs. As a result, there is no assurance that Gemini will be able to submit INDs or similar applications on the timelines Gemini expects, if at all, and Gemini cannot be sure that submission of an IND or similar applications will result in the FDA or other regulatory authorities allowing a clinical trial design to begin. For example, Gemini plans to use its IND for GEM103 in dry AMD to run a trial of GEM103 in wet AMD, however, Gemini has not yet met with the FDA to discuss such plans, and the FDA may reject such plans.</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Gemini is able to obtain regulatory approvals for its product candidates, if they exhibit harmful side effects after approval, its regulatory approvals could be revoked or otherwise negatively impacted, and Gemini could be subject to costly and damaging product liability claims.</w:t>
      </w:r>
    </w:p>
    <w:p>
      <w:pPr>
        <w:spacing w:after="0" w:line="107"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Clinical trials are conducted in representative samples of the potential patient population which may has significant variability. Even if Gemini receives regulatory approval for GEM103 or any of its other product candidates, Gemini will have tested them in only a small number of patients during its clinical trials.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Gemini cannot be sure that all side effects of its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If its applications for marketing are approved and more patients begin to use its product, new risks and side effects associated with its products may be discovered. There have been other products that have been approved by the regulatory authorities but for which safety concerns has been uncovered following approval. Such safety concerns have led to labelling changes or withdrawal of products from the market, and any of its product candidates may be subject to similar risks. Additionally, Gemini may be required to conduct additional nonclinical and clinical trials, require additional warnings on the label of its products, reformulate its product or make changes, create a medication guide outlining the risks of such side effects for distribution to patients and obtain new approvals for its and its suppliers’ manufacturing facilities for GEM103 and any other product candidates. Gemini might have to withdraw or recall its products from the marketplace. Gemini may also experience a significant drop in the potential sales of its products if and when regulatory approvals for such products are obtained, experience harm to its reputation in the marketplace or become subject to lawsuits, including class actions. Any of these results could decrease or prevent any sales of its approved products or substantially increase the costs and expenses of commercializing and marketing its products.</w:t>
      </w:r>
    </w:p>
    <w:p>
      <w:pPr>
        <w:spacing w:after="0" w:line="20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its product candidates receive regulatory approval, they will remain subject to extensive regulatory scrutiny and may still face future development and regulatory difficulties.</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Even if Gemini obtains regulatory approval for a product candidate, regulatory authorities may still impose significant restrictions on its product candidates, including their indicated uses or marketing, or impose ongoing requirements for potentially costly post-approval studies. Further, even if Gemini obtains regulatory approval for a product candidate, it would be subject to ongoing requirements by the governing the manufacture, quality control, further development, labeling, packaging, storage, distribution, safety surveillance, import, export, advertising, promotion, recordkeeping and reporting of safety and other post-market information.</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FDA and applicable foreign regulatory authorities will continue to closely monitor the safety profile of any product even after approval. If the FDA or applicable foreign regulatory authorities become aware of new safety information after approval of its product candidates, they may require labeling changes or establishment of a REMS or similar strategy, impose significant restrictions on a product’s indicated uses or marketing or impose ongoing requirements for potentially costly post-approval studies or post-market surveillance.</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addition, manufacturers of drug and biologic products and their facilities are subject to continual review and periodic inspections by the FDA and other regulatory authorities for compliance with current good manufacturing practice, or cGMP, regulations and standards. If Gemini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including requiring recall or withdrawal of the product from the market or suspension of manufacturing. If Gemini, its product candidates or the manufacturing facilities for its product candidates fail to comply with applicable regulatory requirements, or undesirable side effects caused by such products are identified, a regulatory agency may:</w:t>
      </w:r>
    </w:p>
    <w:p>
      <w:pPr>
        <w:spacing w:after="0" w:line="112" w:lineRule="exact"/>
        <w:rPr>
          <w:sz w:val="20"/>
          <w:szCs w:val="20"/>
          <w:color w:val="auto"/>
        </w:rPr>
      </w:pPr>
    </w:p>
    <w:p>
      <w:pPr>
        <w:ind w:left="1320" w:right="479" w:hanging="434"/>
        <w:spacing w:after="0" w:line="282" w:lineRule="auto"/>
        <w:tabs>
          <w:tab w:leader="none" w:pos="158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safety alerts, Dear Healthcare Provider letters, press releases or other communications containing warnings about such product;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Gemini conduct post-marketing studies;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64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marketing of, withdraw regulatory approval of or recall such product;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studies;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its ability to commercialize its products and generate revenue.</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its products for unapproved (or off-label) uses, are subject to enforcement letters, inquiries and investigations, and civil and criminal sanctions by the government. Additionally, applicable foreign regulatory authorities will heavily scrutinize advertising and promotion of any product candidate that obtains approval outside of the United States.</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its products for off-label uses can also subject us to false claims litigation under federal and state statutes, which can lead to civil and criminal penalties and fines and agreements that materially restrict the manner in which a company promotes or distributes drug and biologic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federal False Claims Act lawsuits against pharmaceutical companies has increased significantly in volume and breadth, leading to several substantial civil and criminal settlements regarding certain sales practices promoting off-label product uses involving fines in excess of $1 billion. This growth in litigation has increased the risk that a pharmaceutical company will has to defend a false claim action, pay settlement fines or restitution, agree to comply with burdensome reporting and compliance obligations and be excluded from Medicare, Medicaid and other federal and state healthcare programs. If Gemini does not lawfully promote its approved products, Gemini may become subject to such litigation and, if Gemini does not successfully defend against such actions, those actions may has a material adverse effect on its business, financial condition and results of operations.</w:t>
      </w:r>
    </w:p>
    <w:p>
      <w:pPr>
        <w:spacing w:after="0" w:line="1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its product candidates. If Gemini is slow or unable to adapt to changes in existing requirements or the adoption of new requirements or policies, or if Gemini is not able to maintain regulatory compliance, Gemini may lose any marketing approval that Gemini may have obtained, which would adversely affect its business, prospects and ability to achieve or sustain profitability.</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insurance coverage and reimbursement may be limited or unavailable for its product candidates, if approved, which could make it difficult for us to sell its product candidates profitably.</w:t>
      </w:r>
    </w:p>
    <w:p>
      <w:pPr>
        <w:spacing w:after="0" w:line="7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success of its product candidates, if approved, depends on the availability of coverage and adequate reimbursement from third-party payors including governmental healthcare programs, such as Medicare and Medicaid, commercial payors, and health maintenance organizations. Gemini cannot be sure that coverage and reimbursement will be available for, or accurately estimate the potential revenue from, its product candidates or assure that coverage and reimbursement will be available for any product that Gemini may develop.</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Coverage and adequate reimbursement from third-party payors is critical to new product acceptance.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Third-party payors decide which products and treatments they will cover and the amount of reimbursement. Coverage and reimbursement by a third-party payor may depend upon a number of factors, including the third-party payor’s determination that use of a product is:</w:t>
      </w:r>
    </w:p>
    <w:p>
      <w:pPr>
        <w:spacing w:after="0" w:line="95" w:lineRule="exact"/>
        <w:rPr>
          <w:sz w:val="20"/>
          <w:szCs w:val="20"/>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As a result, obtaining coverage and reimbursement approval of a product from a third-party payor is a time consuming and costly process that could require us to provide to each payor supporting scientific, clinical and cost effectiveness data for the use of its products on a payor-by-payor basis, with no assurance that coverage and adequate reimbursement will be obtained. There is significant uncertainty related to the insurance coverage and reimbursement of newly approved products. In the United States, the principal decisions about reimbursement for new medicines are typically made by CMS, an agency within HHS, as CMS decides whether and to what extent a new medicine will be covered and reimbursed under Medicare. Private third-party payors tend to follow Medicare coverage and reimbursement limitations to a substantial degree, but also has their own methods and approval process apart from Medicare determinations. Even if Gemini obtains coverage for a given product, the resulting reimbursement payment rates might not be adequate for us to achieve or sustain profitability or may require co-payments that patients find unacceptably high.</w:t>
      </w:r>
    </w:p>
    <w:p>
      <w:pPr>
        <w:spacing w:after="0" w:line="18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Its failure to obtain regulatory approval in international jurisdictions would prevent Gemini from marketing its product candidates outside the United States.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Even if its products are approved for marketing in the United States, in order to market and sell its products in other jurisdictions, Gemini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Gemini must secure product reimbursement approvals before regulatory authorities will approve the product for sale in that country. Obtaining applicable foreign regulatory authorities and compliance with applicable foreign regulatory requirements could result in significant delays, difficulties and costs for it and could delay or prevent the introduction of its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has a negative effect on the regulatory approval process in others.</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Also, regulatory approval for its product candidates may be withdrawn if Gemini fails to comply with regulatory requirements, if problems occur after the product candidate reaches the market or for other reasons. If Gemini fails to comply with the regulatory requirements in international markets and fail to receive applicable marketing approvals,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its target market will be reduced and its ability to realize the full market potential of its product candidates will be harmed and its business will be adversely affected. Gemini may not obtain applicable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Gemini fails to obtain approval of its product candidates by applicable foreign regulatory authorities, Gemini will be unable to commercialize its product in that country, and the commercial prospects of that product candidate and its business prospects could decline.</w:t>
      </w:r>
    </w:p>
    <w:p>
      <w:pPr>
        <w:spacing w:after="0" w:line="188"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Gemini is subject to U.S. and certain foreign export and import controls, sanctions, embargoes, anti-corruption laws, and anti-money laundering laws and regulations. Compliance with these legal standards could impair its ability to compete in domestic and international markets. Gemini can face criminal liability and other serious consequences for violations, which can harm its business.</w:t>
      </w:r>
    </w:p>
    <w:p>
      <w:pPr>
        <w:spacing w:after="0" w:line="11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Gemini is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Gemini conducts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Gemini may engage third parties to sell its products sell its products outside the United States, to conduct clinical trials, and/or to obtain necessary permits, licenses, patent registrations, and other regulatory approvals. Gemini has direct or indirect interactions with officials and employees of government agencies or government-affiliated hospitals, universities, and other organizations. Gemini can be held liable for the corrupt or other illegal activities of its employees, agents, contractors, and other collaborators, even if Gemini does not explicitly authorize or has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the SEC and other government agencies could hinder their ability to hire and retain key leadership and other personnel, prevent new or existing product candidates from being developed or commercialized in a timely manner or otherwise prevent those agencies from performing normal functions on which the operation of its business may rely, which could negatively impact its business.</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has fluctuated in recent years as a result. In addition, government funding of the SEC and other government agencies on which its operations may rely, including those that fund research and development activities is subject to the political process, which is inherently fluid and unpredictable.</w:t>
      </w:r>
    </w:p>
    <w:p>
      <w:pPr>
        <w:spacing w:after="0" w:line="10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its business. For example, over the last several years, including beginning on December 22, 2018, the U.S. government has shut down several times and certain regulatory agencies, such as the FDA and the SEC, has had to furlough critical FDA, SEC and other government employees and stop critical activities. If a prolonged government shutdown occurs, it could significantly impact the ability of the FDA to timely review and process its regulatory submissions, which could have a material adverse effect on its business. Further, upon completion of the Business Combination and in its operations as a public company, future government shutdowns could impact its ability to access the public markets and obtain necessary capital in order to properly capitalize and continue its operations.</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Separately, in response to the global COVID-19 pandemic, on March 10, 2020 the FDA announced its intention to postpone most foreign inspections of manufacturing facilities and products, and subsequently, on March 18, 2020, the FDA announced its intention to temporarily postpone routine surveillance inspections of domestic manufacturing facilities. On July 10, 2020, FDA announced its intention to resume certain on-site inspections of domestic manufacturing facilities subject to a risk-based prioritization system. The FDA intends to use this risk-based assessment system to</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4" w:name="page65"/>
    <w:bookmarkEnd w:id="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its regulatory submissions, which could has a material adverse effect on its business. For example, as of June 23, 2020, the FDA noted it is continuing to ensure timely reviews of applications for medical products during the COVID-19 pandemic in line with its user fee performance goals; however, FDA may not be able to continue its current pace and review timelines could be extended.</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FDA becomes unable to continue its current level of performance, Gemini could experience delays and setbacks for its product candidates and for any approvals Gemini may seek which could adversely affect its business.</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GEM103 and other product candidates for which Gemini intends to seek approval as biologic products may face competition sooner than anticipated.</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GEM103 is a biological product candidate. Gemini believes that any of its product candidates approved in the United States as a biological product under a Biologics License Application, or BLA, should qualify for the 12-year period of regulatory exclusivity. The enactment of the Biologics Price Competition and Innovation Act of 2009, or BPCIA, as part of the Affordable Care Act,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has a material adverse effect on the future commercial prospects for its biological products.</w:t>
      </w:r>
    </w:p>
    <w:p>
      <w:pPr>
        <w:spacing w:after="0" w:line="11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However, there is also a risk that this exclusivity could be changed in the future. For example, this exclusivity could be shortened due to congressional action or through other actions, including future proposed budgets, international trade agreements and other arrangements or proposals. The extent to which a biosimilar, once approved, will be substituted for any one of its reference products in a way that is similar to traditional generic substitution for non-biological products is not yet clear, and will depend on a number of marketplace and regulatory factors that are still developing. It is also possible that payers will give reimbursement preference to biosimilars over reference biologics, even absent a determination of interchangeability.</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To the extent that Gemini does not receive any anticipated periods of regulatory exclusivity for GEM103 and other product candidates or the FDA or foreign regulatory authorities approve any biosimilar, interchangeable, or other competing products to GEM103 and other product candidates, it could has a material adverse effect on its business, financial condition, results of operations, stock price and prospects.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60"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Intellectual Property”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Gemini’s success depends upon its ability to obtain and maintain intellectual property protection for its products and technologies. It is difficult and costly to protect its proprietary rights and technology, and Gemini may not be able to ensure their protection.</w:t>
      </w:r>
    </w:p>
    <w:p>
      <w:pPr>
        <w:spacing w:after="0" w:line="6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Gemini’s commercial success depends in part on its ability to obtain and maintain patent protection and trade secret protection for GEM103 and its other product candidates, proprietary patient screening technologies and their uses as well as Gemini’s ability to operate without infringing upon the proprietary rights of others. Gemini generally seeks to protect its proprietary position by filing patent applications in the United States and abroad related to its product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89" w:lineRule="auto"/>
        <w:rPr>
          <w:sz w:val="20"/>
          <w:szCs w:val="20"/>
          <w:color w:val="auto"/>
        </w:rPr>
      </w:pPr>
      <w:r>
        <w:rPr>
          <w:rFonts w:ascii="Times New Roman" w:cs="Times New Roman" w:eastAsia="Times New Roman" w:hAnsi="Times New Roman"/>
          <w:sz w:val="17"/>
          <w:szCs w:val="17"/>
          <w:color w:val="auto"/>
        </w:rPr>
        <w:t>candidates, proprietary technologies and their uses that are important to Gemini’s business. Gemini also seeks to protect its proprietary position by acquiring or in-licensing relevant issued patents or pending applications from third parties. Finally, Gemini maintains its non-patented, but proprietary technologies, as company trade secrets.</w:t>
      </w:r>
    </w:p>
    <w:p>
      <w:pPr>
        <w:spacing w:after="0" w:line="5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Gemini’s patent applications or the patent applications of Gemini’s licensors will result in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79"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Even issued patents may later be found invalid or unenforceable or may be modified or revoked in proceedings instituted by third parties before various patent offices or in courts. The degree of future protection for Gemini and Gemini licensors’ proprietary rights is uncertain. Only limited protection may be available and may not adequately protect Gemini’s rights or permit it to gain or keep any competitive advantage. These uncertainties and/or limitations in Gemini’s ability to properly protect the intellectual property rights relating to its product candidates could have a material adverse effect on Gemini’s financial condition and results of operations.</w:t>
      </w:r>
    </w:p>
    <w:p>
      <w:pPr>
        <w:spacing w:after="0" w:line="7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currently does not have any company-owned or in-licensed patents covering GEM103. Although Gemini is pursuing pending patent applications on GEM103, these applications may not issue as patents and as a result Gemini may not be able to prevent biosimilars to GEM103 from entering the market when the market exclusivity period has expired. Gemini cannot be certain that the claims in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Gemini be certain that the claims in its issued patent or its licensor’s issued patents will not be found invalid or unenforceable if challenged.</w:t>
      </w:r>
    </w:p>
    <w:p>
      <w:pPr>
        <w:spacing w:after="0" w:line="8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Gemini or any of our potential future collaborators will be successful in protecting its product candidates by obtaining and defending patents. These risks and uncertainties include the following:</w:t>
      </w:r>
    </w:p>
    <w:p>
      <w:pPr>
        <w:spacing w:after="0" w:line="95" w:lineRule="exact"/>
        <w:rPr>
          <w:sz w:val="20"/>
          <w:szCs w:val="20"/>
          <w:color w:val="auto"/>
        </w:rPr>
      </w:pPr>
    </w:p>
    <w:p>
      <w:pPr>
        <w:jc w:val="both"/>
        <w:ind w:left="1320" w:right="479" w:hanging="434"/>
        <w:spacing w:after="0" w:line="261" w:lineRule="auto"/>
        <w:tabs>
          <w:tab w:leader="none" w:pos="133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1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competitors, many of whom have substantially greater resources than Gemini does and many of whom have made significant investments in competing technologies, may seek or may have already obtained patents that will limit, interfere with or eliminate Gemini’s ability to make, use and sell its potential product candidates;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7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6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Gemini or its licensors may not be able to file and prosecute all necessary or desirable patent applications at a reasonable cost or in a timely manner or in all jurisdictions where protection may be commercially advantageous. It is also possible that Gemini or its licensors will fail to identify patentable aspects of our research and development output before it is too late to obtain patent protection.</w:t>
      </w:r>
    </w:p>
    <w:p>
      <w:pPr>
        <w:spacing w:after="0" w:line="7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addition, although Gemini enters into non-disclosure and confidentiality agreements with parties who have access to patentable aspects of our research and development output, such as our employees, outside scientific collaborators,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6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may be unable to obtain intellectual property rights or technology necessary to develop and commercialize its product candidates.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Several third parties are actively researching and seeking and obtaining patent protection in the AMD field, and there are issued third-party patents and published third-party patent applications in these fields.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Gemini may not be aware of all third-party intellectual property rights potentially relating to its product candidates and technologies.</w:t>
      </w:r>
    </w:p>
    <w:p>
      <w:pPr>
        <w:spacing w:after="0" w:line="12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Depending on what patent claims ultimately issue and how courts construe the issued patent claims, as well as depending on the ultimate formulation and method of use of its product candidates, Gemini may need to obtain a license under such patents. There can be no assurance that such licenses will be available on commercially reasonable terms, or at all. If a third party does not offer us a necessary license or offers a license only on terms that are unattractive or unacceptable to us, Gemini might be unable to develop and commercialize one or more of its product candidates, which would have a material adverse effect on its business, financial condition and results of operations. Moreover, even if Gemini obtains licenses to such intellectual property, but subsequently fail to meet its obligations under its license agreements, or such license agreements are terminated for any other reasons, Gemini may lose its rights to in-licensed technologies.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licensing or acquisition of third-party intellectual property rights is a competitive area, and several more established companies may pursue strategies to license or acquire third-party intellectual property rights that Gemini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Gemini also may be unable to license or acquire third-party intellectual property rights on terms that would allow us to make an appropriate return on its investment, or at all. If Gemini is unable to successfully obtain rights to required third-party intellectual property rights or maintain the existing intellectual property rights Gemini has, Gemini may have to abandon development of the relevant program or product candidate, which could have a material adverse effect on its business, financial condition, results of operations and prospects.</w:t>
      </w:r>
    </w:p>
    <w:p>
      <w:pPr>
        <w:spacing w:after="0" w:line="19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including the license agreement with Sanquin Blood Supply Foundation related to anti-CFH agonistic antibodies, we may be required to pay damages and could lose intellectual property rights that are necessary for developing and protecting our product candidates.</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is dependent on patents, know-how and proprietary technology in-licensed from Sanquin Blood Supply Foundation. Its commercial success depends upon its ability to develop, manufacture, market and sell its product candidates and use its and its licensor’s proprietary technologies without infringing the proprietary rights of third parties. Sanquin Blood Supply Foundation may have the right to terminate the license agreement in full in the event Gemini materially breach or default in the performance of any of the obligations under the license agreement. A termination of the license agreement with Sanquin Blood Supply Foundation could result in the loss of significant rights and could harm its ability to commercialize its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Disputes may also arise between Gemini and Sanquin Blood Supply Foundation, as well as any future potential licensors, regarding intellectual property subject to a license agreement, including:</w:t>
      </w:r>
    </w:p>
    <w:p>
      <w:pPr>
        <w:spacing w:after="0" w:line="94" w:lineRule="exact"/>
        <w:rPr>
          <w:sz w:val="20"/>
          <w:szCs w:val="20"/>
          <w:color w:val="auto"/>
        </w:rPr>
      </w:pPr>
    </w:p>
    <w:p>
      <w:pPr>
        <w:ind w:left="1300" w:hanging="41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its technology and processes infringe on intellectual property of the licensor that is not subject to the licensing agreement;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1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right to sublicense patent and other rights to third parties under collaborative development relationships;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6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diligence obligations with respect to the use of the licensed technology in relation to its development and commercialization of its product candidates and what activities satisfy those diligence obligations;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its licensors and us and its partners; and</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5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Gemini has licensed prevent or impair its ability to maintain its current licensing arrangements on acceptable terms, Gemini may be unable to successfully develop and commercialize the affected product candidates.</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the Research Collaboration and License Agreement under which Gemini currently licenses intellectual property is complex, and certain provisions may be susceptible to multiple interpretations. The resolution of any contract interpretation disagreement that may arise could narrow what Gemini believes to be the scope of its rights to the relevant intellectual property, or increase what Gemini believes to be its financial or other obligations under the Research Collaboration and License Agreement, either of which could has a material adverse effect on its business, financial condition, results of operations, and prospects. Moreover, if disputes over intellectual property that Gemini has licensed prevent or impair its ability to maintain its current licensing arrangement on commercially acceptable terms, Gemini may be unable to successfully develop and commercialize the affected product candidates, which could have a material adverse effect on its business, financial conditions, results of operations, and prospects.</w:t>
      </w:r>
    </w:p>
    <w:p>
      <w:pPr>
        <w:spacing w:after="0" w:line="11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is generally also subject to all of the same risks with respect to protection of intellectual property that Gemini licenses, as Gemini is for intellectual property that Gemini owns, which are described below. If Gemini or its licensors fail to adequately protect this intellectual property, its ability to commercialize products could suffer.</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its competitive position on its product candidates for an adequate amount of time.</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its product candidates are obtained, once the patent life has expired, Gemini may be open to competition from competitive products. Given the amount of time required for the development, testing and regulatory review of new product candidates, patents protecting its product candidates might expire before or shortly after Gemini or its partners commercialize those candidates. As a result, its owned and licensed patent portfolio may not provide us with sufficient rights to exclude others from commercializing products similar or identical to its products.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may not be able to protect its intellectual property rights throughout the world.</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legal protection afforded to inventors and owners of intellectual property in countries outside of the United States may not be as protective or effective as that in the United States and Gemini may, therefore, be unable to acquire and enforce intellectual property rights outside the United States to the same extent as in the United States. Whether filed in the United States or abroad, its patent applications may be challenged or may fail to result in issued patents.</w:t>
      </w:r>
    </w:p>
    <w:p>
      <w:pPr>
        <w:spacing w:after="0" w:line="10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Currently, Gemini does not own or have in-licensed issued patents covering GEM103. Any future patents Gemini obtains may not be sufficiently broad to prevent others from practicing its technologies or from developing or commercializing competing products. Furthermore, others may independently develop or commercialize similar or alternative technologies or drugs, or design around its patents. Its patents may be challenged, invalidated, circumvented</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or narrowed, or fail to provide us with any competitive advantages. In many foreign countries, patent applications and/or issued patents, or parts thereof, must be translated into the native language. If its patent applications or issued patents are translated incorrectly, they may not adequately cover its technologies; in some countries, it may not be possible to rectify an incorrect translation, which may result in patent protection that does not adequately cover its technologies in those countries.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its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Gemini and its licensor may not be able to prevent third parties from practicing its and its licensor’s inventions in all countries outside the United States, or from selling or importing products made using its and its licensor’s inventions in and into the United States or other jurisdictions. Competitors may use its and its licensor’s technologies in jurisdictions where Gemini has not obtained patent protection to develop their own products and, further, may export otherwise infringing products to territories where Gemini and its licensor have patent protection, but enforcement is not as strong as that in the United States. These products may compete with its product candidates its and its licensor’s patents or other intellectual property rights may not be effective or sufficient to prevent them from competing.</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This could make it difficult for us and Gemini’s licensor to stop the infringement of its and its licensor’s patents or the marketing of competing products in violation of Gemini’s and its licensor’s proprietary rights, generally. Proceedings to enforce Gemini’s and its licensor’s patent rights in foreign jurisdictions could result in substantial costs and divert its and its licensor’s efforts and attention from other aspects of its business, could put Gemini’s and its licensor’s patents at risk of being invalidated or interpreted narrowly, could place Gemini’s and its licensor’s patent applications at risk of not issuing and could provoke third parties to assert claims against Gemini’s or its licensor. Gemini or its licensor may not prevail in any lawsuits that Gemini or its licensor initiates and the damages or other remedies awarded, if any, may not be commercially meaningful.</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Gemini and its licensor may have limited remedies if patents are infringed or if Gemini or its licensor are compelled to grant a license to a third party, which could materially diminish the value of those patents. This could limit its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Gemini and its licensor’s efforts to enforce intellectual property rights around the world may be inadequate to obtain a significant commercial advantage from the intellectual property that Gemini owns or licenses.</w:t>
      </w:r>
    </w:p>
    <w:p>
      <w:pPr>
        <w:spacing w:after="0" w:line="18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its patent protection depends on compliance with various procedural, document submission, fee payment and other requirements imposed by governmental patent agencies, and Gemini’s patent protection could be reduced or eliminated for non-compliance with these requirements.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Gemini or its licensor fails to maintain the patents and patent applications covering its product candidates, its competitors might be able to enter the market with similar or identical products or technology, which would have a material adverse effect on its business, financial condition and results of operations.</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9" w:name="page70"/>
    <w:bookmarkEnd w:id="6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may become involved in lawsuits or other proceedings to protect or enforce its intellectual property, which could be expensive, time-consuming and unsuccessful and have a material adverse effect on the success of its business.</w:t>
      </w:r>
    </w:p>
    <w:p>
      <w:pPr>
        <w:spacing w:after="0" w:line="9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Third parties may infringe Gemini’s or its licensor’s patents or misappropriate or otherwise violate its or its licensor’s intellectual property rights. In the future, Gemini or its licensor may initiate legal proceedings to enforce or defend Gemini’s or its licensor’s intellectual property rights, to protect its or its licensor’s trade secrets or to determine the validity or scope of intellectual property rights Gemini owns or controls. Also, third parties may initiate legal proceedings against Gemini or its licensor to challenge the validity or scope of intellectual property rights Gemini owns, controls or to which Gemini has rights. For example, generic or biosimilar drug manufacturers or other competitors or third parties may challenge the scope, validity or enforceability of Gemini’s or its licensor’s patents, requiring Gemini or its licensor to engage in complex, lengthy and costly litigation or other proceedings. These proceedings can be expensive and time-consuming and many of its or its licensor’s adversaries in these proceedings may have the ability to dedicate substantially greater resources to prosecuting these legal actions than Gemini can. Moreover, the outcome following legal assertions of invalidity and unenforceability is unpredictable. Accordingly, despite Gemini’s or its licensor’s efforts, Gemini or its licensor may not be able to prevent third parties from infringing upon or misappropriating intellectual property rights Gemini owns, controls or has rights to, particularly in countries where the laws may not protect those rights as fully as in the United States. Litigation could result in substantial costs and diversion of management resources, which could harm its business and financial results. In addition, if Gemini or its licensor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Gemini’s or its licensor’s patents do not cover the technology in question. An adverse result in any litigation proceeding could put one or more of Gemini’s or its licensor’s patents at risk of being invalidated, narrowed, held unenforceable or interpreted in such a manner that would not preclude third parties from entering the market with competing products.</w:t>
      </w:r>
    </w:p>
    <w:p>
      <w:pPr>
        <w:spacing w:after="0" w:line="135"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Third-party pre-issuance submission of prior art to the USPTO, or opposition, derivation, revocation reexamination,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pre-issuance or post-grant proceedings or other patent office proceedings or litigation in the United States or other jurisdictions provoked by third parties or brought by Gemini or its licensor, may be necessary to determine the inventorship, priority, patentability or validity of inventions with respect to Gemini’s or its licensor’s patents or patent applications. An unfavorable outcome could leave its technology or product candidates without patent protection, allow third parties to commercialize its technology or product candidates and compete directly with us, without payment to us, or could require Gemini or its licensor to obtain license rights from the prevailing party in order to be able to manufacture or commercialize its product candidates without infringing third-party patent rights. Its business could be harmed if the prevailing party does not offer Gemini or its licensor a license on commercially reasonable terms, or at all. Even if Gemini or its licensor obtains a license, it may be non-exclusive, thereby giving its competitors access to the same technologies licensed to Gemini or its licensor. In addition, if the breadth or strength of protection provided by Gemini’s or its licensor’s patents and patent applications is threatened, it could dissuade companies from collaborating with us to license, develop or commercialize product candidates. Even if Gemini successfully defends such litigation or proceeding, Gemini may incur substantial costs and it may distract its management and other employees. In addition, the uncertainties associated with litigation could have a material adverse effect on its ability to raise the funds necessary to continue its clinical trials, continue its research programs, license necessary technology from third parties, or enter into collaborations.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its confidential information could be compromised by disclosure during this type of litigation. In addition, many foreign jurisdictions have rules of discovery that are different than those in the United States and which may make defending or enforcing its or its licensor’s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0" w:name="page71"/>
    <w:bookmarkEnd w:id="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Gemini alleging that Gemini infringes their intellectual property rights or Gemini may initiate legal proceedings against third parties to challenge the validity or scope of intellectual property rights controlled by third parties, the outcome of which would be uncertain and could have a material adverse effect on the success of its business.</w:t>
      </w:r>
    </w:p>
    <w:p>
      <w:pPr>
        <w:spacing w:after="0" w:line="9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Gemini’s commercial success depends upon its ability to develop, manufacture, market and sell any product candidates that Gemini may develop and use its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Gemini or its licensor alleging that Gemini or its licensor infringes their intellectual property rights or Gemini or its licensor may initiate legal proceedings against third parties to challenge the validity or scope of intellectual property rights controlled by third parties, including in oppositions, revocations,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derivation proceedings before the USPTO or its counterparts in other jurisdictions. These proceedings can be expensive and time-consuming and many of its or its licensor’s adversaries in these proceedings may have the ability to dedicate substantially greater resources to prosecuting these legal actions than Gemini or its licensor can.</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 unfavorable outcome in any such proceeding could require Gemini or its licensor to cease using the related technology or developing or commercializing its product candidates, or to attempt to license rights to it from the prevailing party, which may not be available on commercially reasonable terms, or at all.</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could be found liable for monetary damages, including treble damages and attorneys’ fees, if Gemini is found to have willfully infringed a patent. A finding of infringement could prevent us from commercializing its product candidates or force us to cease some of its business operations, which could materially harm its business.</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performs searches of patent and scientific databases in order to identify documents that may be of potential relevance to the freedom-to-operate and/or patentability of its product candidates. In general, such searches are conducted based on keywords, sequences, inventors/authors and assignees/entities to capture U.S. and European patents and patent applications, PCT publications and scientific journal articles.</w:t>
      </w:r>
    </w:p>
    <w:p>
      <w:pPr>
        <w:spacing w:after="0" w:line="11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patent landscape around its GEM103 product candidate is complex, and Gemini may not be aware of all third-party intellectual property rights potentially relating to its product candidates and technologies.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Moreover, it is possible that Gemini is or may become aware of patents or pending patent applications that Gemini thinks do not relate to its product candidates or that Gemini believes are invalid or unenforceable, but that may nevertheless be interpreted to encompass its product candidates and to be valid and enforceable. As to pending third-party applications, Gemini cannot predict with any certainty which claims will issue, if any, or the scope of such issued claims. If any third party intellectual property claims are asserted against us, even if Gemini believes the claims are without merit, there is no assurance that a court would find in its favor, e.g., on questions of infringement, validity, enforceability or priority. A court of competent jurisdiction could hold that these third-party patents are valid, enforceable and infringed, which could materially and adversely affect Gemini’s ability and the ability of its licensor to commercialize any product candidates Gemini may develop and any other product candidates or technologies covered by the asserted third-party patents. In order to successfully challenge the validity of any such U.S. patent in federal court, Gemini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Gemini or its licensor or other commercialization partners and Gemini were unable to successfully challenge the validity or enforceability of any such asserted patents, then Gemini or its licensor and other commercialization partners may be prevented from commercializing its product candidates, or may be required to pay significant damages, including treble damages and attorneys’ fees if Gemini is found to willfully infringe the asserted patents, or obtain a license to such patents, which may not be available on commercially</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1" w:name="page72"/>
    <w:bookmarkEnd w:id="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reasonable terms, or at all. Even if Gemini were able to obtain a license, it could be non-exclusive, thereby giving its competitors and other third parties access to the same technologies licensed to us, and it could require us to make substantial licensing and royalty payments. Defense of these claims, regardless of their merit, would involve substantial litigation expense and would be a substantial diversion of employee resources from its business. Furthermore, because of the substantial amount of discovery required in connection with intellectual property litigation or administrative proceedings, there is a risk that some of its confidential information could be compromised by disclosure. In addition, any uncertainties resulting from the initiation and continuation of any litigation could have a material adverse effect on its ability to raise additional funds or otherwise have a material adverse effect on its business, results of operations, financial condition and prospects. Any of the foregoing would have a material adverse effect on Gemini’s business, financial condition and operating results.</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may be subject to claims by third parties asserting that its employees or Gemini has misappropriated a third party’s intellectual property, or claiming ownership of what Gemini regards as its own intellectual property.</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Many of Gemini’s employees, including its senior management, were previously employed at other biotechnology or pharmaceutical companies, including its competitors or potential competitors. Some of these employees executed proprietary rights, non-disclosure and non-competition agreements in connection with such previous employment. Gemini may be subject to claims that Gemini or these employees have used or disclosed confidential information or intellectual property, including trade secrets or other proprietary information, of any such employee’s former employer, or that third parties have an interest in its patents as an inventor or co-inventor. Litigation may be necessary to defend against these claims. If Gemini fails in prosecuting or defending any such claims, in addition to paying monetary damages, Gemini may lose valuable intellectual property rights or personnel or sustain other damages. Such intellectual property rights could be awarded to a third party, and Gemini could be required to obtain a license from such third party to commercialize its technology or products. Such a license may not be available on commercially reasonable terms, or at all. Even if Gemini successfully prosecutes or defends against such claims, litigation could result in substantial costs and distract management.</w:t>
      </w:r>
    </w:p>
    <w:p>
      <w:pPr>
        <w:spacing w:after="0" w:line="12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In addition, while it is Gemini’s policy to require its employees and contractors who may be involved in the conception or development of intellectual property to execute agreements assigning such intellectual property to us, Gemini may be unsuccessful in executing such an agreement with each party who, in fact, conceives or develops intellectual property that Gemini regards as its own. The assignment of intellectual property rights may not be self-executing, or the assignment agreements may be breached, and Gemini may be forced to bring claims against third parties, or defend claims that they may bring against us, to determine the ownership of what Gemini regards as its intellectual property. Such claims could have a material adverse effect on its business, financial condition, results of operations and prospects.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Gemini’s inability to protect its confidential information and trade secrets would harm its business and competitive position.</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addition to seeking patents for some of its technology and products, in its activities Gemini also relies substantially on trade secrets, including unpatented know-how, technology and other proprietary materials and information, to maintain its competitive position. Gemini seeks to protect these trade secrets, in part, by entering into non-disclosure and confidentiality agreements with parties who have access to them, such as its employees, corporate collaborators, outside scientific collaborators, contract manufacturers, consultants, advisors and other third parties. Gemini also enters into confidentiality and invention or patent assignment agreements with its employees and consultants. However, these steps may be inadequate, Gemini may fail to enter into agreements with all such parties or any of these parties may breach the agreements and disclose its proprietary information, and there may be no adequate remedy available for such breach of an agreement. Gemini cannot assure you that its proprietary information will not be disclosed or that Gemini can meaningfully protect its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its trade secrets, Gemini would have no right to prevent such competitor from using that technology or information to compete with us, which could harm its competitive position.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its intellectual property rights is uncertain because intellectual property rights have limitations and may not adequately protect Gemini’s business or permit Gemini to maintain our competitive advantage. For example:</w:t>
      </w:r>
    </w:p>
    <w:p>
      <w:pPr>
        <w:spacing w:after="0" w:line="108" w:lineRule="exact"/>
        <w:rPr>
          <w:sz w:val="20"/>
          <w:szCs w:val="20"/>
          <w:color w:val="auto"/>
        </w:rPr>
      </w:pPr>
    </w:p>
    <w:p>
      <w:pPr>
        <w:jc w:val="both"/>
        <w:ind w:left="1320" w:right="459" w:hanging="434"/>
        <w:spacing w:after="0" w:line="266" w:lineRule="auto"/>
        <w:tabs>
          <w:tab w:leader="none" w:pos="13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product candidates Gemini may develop or utilize similar technology but that are not covered by the claims of the patents that Gemini licenses or may own in the future;</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7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or its current or future collaborators, might not have been the first to make the inventions covered by the issued patents and pending patent applications that Gemini licenses or may own in the future;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or its current or future collaborators, might not have been the first to file patent applications covering certain of its or their inventions;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6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its technologies without infringing its owned or licensed intellectual property rights;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Gemini’s pending patent applications or those that it may own in the future will not lead to issued patents;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Gemini holds rights to may be held invalid or unenforceable, including as a result of legal challenges by its competitors;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6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competitors might conduct research and development activities in countries where Gemini does not have patent rights and then use the information learned from such activities to develop competitive products for sale in its major commercial markets;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not develop additional proprietary technologies that are patentable;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its business;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choose not to file a patent application in order to maintain certain trade secrets or know-how, and a third party may subsequently file a patent covering such intellectual property.</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its business, financial condition, results of operations and prospects.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Patents that ultimately issue that cover its product candidates could be found invalid or unenforceable if challenged in court or the USPTO.</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If Gemini or its licensing partner initiate legal proceedings against a third party to enforce a patent, if obtained, covering its product candidates, the defendant could counterclaim that the patent covering its product candidates,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equivalent proceedings in foreign jurisdictions (e.g., opposition proceedings). These types of proceedings could result in revocation or amendment to its patents such that they no longer cover its product candidates. The outcome for any particular patent following legal assertions of invalidity and unenforceability is unpredictable. With respect to the validity question, for example, Gemini cannot be certain that there is no invalidating prior art, of which Gemini, its patent counsel and the patent examiner were unaware during prosecution. If a defendant were to prevail on a legal assertion of invalidity and/or unenforceability, or if Gemini is otherwise unable to adequately protect its rights, Gemini would lose at least part, and perhaps all, of the patent protection on its product candidates. A loss of patent protection for its product candidates could have a material adverse impact on its ability to commercialize or license its technology and product candidates and, resultantly, on its business, financial condition, prospects and results of operations.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its ability to protect its product candidates.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Gemini’s success is heavily dependent on intellectual property, particularly patents. Obtaining and enforcing patents in the biotechnology industry involves technological and legal complexity, and obtaining and enforcing biotechnology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its and its licensor’s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its and its licensor’s ability to obtain new patents or to enforce existing patents and patents Gemini and its licensor may obtain in the future.</w:t>
      </w:r>
    </w:p>
    <w:p>
      <w:pPr>
        <w:spacing w:after="0" w:line="12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Patent reform laws, such as the Leahy-Smith America Invents Act, or the Leahy-Smith Act, as well as changes in how patent laws are interpreted, could increase the uncertainties and costs surrounding the prosecution of its and its licensor’s patent applications and the enforcement or defense of its or its licensor’s issued patents. The Leahy-Smith Act includes a number of significant changes to U.S. patent law. These include provisions that affect the filing and prosecution strategies associated with patent applications, including a change from a “first-to-invent” to a “first-inventor-to-file”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has on the operation of its business. However, the Leahy-Smith Act and its implementation could increase the uncertainties and costs surrounding the prosecution of its or its licensor’s patent applications and the enforcement or defense of its or its licensor’s issued patents, all of which could has a material adverse effect on its business, financial condition and results of operations.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6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Reliance on Third Parties”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will rely on third parties to conduct its clinical trials. If these third parties do not successfully carry out their contractual duties or meet expected deadlines or comply with regulatory requirements, Gemini may not be able to obtain regulatory approval of or commercialize any potential product candidates.</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will depend upon third parties, including independent investigators, to conduct its clinical trials under agreements with universities, medical institutions, CROs, strategic partners and others. Gemini expects to has to negotiate budgets and contracts with CROs and trial sites, which may result in delays to its development timelines and increased costs.</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will rely heavily on third parties over the course of its clinical trials, and, as a result, will have limited control over the clinical investigators and limited visibility into their day-to-day activities, including with respect to their compliance with the approved clinical protocol. Nevertheless, its reliance on third parties does not relieve Gemini of its regulatory responsibilities and it will be responsible for ensuring that each of its trials is conducted in accordance with the applicable protocol, legal and regulatory requirements and scientific standards. Gemini and these third parties are required to comply with good clinical practice, or GCP, requirements, which are regulations and guidelines enforced by the FDA and applicable foreign regulatory authorities for product candidates in clinical development. Regulatory authorities enforce these GCP requirements through periodic inspections of trial sponsors, clinical investigators and trial sites. If Gemini or any of these third parties fail to comply with applicable GCP requirements, the clinical data generated in its clinical trials may be deemed unreliable and the FDA or applicable foreign regulatory authorities may require us to suspend or terminate these trials or perform additional nonclinical studies or clinical trials before</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4" w:name="page75"/>
    <w:bookmarkEnd w:id="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approving its marketing applications. Gemini cannot be certain that, upon inspection, regulatory authorities will determine that any of its clinical trials comply with the GCP requirements. In addition, its clinical trials must be conducted with products produced under cGMP requirements and may require a large number of patients. Its failure or any failure by these third parties to comply with these applicable regulations or to recruit a sufficient number of patients may require us to repeat clinical trials, which would delay the regulatory approval process. Moreover, its business may be implicated if any of these third parties violates federal or state fraud and abuse or false claims laws and regulations or healthcare privacy and security laws.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third parties who may conduct its future clinical trials will not be its employees and, except for remedies that may be available to us under its agreements with those third parties, Gemini cannot control whether or not they devote sufficient time and resources to its ongoing nonclinical and clinical programs. These third parties may also have relationships with other commercial entities, including Gemini’s competitors, for whom they may also be conducting clinical trials or other product development activities, which could affect their performance on its behalf. If these third parties do not successfully carry out their contractual duties or obligations or meet expected deadlines, if they need to be replaced or if the quality or accuracy of the clinical data they obtain is compromised due to the failure to adhere to its clinical protocols or regulatory requirements or for other reasons, its clinical trials may be extended, delayed or terminated and Gemini may not be able to complete development of, obtain regulatory approval of or successfully commercialize its product candidates in a timely manner or at all. As a result, its financial results and the commercial prospects for its product candidates would be harmed, its costs could increase and its ability to generate revenue could be delayed.</w:t>
      </w:r>
    </w:p>
    <w:p>
      <w:pPr>
        <w:spacing w:after="0" w:line="12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any of its relationships with these third-party CROs or others terminate, Gemini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its ability to meet its desired clinical development timelines. Though Gemini carefully manages its relationships with its CROs, there can be no assurance that Gemini will not encounter similar challenges or delays in the future or that these delays or challenges will not have a material adverse impact on its business, financial condition and prospects.</w:t>
      </w:r>
    </w:p>
    <w:p>
      <w:pPr>
        <w:spacing w:after="0" w:line="11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CROs do not successfully carry out their contractual duties or obligations or meet expected deadlines or if the quality or accuracy of the clinical data they obtain is compromised due to the failure (including by clinical sites or investigators) to adhere to its clinical protocols, regulatory requirements or for other reasons, its clinical trials may be extended, delayed or terminated and Gemini may not be able to obtain regulatory approval for or successfully commercialize its product candidates. As a result, its results of operations and the commercial prospects for its product candidates would be harmed, its costs could increase substantially and its ability to generate revenues could be delayed significantly.</w:t>
      </w:r>
    </w:p>
    <w:p>
      <w:pPr>
        <w:spacing w:after="0" w:line="18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Gemini contracts with third parties for the manufacture of its product candidates for nonclinical testing and expects to continue to do so for clinical trials and for commercialization. This reliance on third parties increases the risk that Gemini will not have sufficient quantities of its product candidates or products, if approved, or that such supply will not be available to us at an acceptable cost, which could delay, prevent or impair its development or commercialization efforts.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does not have any manufacturing facilities. Gemini currently relies, and expect to continue to rely, on third-party manufacturers for the manufacture of its product candidates for nonclinical and clinical testing and for commercial supply of any of these product candidates for which Gemini obtains marketing approval. Reliance on third-party manufacturers may expose us to different risks than if Gemini were to manufacture product candidates itself. Any disruption in supply from any supplier or manufacturing location, including on account of the COVID-19 pandemic, could lead to supply delays or interruptions which would damage its business, financial condition, results of operations and prospects. To the extent any issues arise with its third-party manufacturers, Gemini may be unable to establish any agreements with any other third-party manufacturers or to do so on acceptable terms. Even if Gemini is able to establish agreements with third-party manufacturers, reliance on third-party manufacturers entails additional risks, including:</w:t>
      </w:r>
    </w:p>
    <w:p>
      <w:pPr>
        <w:spacing w:after="0" w:line="127" w:lineRule="exact"/>
        <w:rPr>
          <w:sz w:val="20"/>
          <w:szCs w:val="20"/>
          <w:color w:val="auto"/>
        </w:rPr>
      </w:pPr>
    </w:p>
    <w:p>
      <w:pPr>
        <w:ind w:left="1300" w:hanging="41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72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and safety and pharmacovigilance reporting.</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5" w:name="page76"/>
    <w:bookmarkEnd w:id="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applicable foreign regulatory requirements. Its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its product candidates and harm its business and results of operations.</w:t>
      </w:r>
    </w:p>
    <w:p>
      <w:pPr>
        <w:spacing w:after="0" w:line="12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Any product candidates that Gemini may develop may compete with other product candidates and products for access to manufacturing facilities. There are a limited number of manufacturers that operate under cGMP regulations and that might be capable of manufacturing for us.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performance failure on the part of its existing or future manufacturers could delay clinical development or marketing approval. Gemini does not currently have arrangements in place for redundant supply for bulk drug substances. If any one of its current contract manufacturers cannot perform as agreed, Gemini may be required to replace that manufacturer. Although Gemini believes that there are several potential alternative manufacturers who could manufacture its product candidates, Gemini may incur added costs and delays in identifying and qualifying any such replacement.</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Its current and anticipated future dependence upon others for the manufacture of its product candidates may adversely affect its future profit margins and its ability to commercialize any product candidates that receive marketing approval on a timely and competitive basis.</w:t>
      </w:r>
    </w:p>
    <w:p>
      <w:pPr>
        <w:spacing w:after="0" w:line="172"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Gemini’s product candidates is complex and Gemini may encounter difficulties in production. If Gemini or any of its third-party manufacturers encounter such difficulties, or fails to meet rigorously enforced regulatory standards, its ability to provide supply of its product candidates for clinical trials or its products for patients, if approved, could be delayed or stopped, or Gemini may be unable to maintain a commercially viable cost structure.</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processes involved in manufacturing its product candidates are complex, expensive, highly-regulated, and subject to multiple risks. Further, as product candidates are developed through nonclinical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its product candidates to perform differently and affect the results of planned clinical trials or other future clinical trials.</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addition, the manufacturing process for any products that Gemini may develop is subject to FDA and other applicable foreign regulatory authority approval processes and continuous oversight, and Gemini will need to contract with manufacturers who can meet all applicable FDA and applicable foreign regulatory authority requirements, including, for example, complying with cGMPs, on an ongoing basis. If Gemini or its third-party manufacturers are unable to reliably produce products to specifications acceptable to the FDA or other regulatory authorities, Gemini may not obtain or maintain the approvals Gemini needs to commercialize such products. Even if Gemini obtains regulatory approval for any of its product candidates, there is no assurance that either Gemini or its contract manufacturers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or comparability nonclinical or clinical trials or the repetition of one or more clinical trials, increase clinical study costs, delay approval of its product candidates, impair commercialization efforts, increase its cost of goods, and has an adverse effect on its business, financial condition, results of operations, and growth prospects.</w:t>
      </w:r>
    </w:p>
    <w:p>
      <w:pPr>
        <w:spacing w:after="0" w:line="19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may seek to establish collaborations, and, if Gemini is not able to establish them on commercially reasonable terms, Gemini may have to alter its development and commercialization plans.</w:t>
      </w:r>
    </w:p>
    <w:p>
      <w:pPr>
        <w:spacing w:after="0" w:line="7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may pursue collaborations in order to develop and commercialize GEM103 and other product candidates. Gemini face significant competition in seeking appropriate collaborators. Whether Gemini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applicable foreign regulatory authorities, the potential market for the subject product candidate, the costs and</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6" w:name="page77"/>
    <w:bookmarkEnd w:id="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complexities of manufacturing and delivering such product candidate to patients, the potential of competing products and the existence of uncertainty with respect to its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its product candidates.</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may not be able to negotiate collaborations on a timely basis, on acceptable terms, or at all. If Gemini is unable to do so, Gemini may have to curtail the development of the product candidate for which Gemini is seeking to collaborate,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Gemini elects to increase its expenditures to fund development or commercialization activities on its own, Gemini may need to obtain additional capital, which may not be available to us on acceptable terms, or at all. If Gemini does not have sufficient funds, Gemini may not be able to further develop its product candidates or bring them to market and generate product revenue.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46"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Commercialization”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Gemini commercializes its product candidates, these products may become subject to unfavorable pricing regulations, third-party reimbursement practices or healthcare reform initiatives, which could harm its business.</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Gemini might obtain marketing approval for a product in a particular country, but then be subject to price regulations that delay or limit its commercial launch of the product, possibly for lengthy time periods, which could negatively impact the revenue Gemini generates from the sale of the product in that particular country. Adverse pricing limitations may hinder its ability to recoup its investment in one or more product candidates, even if its product candidates obtain marketing approval.</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Its ability to commercialize any products successfully also will depend in part on the extent to which coverage and adequate reimbursement for these products and related treatments will be available from third-party payors such as government health administration authorities, private health insurers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Gemini cannot be sure that coverage and reimbursement will be available for any product that Gemini commercializes and, if reimbursement is available, what the level of reimbursement will be. Coverage and reimbursement may impact the demand for, or the price of, any product candidate for which Gemini obtains marketing approval, if any. If coverage and reimbursement are not available or reimbursement is available only to limited levels, Gemini may not be able to successfully commercialize any product candidate for which marketing approval is obtained, if any.</w:t>
      </w:r>
    </w:p>
    <w:p>
      <w:pPr>
        <w:spacing w:after="0" w:line="10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biologics, and coverage may be more limited than the purposes for which the product is approved by the FDA or applicable foreign regulatory authorities. Moreover, eligibility for coverage and reimbursement does not imply that a drug will be paid</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7" w:name="page78"/>
    <w:bookmarkEnd w:id="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for in all cases or at a rate that covers its costs, including research, development, manufacture, sale and distribution. Interim reimbursement levels for new drugs and biologics, if applicable, may also not be sufficient to cover its costs and may only be temporary.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drugs and biologics from countries where they may be sold at lower prices than in the United States. Its inability to promptly obtain coverage and profitable reimbursement rates third-party payors for any approved products that Gemini develops could have a material adverse effect on its operating results, its ability to raise capital needed to commercialize products and its overall financial condition.</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Gemini is unable to establish sales and marketing capabilities or enter into agreements with third parties to sell and market any product candidates Gemini may develop, Gemini may not be successful in commercializing those product candidates if and when they are approved.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does not currently have an infrastructure for the sales, marketing, and distribution of pharmaceutical products. In order to market its product candidates, if approved by the FDA or any other regulatory body, Gemini must build its sales, marketing, managerial, and other non-technical capabilities, or make arrangements with third parties to perform these services. There are risks involved with both establishing its own commercial capabilities and entering into arrangements with third parties to perform these services. For example, recruiting and training a sales force or reimbursement specialists is expensive and time-consuming and could delay any product launch. If the commercial launch of a product candidate for which Gemini recruits a sales force and establishes marketing and other commercialization capabilities is delayed or does not occur for any reason, Gemini would have prematurely or unnecessarily incurred these commercialization expenses. This may be costly, and its investment would be lost if Gemini cannot retain or reposition its commercialization personnel.</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Gemini enter into arrangements with third parties to perform sales, marketing, commercial support, and distribution services, its product revenue or the profitability of product revenue may be lower than if Gemini were to market and sell any products Gemini may develop itself. In addition, Gemini may not be successful in entering into arrangements with third parties to commercialize its product candidates or may be unable to do so on terms that are favorable to us. Gemini may have little control over such third parties, and any of them may fail to devote the necessary resources and attention to sell and market its products effectively and they could expose its company to regulatory enforcement and legal risk in the execution of their sales and commercialization activities. If Gemini does not establish commercialization capabilities successfully, either on its own or in collaboration with third parties, Gemini will not be successful in commercializing its product candidates if approved.</w:t>
      </w:r>
    </w:p>
    <w:p>
      <w:pPr>
        <w:spacing w:after="0" w:line="113"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Gemini is unable to establish adequate sales, marketing, and distribution capabilities, whether independently or with third parties, or if Gemini is unable to do so on commercially reasonable terms, its business, results of operations, financial condition, and prospects will be materially adversely affected.</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Gemini’s product candidates may not achieve adequate market acceptance among physicians, patients, third-party payors and others in the medical community necessary for commercial success.</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Even if Gemini’s product candidates receive regulatory approval, they may not gain adequate market acceptance among physicians, patients, third-party payors, pharmaceutical companies and others in the medical community. Demonstrating the safety and efficacy of its product candidates and obtaining regulatory approvals will not guarantee future revenue. Its commercial success also depends on coverage and adequate reimbursement of its product candidates by third-party payors, including government payors and private insurers, which may be difficult or time-consuming to obtain, may be limited in scope and may not be obtained in all jurisdictions in which Gemini may seek to market its products. Third-party payors closely examine medical products to determine whether they should be covered by reimbursement and, if so, the level of reimbursement that will apply. Gemini cannot be certain that third-party payors will sufficiently reimburse sales of its product, or enable us to sell its product at a profitable price. Similar concerns could also limit the reimbursement amounts that health insurers or government agencies in other countries are prepared to pay for its products. In many regions outside the United States where Gemini may pursue regulatory approvals and market its products, the pricing of prescription drugs is controlled by the government or regulatory agencies.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Regulatory agencies in these countries could determine that the pricing for its products should be based on prices of other commercially available products for the same disease, rather than allowing Gemini to market its products at a premium as new drugs. The degree of market acceptance of any of its approved product candidates will depend on a number of factors, including:</w:t>
      </w:r>
    </w:p>
    <w:p>
      <w:pPr>
        <w:spacing w:after="0" w:line="112" w:lineRule="exact"/>
        <w:rPr>
          <w:sz w:val="20"/>
          <w:szCs w:val="20"/>
          <w:color w:val="auto"/>
        </w:rPr>
      </w:pPr>
    </w:p>
    <w:p>
      <w:pPr>
        <w:ind w:left="1300" w:hanging="41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 as demonstrated in clinical trials;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clinics and patients;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8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candidate over alternative treatments, including any similar generic treatments;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third-party payors;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its product candidates.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Gemini cannot predict whether physicians, physicians’ organizations, hospitals, other healthcare providers, government agencies or private insurers will determine that its product is safe, therapeutically effective and cost effective as compared with competing treatments. If any product candidate is approved but does not achieve an adequate level of acceptance by such parties, Gemini may not generate or derive sufficient revenue from that product candidate and may not become or remain profitable.</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Gemini may develop and insurance coverage may not be adequate.</w:t>
      </w:r>
    </w:p>
    <w:p>
      <w:pPr>
        <w:spacing w:after="0" w:line="9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Gemini faces an inherent risk of product liability exposure related to the testing of its product candidates in human clinical trials and will face an even greater risk if Gemini commercialize any resulting products. Product liability claims may be brought against us by subjects enrolled in its clinical trials, patients, their family members, healthcare providers or others using, administering or selling its products. If Gemini cannot successfully defend itself against claims that its product candidates or products that Gemini may develop caused injuries, Gemini could incur substantial liabilities. Regardless of merit or eventual outcome, liability claims may result in:</w:t>
      </w:r>
    </w:p>
    <w:p>
      <w:pPr>
        <w:spacing w:after="0" w:line="121" w:lineRule="exact"/>
        <w:rPr>
          <w:sz w:val="20"/>
          <w:szCs w:val="20"/>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Gemini may develop;</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its reputation and significant negative media attention;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its business operations;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Gemini may develop;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its stock price.</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Its clinical trial liability insurance coverage may not adequately cover all liabilities that Gemini may incur. Gemini may not be able to maintain insurance coverage at a reasonable cost or in an amount adequate to satisfy any liability that may arise. Its inability to obtain product liability insurance at an acceptable cost or to otherwise protect against potential product liability claims could prevent or delay the commercialization of any products or product candidates that Gemini develop. Gemini intend to expand its insurance coverage for products to include the sale of commercial products if Gemini obtains marketing approval for its product candidates in development, but Gemini may be unable to obtain commercially reasonable product liability insurance for any products approved for marketing. Large judgments have been awarded in lawsuits based on drugs that had unanticipated side effects. If Gemini is sued for any injury caused by its products, product candidates or processes, its liability could exceed its product liability insurance coverage and its total assets. Claims against us, regardless of their merit or potential outcome, may also generate negative publicity or hurt our ability to obtain physician adoption of its product or expand its business.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FS Development and the Business Combination</w:t>
      </w:r>
    </w:p>
    <w:p>
      <w:pPr>
        <w:spacing w:after="0" w:line="16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FS Development and Combination” to “we”, “us” and “our” generally refer to FS Development in the present tense or the Combined Entity from and after the Business Combination.</w:t>
      </w:r>
    </w:p>
    <w:p>
      <w:pPr>
        <w:spacing w:after="0" w:line="17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FS Development’s Sponsor, directors and officers have interests in the Business Combination which may be different from or in addition to (and which may conflict with) the interests of its stockholders.</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Development’s Sponsor, officers and directors and their respective affiliates and associates have interests in and arising from the Business Combination that are different from, or in addition to, (and which may conflict with) the interests of FS Development’s public stockholders, which could result in a real or perceived conflict of interest. These interests include, among other things, the interests listed below:</w:t>
      </w:r>
    </w:p>
    <w:p>
      <w:pPr>
        <w:spacing w:after="0" w:line="99" w:lineRule="exact"/>
        <w:rPr>
          <w:sz w:val="20"/>
          <w:szCs w:val="20"/>
          <w:color w:val="auto"/>
        </w:rPr>
      </w:pPr>
    </w:p>
    <w:p>
      <w:pPr>
        <w:jc w:val="both"/>
        <w:ind w:left="1320" w:right="459" w:hanging="434"/>
        <w:spacing w:after="0" w:line="253" w:lineRule="auto"/>
        <w:tabs>
          <w:tab w:leader="none" w:pos="13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complete our initial business combination by August 14, 2022,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Delaware law to provide for claims of creditors and the requirements of other applicable law .</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7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we fail to complete a business combination within the required period. Our Sponsor purchased the Founders Shares prior to the FS Development IPO for an aggregate purchase price of $25,000, and transferred 30,000 Founders Shares to each of Mr. Carey, Dr. Dubin and Dr. Pakianathan.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0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Private Placement Shares at a price of $10.00 per share in a private placement to our Sponsor. If we do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1" w:lineRule="auto"/>
        <w:tabs>
          <w:tab w:leader="none" w:pos="139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and directors will lose their entire investment in us if we do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5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9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stockholders and our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41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us if and to the extent any claims by a vendor for services rendered or products sold to us, or a prospective target business with which we have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the offering against certain liabilities, including liabilities under the Securities Act.</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3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our Sponsor would be entitled to the repayment of any working capital loan and advances that have been made to FS Development and remain outstanding. As of the date of this proxy statement/prospectus, our Sponsor has not made any advances to us for working capital expenses. If we do not complete an initial business combination within the required period, we may use a portion of our working capital held outside the Trust Account to repay the working capital loans, but no proceeds held in the Trust Account would be used to repay the working capital loans.</w:t>
      </w:r>
    </w:p>
    <w:p>
      <w:pPr>
        <w:spacing w:after="0" w:line="119"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we will continue to indemnify our existing directors and officers and will maintain a directors’ and officers’ liability insurance policy.</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7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our Sponsor, our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our Sponsor or certain of our officers and directors to finance transaction costs in connection with an intended initial business combination.</w:t>
      </w:r>
    </w:p>
    <w:p>
      <w:pPr>
        <w:spacing w:after="0" w:line="119"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Business Combination Proposal — Interests of FS Development’s Directors and Officers and Others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for additional information on interests of FS Development’s directors and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These financial interests of the Sponsor as well as FS Development’s directors and officers may have influenced their motivation in identifying and selecting Gemini as a business combination target, and their decision to approve the Business Combination. In considering the recommendations of the Board to vote for the proposals, its stockholders should consider these interests.</w:t>
      </w:r>
    </w:p>
    <w:p>
      <w:pPr>
        <w:spacing w:after="0" w:line="1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Activities taken by FS Development’s affiliates to purchase, directly or indirectly, Public Shares will increase the likelihood of approval of the Business Combination Proposal and the other Proposals and may affect the market price of the FS Development’s securities.</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Development’s Sponsor, directors, officers, advisors or their affiliates may purchase shares in privately negotiated transactions either prior to or following the Closing, although they are under no obligation to do so. None of FS Development’s Sponsor, directors, officers, advisors or their affiliates will make any such purchases when such parties are in possession of any material non-public information not disclosed to the seller or during a restricted period under</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Regulation M under the Exchange Act. Although none of FS Development’s Sponsor, directors, officers, advisors or their affiliates currently anticipate paying any premium purchase price for such Public Shares, in the event such parties do, the payment of a premium may not be in the best interest of those stockholders not receiving any such additional consideration. There is no limit on the number of shares that could be acquired by FS Development’s Sponsor, directors, officers, advisors or their affiliates, or the price such parties may pay, subject to compliance with applicable law and Nasdaq rules.</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such transactions are effected, the consequence could be to cause the Business Combination to be approved in circumstances where such approval could not otherwise be obtained. Purchases of shares by the persons described above would allow them to exert more influence over the approval of the Business Combination Proposal and other proposals and would likely increase the chances that such Proposals would be approved. If the market does not view the Business Combination positively, purchases of Public Shares may have the effect of counteracting the market’s view, which would otherwise be reflected in a decline in the market price of FS Development’s securities. In addition, the termination of the support provided by these purchases may materially adversely affect the market price of FS Development’s securities. In addition, if such purchases are made, the public “float” of FS Development Class A Common Stock and the number of beneficial holders of FS Development Class A Common Stock may be reduced, possibly making it difficult to obtain or maintain the quotation, listing or trading of FS Development Class A Common Stock on a national securities exchange.</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Other than as expressly stated herein, there are no current commitments, plans or intentions to engage in any such transactions and no terms or conditions for any such transaction have been formulated. None of the funds in the Trust Account will be used to purchase shares in such transactions.</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FS Development did not obtain an opinion from an independent investment banking or accounting firm, and consequently, there can be no assurance from an independent source that the price FS Development is paying for is fair to FS Development from a financial point of view.</w:t>
      </w:r>
    </w:p>
    <w:p>
      <w:pPr>
        <w:spacing w:after="0" w:line="9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FS Development is not required to obtain an opinion from an independent investment banking or accounting firm that the price FS Development is paying in connection with the Business Combination is fair to FS Development from a financial point of view. The Board did not obtain a third-party valuation or fairness opinion in connection with its initial determination to approve and recommend the Business Combination. Accordingly, investors will be relying solely on the judgment of the Board in valuing Gemini’s business, and assuming the risk that the Board may not have properly valued the Business Combination.</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Sponsor has agreed to vote in favor of the Business Combination, regardless of how FS Development’s public stockholders vote.</w:t>
      </w:r>
    </w:p>
    <w:p>
      <w:pPr>
        <w:spacing w:after="0" w:line="9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Unlike some other blank check companies in which the initial stockholders agree to vote their Founders Shares in accordance with the majority of the votes cast by the public stockholders in connection with an initial business combination, the holders of the Founders Shares, pursuant to the Parent Support Agreement, have agreed, among other things, to vote their shares in favor of the Business Combination. Our initial stockholders</w:t>
      </w:r>
    </w:p>
    <w:p>
      <w:pPr>
        <w:spacing w:after="0" w:line="3"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own approximately % of our outstanding shares prior to the Business Combination. As a result, FS Development would need only , or approximately %, of the shares of FS Development Common</w:t>
      </w:r>
    </w:p>
    <w:p>
      <w:pPr>
        <w:spacing w:after="0" w:line="1"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Stock to be voted in favor of the Business Combination in order to have the Business Combination approved. Accordingly, it is more likely that the necessary stockholder approval will be received than would be the case if the Sponsor agreed to vote its Founders Shares in accordance with the majority of the votes cast by FS Development’s public stockholders.</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FS Development has no operating history and is subject to a mandatory liquidation and subsequent dissolution requirement. If FS Development is unable to consummate a business combination, including the Business Combination, its public stockholders may be forced to wait more than 24 months before receiving distributions from the Trust Account.</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FS Development is a development stage blank check company, and it has no operating history and is subject to a mandatory liquidation and subsequent dissolution requirement. FS Development has until August 14, 2022 to complete a business combination. FS Development has no obligation to return funds to investors prior to such date unless (i) it consummates a business combination prior thereto or (ii) it seeks to amend its Current Charter prior to consummation of a business combination, and only then in cases where investors have sought to convert or sell their shares to FS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Development. Only after the expiration of this full time period will public stockholders be entitled to distributions from the Trust Account if FS Development is unable to complete a business combination. Accordingly, investors’ funds may be unavailable to them until after such date and to liquidate their investment, public security holders may be forced to sell their Public Shares, potentially at a loss.</w:t>
      </w:r>
    </w:p>
    <w:p>
      <w:pPr>
        <w:spacing w:after="0" w:line="17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the Closing, the Combined Entity’s only significant asset will be ownership of 100% of Gemini and such ownership may not be sufficient to pay dividends or make distributions or loans to enable it to pay any dividends on its Common Stock.</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Following the Closing, the Combined Entity will have no direct operations and no significant assets other than the ownership of 100% of Gemini. The Combined Entity will depend on Gemini for distributions, loans and other payments to generate the funds necessary to meet the Combined Entity’s financial obligations, including expenses related to operating as a publicly traded company, and to pay any dividends with respect to its Common Stock. In addition, there are legal and contractual restrictions in agreements governing current and future indebtedness of Gemini under its loan and security agreement with SVB. The earnings from, or other available assets of, Gemini, may not be sufficient to pay dividends or make distributions or loans to enable the Combined Entity to pay any dividends on its Common Stock.</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Subsequent to the Closing, FS Development may be required to take write-downs or write-offs, restructuring and impairment or other charges that could have a significant negative effect on its financial condition, results of operations and stock price, which could cause you to lose some or all of your investment.</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Although FS Development has conducted due diligence on Gemini, FS Development cannot assure you that this diligence revealed all material issues that may be present in Gemini’s business, that it would be possible to uncover all material issues through a customary amount of due diligence, or that factors outside of FS Development’s and Gemini’s control will not later arise. As a result, FS Development may be forced to later write-down or write-off assets, restructure its operations, or incur impairment or other charges that could result in losses. Even if FS Development’s due diligence successfully identifies certain risks, unexpected risks may arise and previously known risks may materialize in a manner not consistent with FS Development’s preliminary risk analysis. Even though these charges may be non-cash items and may not have an immediate impact on FS Development’s liquidity, the fact that FS Development reports charges of this nature could contribute to negative market perceptions about the Combined Entity’s or FS Development’s securities. In addition, charges of this nature may cause FS Development to be unable to obtain future financing on favorable terms or at all. Accordingly, any FS Development stockholder who chooses to remain a stockholder of the Combined Entity following the Business Combination could suffer a reduction in the value of their shares. Such stockholders are unlikely to have a remedy for such reduction in value unless they are able to successfully claim that the reduction was due to the breach by FS Development’s officers or directors of a duty of care or other fiduciary duty owed to them, or if they are able to successfully bring a private claim under securities laws that the proxy solicitation relating to the Business Combination contained an actionable material misstatement or material omission.</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actual financial position and results of operations may differ materially from the unaudited pro forma condensed combined financial information included in this proxy statement/prospectus may not be indicative of what FS Development’s actual financial position or results of operations would have been.</w:t>
      </w:r>
    </w:p>
    <w:p>
      <w:pPr>
        <w:spacing w:after="0" w:line="9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 this proxy statement/prospectus is presented for illustrative purposes only and is not necessarily indicative of what FS Development’s actual financial position or results of operations would have been had the Business Combination been completed on the dates indicated. See the section 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for more information.</w:t>
      </w:r>
    </w:p>
    <w:p>
      <w:pPr>
        <w:spacing w:after="0" w:line="17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third parties bring claims against FS Development or if FS Development files a bankruptcy petition or an involuntary bankruptcy petition is filed against FS Development that is not dismissed, the proceeds held in trust could be reduced and the per-share redemption price received by stockholders may be less than $10.00 (which was the offering price in our initial public offering).</w:t>
      </w:r>
    </w:p>
    <w:p>
      <w:pPr>
        <w:spacing w:after="0" w:line="11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Development’s placing of funds in trust may not protect those funds from third party claims against FS Development. Although FS Development will seek to have all vendors and service providers (except for our independent registered public accounting firm) FS Development engages and prospective target businesses FS Development negotiates with execute agreements with FS Development waiving any right, title, interest or claim of any kind in or to any monies held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the Trust Account for the benefit of FS Development’s public stockholders, they may not execute such agreements. Furthermore, even if such entities execute such agreements with FS Development, they may seek recourse against the Trust Account. Additionally, a court may not uphold the validity of such agreements. Accordingly, the proceeds held in trust could be subject to claims which could take priority over those of FS Development’s public stockholders.</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Additionally, if FS Development is forced to file a bankruptcy case or an involuntary bankruptcy case is filed against FS Development’s which is not dismissed, the proceeds held in the Trust Account could be subject to applicable bankruptcy law, and may be included in FS Development’s bankruptcy estate and subject to the claims of third parties with priority over the claims of FS Development’s stockholders. To the extent any bankruptcy claims deplete the Trust Account, FS Development may not be able to return to FS Development’s public stockholders at least $10.00 (which was the offering price in our initial public offering). As a result, if any such claims were successfully made against the Trust Account, the funds available for FS Development’s initial business combination, including the Business Combination, and redemptions could be reduced to less than $10.00 per Public Share.</w:t>
      </w:r>
    </w:p>
    <w:p>
      <w:pPr>
        <w:spacing w:after="0" w:line="11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FS Development’s stockholders may be held liable for claims by third parties against FS Development to the extent of distributions received by them.</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Current Charter provides that FS Development will continue in existence only until April 14, 2022. If FS Development has not completed a business combination by such date, FS Development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Delaware law to provide for claims of creditors and the requirements of other applicable law.</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FS Development is forced to file a bankruptcy case or an involuntary bankruptcy case is filed against FS Development which is not dismissed, any distributions received by stockholders could be viewed under applicable debtor/creditor and/or bankruptcy laws as either a “preferential transfer” or a “fraudulent conveyance.” As a result, a bankruptcy court could seek to recover all amounts received by FS Development’s stockholders. Furthermore, because FS Development intends to distribute the proceeds held in the Public Shares to FS Development’s public stockholders promptly after expiration of the time FS Development has to complete an initial business combination, this may be viewed or interpreted as giving preference to FS Development’s public stockholders over any potential creditors with respect to access to or distributions from FS Development’s assets. Furthermore, the Board may be viewed as having breached their fiduciary duties to FS Development’s creditors and/or may have acted in bad faith, and thereby exposing itself and FS Development to claims of punitive damages, by paying public stockholders from the Trust Account prior to addressing the claims of creditors. FS Development cannot assure you that claims will not be brought against it for these reasons.</w:t>
      </w:r>
    </w:p>
    <w:p>
      <w:pPr>
        <w:spacing w:after="0" w:line="183"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FS Development’s ability to successfully effect the Business Combination and to be successful thereafter will be totally dependent upon the efforts of its key personnel, including Gemini’s key personnel, all of whom are expected to join FS Development following the Business Combination. While FS Development intends to closely scrutinize any individuals it engages after the Business Combination, it cannot assure you that its assessment of these individuals will prove to be correct.</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Development’s ability to successfully effect the Business Combination is dependent upon the efforts of FS Development’s key personnel, including key personnel of Gemini. Although FS Development expects all of such key personnel to remain with Gemini following the Business Combination, it is possible that FS Development will lose some key personnel, the loss of which could negatively impact the operations and profitability of the Combined Entity. While FS Development intends to closely scrutinize any individuals it engages after the Business Combination, it cannot assure you that its assessment of these individuals will prove to be correct. These individuals may be unfamiliar with the requirements of operating a public company which could cause FS Development to have to expend time and resources helping them become familiar with such requirements. This could be expensive and time-consuming and could lead to various regulatory issues which may adversely affect its operations. Additionally, FS Development</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cannot assure you that FS Development will be successful in integrating and retaining such key personnel, or in identifying and recruiting additional key individuals FS Development determines may be necessary following the Business Combination.</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market for FS Development’s securities may not continue, which would adversely affect the liquidity and price of its securities.</w:t>
      </w:r>
    </w:p>
    <w:p>
      <w:pPr>
        <w:spacing w:after="0" w:line="91"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Following the Business Combination, the price of FS Development’s securities may fluctuate significantly due to the market’s reaction to the Business Combination and general market and economic conditions. An active trading market for FS Development’s securities following the Business Combination may never develop or, if developed, it may not be sustained. In addition, the price of FS Development’s securities after the Business Combination can vary due to general economic conditions and forecasts, FS Development’s general business condition and the release of FS Development’s financial reports. Additionally, if FS Development’s securities are not listed on, or become delisted from the Nasdaq for any reason, and are quoted on the OTC Bulletin Board, an inter-dealer automated quotation system for equity securities that is not a national securities exchange, the liquidity and price of FS Development’s securities may be more limited than if FS Development were quoted or listed on the NYSE American, LLC, the Nasdaq or another national securities exchange. You may be unable to sell your securities unless a market can be established or sustained.</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FS Development will be able to comply with the continued listing standards of the Nasdaq.</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 Class A Common Stock is expected to be listed on Nasdaq following the Business Combination. FS Development’s continued eligibility for listing may depend on the number of shares that are redeemed. If, after the Business Combination, the Nasdaq delists FS Development’s securities from trading on its exchange for failure to meet the listing standards, FS Development and its stockholders could face significant material adverse consequences including:</w:t>
      </w:r>
    </w:p>
    <w:p>
      <w:pPr>
        <w:spacing w:after="0" w:line="102" w:lineRule="exact"/>
        <w:rPr>
          <w:sz w:val="20"/>
          <w:szCs w:val="20"/>
          <w:color w:val="auto"/>
        </w:rPr>
      </w:pPr>
    </w:p>
    <w:p>
      <w:pPr>
        <w:ind w:left="1300" w:hanging="41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FS Development’s securities;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FS Development Class A Common Stock is a “penny stock” which will require brokers trading in its FS Development Class A Common Stock to adhere to more stringent rules, possibly resulting in a reduced level of trading activity in the secondary trading market for FS Development Class A Common Stock;</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share and</w:t>
      </w:r>
    </w:p>
    <w:p>
      <w:pPr>
        <w:spacing w:after="0" w:line="27" w:lineRule="exact"/>
        <w:rPr>
          <w:sz w:val="20"/>
          <w:szCs w:val="20"/>
          <w:color w:val="auto"/>
        </w:rPr>
      </w:pPr>
    </w:p>
    <w:p>
      <w:pPr>
        <w:jc w:val="both"/>
        <w:ind w:left="460" w:right="459" w:hanging="6"/>
        <w:spacing w:after="0" w:line="251" w:lineRule="auto"/>
        <w:tabs>
          <w:tab w:leader="none" w:pos="7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public share.</w:t>
      </w:r>
    </w:p>
    <w:p>
      <w:pPr>
        <w:spacing w:after="0" w:line="18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Combination’s benefits do not meet the expectations of investors, stockholders or financial analysts, the market price of FS Development’s securities may decline.</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the benefits of the Business Combination do not meet the expectations of investors or securities analysts, the market price of FS Development’s securities prior to the Closing may decline. The market values of FS Development’s securities at the time of the Business Combination may vary significantly from their prices on the date the Merger Agreement was executed, the date of this proxy statement/prospectus, or the date on which FS Development’s stockholders vote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the Business Combination. Because the number of shares to be issued pursuant to the Merger Agreement is fixed and will not be adjusted to reflect any changes in the market price of FS Development Class A Common Stock, the market value of FS Development stock issued in the Business Combination may be higher or lower than the value of these shares on an earlier date.</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following the Business Combination, fluctuations in the price of FS Development’s securities could contribute to the loss of all or part of your investment. Accordingly, the valuation ascribed to Gemini and FS Development Class A Common Stock in the Business Combination may not be indicative of the actual price that will prevail in the trading market following the Business Combination. If an active market for FS Development’s Class A Common Stock develops and continues, the trading price of FS Development’s Class A Common Stock following the Business Combination could be volatile and subject to wide fluctuations in response to various factors, some of which are beyond FS Development’s control. Any of the factors listed below could have a material adverse effect on your investment in FS Development’s Class A Common Stock and FS Development’s Class A Common Stock may trade at prices significantly below the price you paid for them. In such circumstances, the trading price of FS Development’s Class A Common Stock may not recover and may experience a further decline.</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Factors affecting the trading price of the Combined Entity’s securities following the Business Combination may include:</w:t>
      </w:r>
    </w:p>
    <w:p>
      <w:pPr>
        <w:spacing w:after="0" w:line="81" w:lineRule="exact"/>
        <w:rPr>
          <w:sz w:val="20"/>
          <w:szCs w:val="20"/>
          <w:color w:val="auto"/>
        </w:rPr>
      </w:pPr>
    </w:p>
    <w:p>
      <w:pPr>
        <w:ind w:left="1320" w:right="479" w:hanging="434"/>
        <w:spacing w:after="0" w:line="282" w:lineRule="auto"/>
        <w:tabs>
          <w:tab w:leader="none" w:pos="131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the Combined Entity’s quarterly financial results or the quarterly financial results of companies perceived to be similar to the Combined Entity;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the Combined Entity’s operating results;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Entity’s operating results failing to meet the expectation of securities analysts or investors in a particular period;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the Combined Entity or the market in general;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the Combined Entity;</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Entity’s ability to develop product candidates;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0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the Combined Entity’s business, including any changes that affect development of Gemini’s product candidates, including GEM103, Gemini’s lead product candidate;</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the Combined Entity;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Combined Entity’s capital structure, such as future issuances of securities or the incurrence of additional debt;</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the Combined Entity’s securities available for public sale;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board or management;</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FS Development’s directors, executive officers or significant stockholders or the perception that such sales could occur;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the Combined Entity’s securities irrespective of its operating performance. The stock market in general and the Nasdaq in particular have experienced price and volume fluctuations that have often been unrelated or disproportionate to the operating performance of the particular companies affected. The trading prices and valuations of these stocks, and of the Combined Entity’s securities, may not be predictable. A loss of investor confidence in the market for biopharmaceutical stocks or the stocks of other companies which investors perceive to be similar to the Combined Entity could depress the Combined Entity’s stock</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price regardless of the Combined Entity’s business, prospects, financial conditions or results of operations. A decline in the market price of the Combined Entity’s securities also could adversely affect the Combined Entity’s ability to issue additional securities and the Combined Entity’s ability to obtain additional financing in the future.</w:t>
      </w:r>
    </w:p>
    <w:p>
      <w:pPr>
        <w:spacing w:after="0" w:line="176"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Following the Business Combination, if securities or industry analysts do not publish or cease publishing research or reports about the Combined Entity, its business, or its market, or if they change their recommendations regarding the Combined Entity’s securities adversely, the price and trading volume of the Combined Entity’s securities could decline.</w:t>
      </w:r>
    </w:p>
    <w:p>
      <w:pPr>
        <w:spacing w:after="0" w:line="11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trading market for the Combined Entity’s securities will be influenced by the research and reports that industry or securities analysts may publish about FS Development, its business, its market, or its competitors. Securities and industry analysts do not currently, and may never, publish research on FS Development or the Combined Entity. Because the Business Combination will result in Gemini being acquired by a special purpose acquisition company, research coverage from industry analysts may be limited. If no securities or industry analysts commence coverage of the Combined Entity, FS Development’s stock price and trading volume could be negatively impacted. If any of the analysts who may cover the Combined Entity change their recommendation regarding FS Development’s stock adversely, provide more favorable relative recommendations about FS Development’s competitors or publishes inaccurate or unfavorable research about the Combined Entity’s business, the price of the Combined Entity’s securities would likely decline. If any analyst who may cover the Combined Entity were to cease coverage of the Combined Entity or fail to regularly publish reports on it, FS Development could lose visibility in the financial markets, demand for the Combined Entity’s securities could decrease, which could cause its stock price or trading volume to decline.</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sales of shares by existing stockholders and future exercise of registration rights may adversely affect the market price of the Combined Entity’s common stock.</w:t>
      </w:r>
    </w:p>
    <w:p>
      <w:pPr>
        <w:spacing w:after="0" w:line="9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the Combined Entity’s common stock in the public market could occur at any time. If the Combined Entity’s stockholders sell, or the market perceives that the Combined Entity’s stockholders intend to sell, substantial amounts of the Combined Entity’s common stock in the public market, the market price of the Combined Entity’s common stock could decline.</w:t>
      </w:r>
    </w:p>
    <w:p>
      <w:pPr>
        <w:spacing w:after="0" w:line="9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Registration Rights Agreement to be entered into in connection with the Business Combination, certain stockholders of FS Development and Gemini can each demand that the Combined Entity register their registrable securities under certain circumstances and will each also have piggyback registration rights for these securities. In addition, following the Closing,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the Combined Entity’s securities.</w:t>
      </w:r>
    </w:p>
    <w:p>
      <w:pPr>
        <w:spacing w:after="0" w:line="18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FS Development’s public stockholders will experience immediate dilution as a consequence of, among other transactions, the issuance of FS Development Class A Common Stock as consideration in the Business Combination and the PIPE Investment. Having a minority share position may reduce the influence that FS Development’s current stockholders have on the management of the Combined Entity.</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It is anticipated that, upon the Closing,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ownership percentage with respect to the Combined Entity following the Business Combination does not take into account the redemption of any shares by FS Development’s public stockholders. If the actual facts are different than these assumptions (which they are likely to be), the percentage ownership retained by FS Development’s existing stockholders in the Combined Entity will be different.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Entity expects to incur significant additional costs as a result of being a public company, which may adversely affect its operating results and financial condition.</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Combined Entity expects to incur costs associated with corporate governance requirements, including requirements under the Sarbanes-Oxley Act of 2002, or the Sarbanes-Oxley Act, as well as rules implemented by the Dodd-Frank Wall Street Reform and Consumer Protection Act of 2010, or the Dodd-Frank Act, the SEC and Nasdaq. Its management and other personnel will need to devote a substantial amount of time to these compliance initiatives. Moreover, the Combined Entity expects these rules and regulations are expected to increase its accounting, legal and financial compliance costs and make some activities more time-consuming and costly. In addition, the Combined Entity will incur additional costs associated with its public company reporting requirements and the Combined Entity expects those costs to increase in the future. For example, the Combined Entity will be required to devote significant resources to complete the assessment and documentation of its internal control system and financial process under Section 404, including an assessment of the design of its information systems associated with its internal controls.</w:t>
      </w:r>
    </w:p>
    <w:p>
      <w:pPr>
        <w:spacing w:after="0" w:line="12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date, the Combined Entity has not conducted a review of its internal control for the purpose of providing the reports required by these rules. During its review and testing, the Combined Entity may identify deficiencies and be unable to remediate them before the Combined Entity must provide the required reports. Furthermore, if the Combined Entity fails to remediate its existing material weakness in its internal control over financial reporting or if new material weaknesses are identified or arise in the future, the Combined Entity may not detect errors on a timely basis and its consolidated financial statements may be materially misstated. the Combined Entity or its independent registered public accounting firm may not be able to conclude on an ongoing basis that the Combined Entity has effective internal control over financial reporting, which could harm its operating results, cause investors to lose confidence in its reported financial information and cause the trading price of its stock to fall. In addition, as a public company the Combined Entity will be required to timely file accurate quarterly and annual reports with the SEC under the Exchange Act. Any failure to report its financial results on an accurate and timely basis could result in sanctions, lawsuits, delisting of its shares from Nasdaq or other adverse consequences. The Combined Entity will incur significant costs to remediate any material weaknesses the Combined Entity identifies through these efforts. The increased costs will increase its net loss and may require us to reduce costs in other areas of its business or increase the prices of its products or services. The Combined Entity also expects these rules and regulations to make it more expensive for us to maintain directors’ and officers’ liability insurance and the Combined Entity may be required to accept reduced policy limits and coverage or incur substantially higher costs to obtain the same or similar coverage. As a result, it may be more difficult for the Combined Entity to attract and retain qualified persons to serve on its board of directors, its board committees, or as executive officers. The Combined Entity cannot predict or estimate the amount of additional costs the Combined Entity may incur or the timing of such costs.</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New laws and regulations, as well as changes to existing laws and regulations affecting public companies, including the provisions of the Sarbanes-Oxley Act, the Dodd-Frank Act and rules adopted by the SEC and Nasdaq, would likely result in increased costs as the Combined Entity responds to their requirements, which may adversely affect its operating results and financial condition.</w:t>
      </w:r>
    </w:p>
    <w:p>
      <w:pPr>
        <w:spacing w:after="0" w:line="9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the Proposed Charter and the Amended By-laws, as well as provisions of Delaware law, could impair a takeover attempt.</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Proposed Charter will contain provisions that may discourage unsolicited takeover proposals that stockholders may consider to be in their best interests. FS Development is also subject to anti-takeover provisions under Delaware law, which could discourage, delay, defer or prevent a merger, tender offer, proxy contest or other change of control transaction that a stockholder might consider in its best interest, including those attempts that might result in a premium over the market price for the shares of common stock held by the Combined Entity’s stockholders. These provisions provide for, among other things:</w:t>
      </w:r>
    </w:p>
    <w:p>
      <w:pPr>
        <w:spacing w:after="0" w:line="93" w:lineRule="exact"/>
        <w:rPr>
          <w:sz w:val="20"/>
          <w:szCs w:val="20"/>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with a three-year staggered term;</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Combined Entity’s board of directors to issue one or more series of “blank check” preferred stock;</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3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the Combined Entity’s annual meetings; and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6" w:lineRule="auto"/>
        <w:tabs>
          <w:tab w:leader="none" w:pos="133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certain provisions of the organizational documents only by the affirmative vote of at least two-thirds of the Combined Entity’s then-outstanding shares of capital stock entitled to vote generally at an election of directors.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These anti-takeover provisions as well as certain provisions of Delaware law could make it more difficult for a third party to acquire the Combined Entity, even if the third party’s offer may be considered beneficial by many of the Combined Entity’s stockholders. As a result, the Combined Entity’s stockholders may be limited in their ability to obtain a premium for their shares. If prospective takeovers are not consummated for any reason, the Combined Entity may experience negative reactions from the financial markets, including negative impacts on the price of the Combined Entity common stock. These provisions could also discourage proxy contests and make it more difficult for the Combined Entity’s stockholders to elect directors of their choosing and to cause the Combined Entity to take other corporate actions that the Combined Entity’s stockholders desire. For more information, see “Charter Amendment Proposal.”</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Combination is subject to conditions, including certain conditions that may not be satisfied on a timely basis, if at all.</w:t>
      </w:r>
    </w:p>
    <w:p>
      <w:pPr>
        <w:spacing w:after="0" w:line="9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completion of the Business Combination is subject to a number of conditions. The completion of the Business Combination is not assured and is subject to risks, including the risk that approval of the Business Combination by FS Development stockholders is not obtained or that there are not sufficient funds in the Trust Account, in each case subject to certain terms specified in the Merger Agreement (as described under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The Merger Agreement — Conditions to Closing</w:t>
      </w:r>
      <w:r>
        <w:rPr>
          <w:rFonts w:ascii="Times New Roman" w:cs="Times New Roman" w:eastAsia="Times New Roman" w:hAnsi="Times New Roman"/>
          <w:sz w:val="18"/>
          <w:szCs w:val="18"/>
          <w:color w:val="auto"/>
        </w:rPr>
        <w:t>”), or that other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are not satisfied. If FS Development does not complete the Business Combination, it could be subject to several risks, including:</w:t>
      </w:r>
    </w:p>
    <w:p>
      <w:pPr>
        <w:spacing w:after="0" w:line="108" w:lineRule="exact"/>
        <w:rPr>
          <w:sz w:val="20"/>
          <w:szCs w:val="20"/>
          <w:color w:val="auto"/>
        </w:rPr>
      </w:pPr>
    </w:p>
    <w:p>
      <w:pPr>
        <w:ind w:left="1320" w:right="479" w:hanging="434"/>
        <w:spacing w:after="0" w:line="282" w:lineRule="auto"/>
        <w:tabs>
          <w:tab w:leader="none" w:pos="136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may be liable for damages to one another under the terms and conditions of the Merger Agreement;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reactions from the financial markets, including declines in the price of FS Development’s Class A Common Stock due to the fact that current prices may reflect a market assumption that the Business Combination will be completed;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8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attention of FS Development’s management will have been diverted to the Business Combination rather than the pursuit of other opportunities in respect of an initial business combination.</w:t>
      </w:r>
    </w:p>
    <w:p>
      <w:pPr>
        <w:spacing w:after="0" w:line="93"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color w:val="auto"/>
        </w:rPr>
        <w:t>For more information about the closing conditions to the Business Combination, see the section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The Merger Agreement — Conditions to Closing</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FS Development or Gemini may waive one or more of the closing conditions without re-soliciting stockholder approval.</w:t>
      </w:r>
    </w:p>
    <w:p>
      <w:pPr>
        <w:spacing w:after="0" w:line="9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Certain conditions to FS Development’s or Gemini’s obligations to complete the Business Combination may be waived, in whole or in part, to the extent legally allowed, either unilaterally or by agreement of FS Development and Gemini. In the event of a waiver of a condition, the Board will evaluate the materiality of any such waiver to determine whether amendment of this proxy statement/prospectus and re-solicitation of proxies is necessary. In the event that the Board determines any such waiver is not significant enough to require re-solicitation of its stockholders, it will have the discretion to complete the Business Combination without seeking further stockholder approval.</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For more information about the closing conditions to the Business Combination, see the section titled “The Business Combination Proposal — The Merger Agreement — Conditions to Closing.”</w:t>
      </w:r>
    </w:p>
    <w:p>
      <w:pPr>
        <w:spacing w:after="0" w:line="158"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Amended By-laws will provide that the Court of Chancery of the State of Delaware and the federal district courts of the District of Massachusetts will be the exclusive forums for substantially all disputes between the Combined Entity and its stockholders, which could limit the Combined Entity’s stockholders’ ability to obtain a favorable judicial forum for disputes with the Combined Entity or its directors, officers, or employees.</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Amended By-laws will provide that the Court of Chancery of the State of Delaware is the exclusive forum for:</w:t>
      </w:r>
    </w:p>
    <w:p>
      <w:pPr>
        <w:spacing w:after="0" w:line="94" w:lineRule="exact"/>
        <w:rPr>
          <w:sz w:val="20"/>
          <w:szCs w:val="20"/>
          <w:color w:val="auto"/>
        </w:rPr>
      </w:pPr>
    </w:p>
    <w:p>
      <w:pPr>
        <w:ind w:left="1300" w:hanging="41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its behalf;</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51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Combined Entity arising under the Delaware General Corporation Law, the Proposed Charter, or the Amended By-laws;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8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the Proposed Charter or the Amended By-laws;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3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Combined Entity that is governed by the internal-affairs doctrine.</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This exclusive-forum provision would not apply to suits brought to enforce a duty or liability created by the Exchange Act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Amended By-laws provides that the federal district courts of the District of Massachusetts will be the exclusive forum for resolving any complaint asserting a cause of action arising under the Securities Act.</w:t>
      </w:r>
    </w:p>
    <w:p>
      <w:pPr>
        <w:spacing w:after="0" w:line="121"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the Combined Entity or its directors, officers, or other employees, which may discourage lawsuits against the Combined Entity and its directors, officers, and other employees. If a court were to find either exclusive-forum provision in the Amended By-laws to be inapplicable or unenforceable in an action, it may incur additional costs associated with resolving the dispute in other jurisdictions, which could harm the Combined Entity’s business.</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 does not qualify as a tax-free reorganization under Section 368(a) of the Code, Gemini Equityholders may incur a substantially greater U.S. federal income tax liability as a result of the Business Combination.</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 and Gemini intend for the Business Combination to be treated for U.S. federal income tax purposes as a reorganization within the meaning of Section 368(a) of the Code. However, neither FS Development nor Gemini has requested, or intends to request, an opinion of tax counsel or a ruling from the Internal Revenue Service, or IRS, with respect to the tax consequences of the Business Combination and there can be no assurance that the companies’ position would be sustained by a court if challenged by the IRS. Accordingly, if the IRS or a court determines that the Business Combination does not qualify as a reorganization under Section 368(a) of the Code and is therefore fully taxable for U.S. federal income tax purposes, Gemini Equityholders generally would recognize taxable gain or loss on their receipt of Merger Consideration in connection with the Business Combination. For a more complete discussion of U.S. federal income tax consequences of the Business Combination, see the section titled “</w:t>
      </w:r>
      <w:r>
        <w:rPr>
          <w:rFonts w:ascii="Times New Roman" w:cs="Times New Roman" w:eastAsia="Times New Roman" w:hAnsi="Times New Roman"/>
          <w:sz w:val="18"/>
          <w:szCs w:val="18"/>
          <w:i w:val="1"/>
          <w:iCs w:val="1"/>
          <w:color w:val="auto"/>
        </w:rPr>
        <w:t>Certain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of the Business Combination to Gemini Equityholders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Redemption</w:t>
      </w:r>
    </w:p>
    <w:p>
      <w:pPr>
        <w:spacing w:after="0" w:line="146"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the Redemption” to “we”, “us” and “our” generally refer to FS Development in the present tense or the Combined Entity from and after the Business Combination.</w:t>
      </w:r>
    </w:p>
    <w:p>
      <w:pPr>
        <w:spacing w:after="0" w:line="17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you or a “group” of stockholders of which you are a part are deemed to hold an aggregate of 20.0% or more of FS Development Class A Common Stock issued in the FS Development IPO, you (or, if a member of such a group, all of the members of such group in the aggregate) will lose the ability to redeem all such shares of 20.0% or more of FS Development Class A Common Stock issued in the FS Development IPO.</w:t>
      </w:r>
    </w:p>
    <w:p>
      <w:pPr>
        <w:spacing w:after="0" w:line="11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public stockholder, together with any of his, her or its affiliates or any other person with whom it is acting in concert or as a “group” (as defined under Section 13 of the Exchange Act), will be restricted from redeeming in the aggregate his, her or its shares or, if part of such a group, the group’s shares, of 20% or more of the shares of FS Development Class A Common Stock issued in the FS Development IPO. FS Development refers to such shares in excess of an aggregation of 20% or more of the shares issued in the FS Development IPO as “Unredeemable Shares.” In order to determine whether a stockholder is acting in concert or as a group with another stockholder, FS Development will require each public stockholder seeking to exercise redemption rights to certify to FS Development whether such stockholder is acting in concert or as a group with any other stockholder. Such certifications, together with other public information relating to stock ownership available to FS Development at that time, such as Section 13D, Section 13G and Section 16 filings under the Exchange Act, will be the sole basis on which FS Development makes the above-referenced determination. Your inability to redeem any Unredeemable Shares will reduce your influence over FS Development’s ability to</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0" w:name="page91"/>
    <w:bookmarkEnd w:id="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consummate the Business Combination and you could suffer a material loss on your investment in FS Development if you sell Unredeemable Shares in open market transactions. Additionally, you will not receive redemption distributions with respect to the Unredeemable Shares if FS Development consummates the Business Combination. As a result, in order to dispose of such shares, you would be required to sell your stock in open market transactions, potentially at a loss. Notwithstanding the foregoing, stockholders may challenge FS Development’s determination as to whether a stockholder is acting in concert or as a group with another stockholder in a court of competent jurisdiction.</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a stockholder’s decision whether to redeem their shares for a pro rata portion of the Trust Account will put the stockholder in a better future economic position.</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this Business Combination, may cause an increase in FS Development’s share price, and may result in a lower value realized now for a stockholder redeeming their shares than a stockholder of FS Development might realize in the future. Similarly, if a stockholder does not redeem their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 A stockholder should consult the stockholder’s own tax and/or financial advisor for assistance on how this may affect his, her or its individual situation.</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FS Development’s stockholders fail to comply with the redemption requirements specified in this proxy statement/prospectus, they will not be entitled to redeem their shares of FS Development Class A Common Stock for a pro rata portion of the funds held in the Trust Account.</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Holders of Public Shares are required to submit a request in writing and deliver their stock (either physically or electronically) to FS Development’s transfer agent at least two (2) business days prior to the Special Meeting in order to exercise their rights to redeem their shares for a pro rata portion of the Trust Account. Stockholders electing to redeem their shares will receive their pro rata portion of the aggregate amount then on deposit in the Trust Account, including interest earned on the funds held in the Trust Account and not previously released to it to pay the Company’s franchise and income taxes, calculated as of two (2) business days prior to the anticipated Closing. See the section titled “</w:t>
      </w:r>
      <w:r>
        <w:rPr>
          <w:rFonts w:ascii="Times New Roman" w:cs="Times New Roman" w:eastAsia="Times New Roman" w:hAnsi="Times New Roman"/>
          <w:sz w:val="18"/>
          <w:szCs w:val="18"/>
          <w:i w:val="1"/>
          <w:iCs w:val="1"/>
          <w:color w:val="auto"/>
        </w:rPr>
        <w:t>Special Meeting of FS Development Stockholders — Redemption Rights</w:t>
      </w:r>
      <w:r>
        <w:rPr>
          <w:rFonts w:ascii="Times New Roman" w:cs="Times New Roman" w:eastAsia="Times New Roman" w:hAnsi="Times New Roman"/>
          <w:sz w:val="18"/>
          <w:szCs w:val="18"/>
          <w:color w:val="auto"/>
        </w:rPr>
        <w:t>” for additional information on how to exercise your redemption rights.</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FS Development’s stockholders who wish to redeem their shares for a pro rata portion of the Trust Account must comply with specific requirements for redemption that may make it more difficult for them to exercise their redemption rights prior to the deadline.</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Development’s public stockholders who wish to redeem their shares for a pro rata portion of the Trust Account must, among other things as fully described in the section titled “</w:t>
      </w:r>
      <w:r>
        <w:rPr>
          <w:rFonts w:ascii="Times New Roman" w:cs="Times New Roman" w:eastAsia="Times New Roman" w:hAnsi="Times New Roman"/>
          <w:sz w:val="18"/>
          <w:szCs w:val="18"/>
          <w:i w:val="1"/>
          <w:iCs w:val="1"/>
          <w:color w:val="auto"/>
        </w:rPr>
        <w:t>Special Meeting of FS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 Redemption Rights,</w:t>
      </w:r>
      <w:r>
        <w:rPr>
          <w:rFonts w:ascii="Times New Roman" w:cs="Times New Roman" w:eastAsia="Times New Roman" w:hAnsi="Times New Roman"/>
          <w:sz w:val="18"/>
          <w:szCs w:val="18"/>
          <w:color w:val="auto"/>
        </w:rPr>
        <w:t>” tender their certificates to FS Development’s transfer agent or deliver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to the transfer agent electronically through the Depository Trust Company, or DTC, at least two (2) business days prior to the Special Meeting. In order to obtain a physical stock certificate, a stockholder’s broker and/or clearing broker, DTC and FS Development’s transfer agent will need to act to facilitate this request. It is FS Development’s understanding that stockholders should generally allot at least two (2) weeks to obtain physical certificates from the transfer agent. However, because FS Development does not have any control over this process or over the brokers or DTC, it may take significantly longer than two (2)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ability to execute FS Development’s strategic plan could be negatively impacted to the extent a significant number of stockholders choose to redeem their shares in connection with the Business Combination.</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the event the aggregate cash consideration FS Development would be required to pay for all shares of FS Development Class A Common Stock that are validly submitted for redemption plus any amount required to satisfy cash conditions pursuant to the terms of the Merger Agreement exceeds the aggregate amount of cash available to FS Development, FS Development may be required to increase the financial leverage FS Development’s business would have to support. This may negatively impact FS Development’s ability to execute on its own future strategic plan.</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1" w:name="page92"/>
    <w:bookmarkEnd w:id="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proxy statement/prospectus contains forward-looking statements. Forward-looking statements provide FS Development’s and Gemini’s current expectations or forecasts of future events. Forward-looking statements include statements about FS Development’s and Gemini’s expectations, beliefs, plans, objectives, intentions, assumptions and other statements that are not historical facts.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Forward-looking statements relating to FS Development in this proxy statement/prospectus include, but are not limited to, statements about FS Development’s:</w:t>
      </w:r>
    </w:p>
    <w:p>
      <w:pPr>
        <w:spacing w:after="0" w:line="121" w:lineRule="exact"/>
        <w:rPr>
          <w:sz w:val="20"/>
          <w:szCs w:val="20"/>
          <w:color w:val="auto"/>
        </w:rPr>
      </w:pPr>
    </w:p>
    <w:p>
      <w:pPr>
        <w:ind w:left="1300" w:hanging="41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the Business Combination;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complete an initial business combination, including the Business Combination;</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8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the Closing conditions to the Business Combination, including approval by the stockholders of FS Development and the availability of at least $170 million of cash from the proceeds received from the PIPE Investment and in the Trust Account, after giving effect to redemptions of Public Shares, if any;</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financial performance following the Business Combination;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recruiting, or changes required in, our officers, key employees or directors following an initial business combination;</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and directors allocating their time to other businesses and potentially having conflicts of interest with Gemini’s business or in approving our initial business combination, as a result of which they would then receive expense reimbursements;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securities’ potential liquidity and trading;</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Merger Agreement;</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not held in the Trust Account;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from the outcome of any known and unknown litigation.</w:t>
      </w:r>
    </w:p>
    <w:p>
      <w:pPr>
        <w:spacing w:after="0" w:line="15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Forward-looking statements relating to Gemini and the Combined Entity following the Closing in this proxy statement/prospectus include, but are not limited to, statements about:</w:t>
      </w:r>
    </w:p>
    <w:p>
      <w:pPr>
        <w:spacing w:after="0" w:line="81" w:lineRule="exact"/>
        <w:rPr>
          <w:sz w:val="20"/>
          <w:szCs w:val="20"/>
          <w:color w:val="auto"/>
        </w:rPr>
      </w:pPr>
    </w:p>
    <w:p>
      <w:pPr>
        <w:jc w:val="both"/>
        <w:ind w:left="1320" w:right="479" w:hanging="434"/>
        <w:spacing w:after="0" w:line="282" w:lineRule="auto"/>
        <w:tabs>
          <w:tab w:leader="none" w:pos="147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Gemini’s clinical trials to demonstrate acceptable safety and efficacy of Gemini’s product candidates, including GEM103, Gemini’s lead product candidate, and other positive results;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62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clinical trials for GEM103 and Gemini’s other product candidates, including statements regarding the timing of initiation and completion of studies or trials and related preparatory work,</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during which the results of the trials will become available, and Gemini’s research and development programs;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ability to obtain marketing approvals of its product candidates and to meet existing or future regulatory standards or comply with post-approval requirements;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expectations regarding the potential market size and the size of the patient populations for its product candidates, if approved for commercial use;</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commercialization, marketing and manufacturing capabilities and strategy;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intellectual property position and expectations regarding its ability to obtain and maintain intellectual property protection;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35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ability to identify additional products, product candidates or technologies with significant commercial potential that are consistent with its commercial objectives;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competitive position and expectations regarding developments and projections relating to its competitors and any competing therapies that are or become available;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8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expectations regarding developments and projections relating to Gemini’s competitors and industry.</w:t>
      </w:r>
    </w:p>
    <w:p>
      <w:pPr>
        <w:spacing w:after="0" w:line="9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proxy statement/prospectus, and current expectations, forecasts and assumptions, and involve a number of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statements that FS Development or Gemini “believes” and similar statements reflect such parties’ beliefs and opinions on the relevant subject. These statements are based upon information available to such party as of the date of this proxy statement/prospectus, and while such party believes such information forms a reasonable basis for such statements, such information may be limited or incomplete, and these statements should not be read to indicate that either FS Development or Gemini has conducted an exhaustive inquiry into, or review of, all potentially available relevant information. These statements are inherently uncertain and investors are cautioned not to unduly rely upon these statements.</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in deciding how to grant your proxy or instruct how your vote should be cast or vote your shares on the proposals set forth in this proxy statement/prospectus. As a result of a number of known and unknown risks and uncertainties, our actual results or performance may be materially different from those expressed or implied by these forward-looking statements. Some factors that could cause the Combined Entity’s actual results to differ include:</w:t>
      </w:r>
    </w:p>
    <w:p>
      <w:pPr>
        <w:spacing w:after="0" w:line="116" w:lineRule="exact"/>
        <w:rPr>
          <w:sz w:val="20"/>
          <w:szCs w:val="20"/>
          <w:color w:val="auto"/>
        </w:rPr>
      </w:pPr>
    </w:p>
    <w:p>
      <w:pPr>
        <w:ind w:left="1320" w:right="479" w:hanging="434"/>
        <w:spacing w:after="0" w:line="282" w:lineRule="auto"/>
        <w:tabs>
          <w:tab w:leader="none" w:pos="132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Business Combination;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FS Development, Gemini or others following announcement of the Business Combination and the transactions contemplated therein;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5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transactions contemplated by the Business Combination due to the failure to obtain approval of the stockholders of FS Development or Gemini or other conditions to closing in the Business Combination;</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proposed transaction disrupts current plans and operations as a result of the announcement and the Closing;</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 which may be affected by, among other things, the ability of the Combined Entity to grow and manage growth profitably, maintain relationships with customers, compete within its industry and retain its key employees;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proposed Business Combination;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FS Development or Gemini may be adversely impacted by other economic, business, and/or competitive factors;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exchange and interest rates;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6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proxy statement/prospectus, including those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herein, and other filings that have been made or will be made with the SEC.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FS DEVELOPMENT STOCKHOLDERS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is furnishing this proxy statement/prospectus to its stockholders as part of the solicitation of</w:t>
      </w:r>
    </w:p>
    <w:p>
      <w:pPr>
        <w:spacing w:after="0" w:line="2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proxies by the Board for use at the Special Meeting to be held on , 2020 and at any adjournment or postponement thereof. This proxy statement/prospectus provides FS Development’s stockholders with information they need to know to be able to vote or direct their vote to be cast at the Special Meeting.</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Time and Place</w:t>
            </w:r>
          </w:p>
        </w:tc>
        <w:tc>
          <w:tcPr>
            <w:tcW w:w="132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365"/>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The Special Meeting will be held on</w:t>
            </w:r>
          </w:p>
        </w:tc>
        <w:tc>
          <w:tcPr>
            <w:tcW w:w="1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2020, at</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Eastern Time, via live webcast at the following</w:t>
            </w:r>
          </w:p>
        </w:tc>
      </w:tr>
    </w:tbl>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address: . In light of the COVID-19 pandemic and to support the well-being of FS Development’s stockholders, directors and management, the Special Meeting will be completely virtual.</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will be entitled to vote or direct votes to be cast at the Special Meeting if you owned shares of FS</w:t>
      </w:r>
    </w:p>
    <w:p>
      <w:pPr>
        <w:spacing w:after="0" w:line="27"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Development Common Stock at the close of business on , 2020, which is the Record Date. You are entitled to one vote for each share of FS Development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w:t>
      </w:r>
    </w:p>
    <w:p>
      <w:pPr>
        <w:spacing w:after="0" w:line="2" w:lineRule="exact"/>
        <w:rPr>
          <w:sz w:val="20"/>
          <w:szCs w:val="20"/>
          <w:color w:val="auto"/>
        </w:rPr>
      </w:pPr>
    </w:p>
    <w:p>
      <w:pPr>
        <w:ind w:left="460"/>
        <w:spacing w:after="0"/>
        <w:tabs>
          <w:tab w:leader="none" w:pos="4180" w:val="left"/>
        </w:tabs>
        <w:rPr>
          <w:sz w:val="20"/>
          <w:szCs w:val="20"/>
          <w:color w:val="auto"/>
        </w:rPr>
      </w:pPr>
      <w:r>
        <w:rPr>
          <w:rFonts w:ascii="Times New Roman" w:cs="Times New Roman" w:eastAsia="Times New Roman" w:hAnsi="Times New Roman"/>
          <w:sz w:val="18"/>
          <w:szCs w:val="18"/>
          <w:color w:val="auto"/>
        </w:rPr>
        <w:t>counted. On the Record Date, there were</w:t>
      </w:r>
      <w:r>
        <w:rPr>
          <w:sz w:val="20"/>
          <w:szCs w:val="20"/>
          <w:color w:val="auto"/>
        </w:rPr>
        <w:tab/>
      </w:r>
      <w:r>
        <w:rPr>
          <w:rFonts w:ascii="Times New Roman" w:cs="Times New Roman" w:eastAsia="Times New Roman" w:hAnsi="Times New Roman"/>
          <w:sz w:val="18"/>
          <w:szCs w:val="18"/>
          <w:color w:val="auto"/>
        </w:rPr>
        <w:t>shares of FS Development Common Stock outstanding, of</w:t>
      </w:r>
    </w:p>
    <w:p>
      <w:pPr>
        <w:spacing w:after="0" w:line="9" w:lineRule="exact"/>
        <w:rPr>
          <w:sz w:val="20"/>
          <w:szCs w:val="20"/>
          <w:color w:val="auto"/>
        </w:rPr>
      </w:pPr>
    </w:p>
    <w:p>
      <w:pPr>
        <w:ind w:left="460"/>
        <w:spacing w:after="0"/>
        <w:tabs>
          <w:tab w:leader="none" w:pos="1240" w:val="left"/>
          <w:tab w:leader="none" w:pos="3420" w:val="left"/>
        </w:tabs>
        <w:rPr>
          <w:sz w:val="20"/>
          <w:szCs w:val="20"/>
          <w:color w:val="auto"/>
        </w:rPr>
      </w:pPr>
      <w:r>
        <w:rPr>
          <w:rFonts w:ascii="Times New Roman" w:cs="Times New Roman" w:eastAsia="Times New Roman" w:hAnsi="Times New Roman"/>
          <w:sz w:val="18"/>
          <w:szCs w:val="18"/>
          <w:color w:val="auto"/>
        </w:rPr>
        <w:t>which</w:t>
      </w:r>
      <w:r>
        <w:rPr>
          <w:sz w:val="20"/>
          <w:szCs w:val="20"/>
          <w:color w:val="auto"/>
        </w:rPr>
        <w:tab/>
      </w:r>
      <w:r>
        <w:rPr>
          <w:rFonts w:ascii="Times New Roman" w:cs="Times New Roman" w:eastAsia="Times New Roman" w:hAnsi="Times New Roman"/>
          <w:sz w:val="18"/>
          <w:szCs w:val="18"/>
          <w:color w:val="auto"/>
        </w:rPr>
        <w:t>are Public Shares and</w:t>
      </w:r>
      <w:r>
        <w:rPr>
          <w:sz w:val="20"/>
          <w:szCs w:val="20"/>
          <w:color w:val="auto"/>
        </w:rPr>
        <w:tab/>
      </w:r>
      <w:r>
        <w:rPr>
          <w:rFonts w:ascii="Times New Roman" w:cs="Times New Roman" w:eastAsia="Times New Roman" w:hAnsi="Times New Roman"/>
          <w:sz w:val="17"/>
          <w:szCs w:val="17"/>
          <w:color w:val="auto"/>
        </w:rPr>
        <w:t>are Founders Shares held by the Sponsor.</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of the Sponsor, Directors and Officers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connection with the FS Development IPO, FS Development entered into agreements with each of its Sponsor, directors and officers pursuant to which each agreed to vote any shares of FS Development Common Stock owned by it in favor of the Business Combination Proposal and for all other proposals presented at the Special Meeting. These agreements apply to the Sponsor as it relates to the Founders Shares and the requirement to vote such shares in favor of the Business Combination Proposal and for all other proposals presented to FS Development stockholders in this proxy statement/prospectus.</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Development’s Sponsor, directors and officers have waived any redemption rights, including with respect to shares of FS Development Common Stock issued or purchased in the FS Development IPO or in the aftermarket, in connection with Business Combination.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quorum of FS Development stockholders is necessary to hold a valid meeting. A quorum will be present at the Special Meeting if a majority of the FS Development Common Stock outstanding and entitled to vote at the Special Meeting is represented in person or by proxy at the Special Meeting.</w:t>
      </w:r>
    </w:p>
    <w:p>
      <w:pPr>
        <w:spacing w:after="0" w:line="9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FS Development Common Stock as of the Record Date for the Special Meeting, voting together as a single class. The approval of the Business Combination Proposal, the Nasdaq Stock Issuance Proposal, the Incentive Plan Proposal, the Advisory Charter Approvals and the Adjournment Proposal each require the affirmative vote of the holders of a majority of the shares of FS Development Common Stock cast by the stockholders represented in person or by proxy and entitled to vote thereon at the Special Meeting, voting together as a single class.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 The Nasdaq Stock Issuance Proposal, the Charter Amendment Proposal, the Advisory Charter Proposal and the Incentive Plan Proposal are conditioned on the approval of the Business Combination Proposal (and the Business Combination Proposal is conditioned on the approval of the Nasdaq Stock Issuance Proposal, the Charter Amendment Proposal, and the Incentive Plan Proposal). The Adjournment Proposal is not conditioned on the approval of any other proposal set forth in this proxy statement/prospectus.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It is important for you to note that in the event the Business Combination Proposal does not receive the requisite vote for approval, then FS Development will not consummate the Business Combination. If FS Development does not consummate the Business Combination and fails to complete an initial business combination by August 14, 2022, FS Development will be required to dissolve and liquidate its Trust Account by returning the then remaining funds in such account to the public stockholders.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the Special Meeting, FS Development will count a properly executed proxy marked “ABSTAIN” with respect to a particular proposal as present for purposes of determining whether a quorum is present. The failure to vote, abstentions and broker non-votes will have the same effect as a vote “AGAINST” the Charter Amendment Proposal. The failure to vote, abstentions and broker non-votes will not be counted as votes cast and will have no effect on any of the Business Combination Proposal, the Nasdaq Stock Issuance Proposal, the Advisory Charter Proposals, the Incentive Plan Proposal, or the Adjournment Proposal.</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Board has unanimously determined that each of the Proposals is fair to and in the best interests of FS Development and its stockholders, and has unanimously approved such proposals. The Board unanimously recommends that stockholders:</w:t>
      </w:r>
    </w:p>
    <w:p>
      <w:pPr>
        <w:spacing w:after="0" w:line="95" w:lineRule="exact"/>
        <w:rPr>
          <w:sz w:val="20"/>
          <w:szCs w:val="20"/>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Business Combination Proposal;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Nasdaq Stock Issuance Proposal;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Charter Amendment Proposal;</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each of the Advisory Charter Proposals;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Incentive Plan Proposal;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Adjournment Proposal, if it is presented to the meeting.</w:t>
      </w:r>
    </w:p>
    <w:p>
      <w:pPr>
        <w:spacing w:after="0" w:line="144" w:lineRule="exact"/>
        <w:rPr>
          <w:sz w:val="20"/>
          <w:szCs w:val="20"/>
          <w:color w:val="auto"/>
        </w:rPr>
      </w:pPr>
    </w:p>
    <w:p>
      <w:pPr>
        <w:jc w:val="both"/>
        <w:ind w:left="460" w:right="479" w:firstLine="45"/>
        <w:spacing w:after="0" w:line="261" w:lineRule="auto"/>
        <w:rPr>
          <w:sz w:val="20"/>
          <w:szCs w:val="20"/>
          <w:color w:val="auto"/>
        </w:rPr>
      </w:pPr>
      <w:r>
        <w:rPr>
          <w:rFonts w:ascii="Times New Roman" w:cs="Times New Roman" w:eastAsia="Times New Roman" w:hAnsi="Times New Roman"/>
          <w:sz w:val="18"/>
          <w:szCs w:val="18"/>
          <w:color w:val="auto"/>
        </w:rPr>
        <w:t>When you consider the recommendation of the Board in favor of approval of the Proposals, you should keep in mind that the Sponsor, members of the Board and officers of FS Development have interests in the Business Combination that are different from or in addition to (or which may conflict with) your interests as a stockholder.</w:t>
      </w:r>
    </w:p>
    <w:p>
      <w:pPr>
        <w:spacing w:after="0" w:line="11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Business Combination Proposal — Interests of FS Development’s Directors and Officers and Others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for additional information on interests of FS Development’s directors and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Each share of FS Development Common Stock that you own in your name entitles you to one vote. If you are a record owner of your shares, there are two ways to vote your shares of FS Development Common Stock at the Special Meeting:</w:t>
      </w:r>
    </w:p>
    <w:p>
      <w:pPr>
        <w:spacing w:after="0" w:line="93" w:lineRule="exact"/>
        <w:rPr>
          <w:sz w:val="20"/>
          <w:szCs w:val="20"/>
          <w:color w:val="auto"/>
        </w:rPr>
      </w:pPr>
    </w:p>
    <w:p>
      <w:pPr>
        <w:jc w:val="both"/>
        <w:ind w:left="1320" w:right="459" w:hanging="434"/>
        <w:spacing w:after="0" w:line="256" w:lineRule="auto"/>
        <w:tabs>
          <w:tab w:leader="none" w:pos="132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Can Vote By Signing and Returning the Enclosed Proxy Card</w:t>
      </w:r>
      <w:r>
        <w:rPr>
          <w:rFonts w:ascii="Times New Roman" w:cs="Times New Roman" w:eastAsia="Times New Roman" w:hAnsi="Times New Roman"/>
          <w:sz w:val="18"/>
          <w:szCs w:val="18"/>
          <w:color w:val="auto"/>
        </w:rPr>
        <w:t>. If you vote by proxy card,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whose name is listed on the proxy card, will vote your shares as you instruct on the proxy card. If you sign and return the proxy card but do not give instructions on how to vote your shares, your shares will be voted as recommended by the Board “FOR” the Business Combination Proposal, the Nasdaq Stock Issuance Proposal, the Charter Amendment Proposal, the Advisory Charter Proposals, the Incentive Plan Proposal, and the Adjournment Proposal (if presented). Votes received after a matter has been voted upon at the Special Meeting will not be counted.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0"/>
          <w:numId w:val="1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Can Attend the Special Meeting and Vote Through the Internet</w:t>
      </w:r>
      <w:r>
        <w:rPr>
          <w:rFonts w:ascii="Times New Roman" w:cs="Times New Roman" w:eastAsia="Times New Roman" w:hAnsi="Times New Roman"/>
          <w:sz w:val="18"/>
          <w:szCs w:val="18"/>
          <w:color w:val="auto"/>
        </w:rPr>
        <w:t>. You will be able to attend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 online and vote during the meeting by visiting and entering the control number included on your proxy card or on the instructions that accompanied your proxy materials, as applicable.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If your shares are held in “street name” or are in a margin or similar account, you should contact your broker to ensure that votes related to the shares you beneficially own are properly counted. If you wish to attend the meeting and vote online and your shares are held in “street name,” you must obtain a legal proxy from your broker, bank or nominee. That is the only way FS Development can be sure that the broker, bank or nominee has not already voted your shares.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you are a record owner of your shares and you give a proxy, you may change or revoke it at any time before it is exercised by doing any one of the following:</w:t>
      </w:r>
    </w:p>
    <w:p>
      <w:pPr>
        <w:spacing w:after="0" w:line="94" w:lineRule="exact"/>
        <w:rPr>
          <w:sz w:val="20"/>
          <w:szCs w:val="20"/>
          <w:color w:val="auto"/>
        </w:rPr>
      </w:pPr>
    </w:p>
    <w:p>
      <w:pPr>
        <w:ind w:left="1300" w:hanging="414"/>
        <w:spacing w:after="0"/>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new proxy card bearing a later date;</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written notice of your revocation to FS Development’s Corporate Secretary, which notice must be received by FS Development’s Corporate Secretary prior to the vote at the Special Meeting; or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electronically at the Special Meeting by visiting and entering the control number found on your proxy card, voting instruction form or notice you previously received. Please note that your attendance at the Special Meeting will not alone serve to revoke your proxy.</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by your broker, bank or another nominee as of the close of business on the Record Date, you must follow the instructions of your broker, bank or other nominee to revoke or change your voting instructions.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 Your Shares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you are a stockholder and have any questions about how to vote or direct a vote in respect of your FS Development Common Stock, you may call Morrow Sodali LLC, FS Development’s proxy solicitor, at (800)</w:t>
      </w:r>
    </w:p>
    <w:p>
      <w:pPr>
        <w:ind w:left="460"/>
        <w:spacing w:after="0"/>
        <w:tabs>
          <w:tab w:leader="none" w:pos="1480" w:val="left"/>
          <w:tab w:leader="none" w:pos="2780" w:val="left"/>
          <w:tab w:leader="none" w:pos="3300" w:val="left"/>
          <w:tab w:leader="none" w:pos="4060" w:val="left"/>
          <w:tab w:leader="none" w:pos="5120" w:val="left"/>
          <w:tab w:leader="none" w:pos="5960" w:val="left"/>
          <w:tab w:leader="none" w:pos="6600" w:val="left"/>
          <w:tab w:leader="none" w:pos="7560" w:val="left"/>
          <w:tab w:leader="none" w:pos="8080" w:val="left"/>
        </w:tabs>
        <w:rPr>
          <w:sz w:val="20"/>
          <w:szCs w:val="20"/>
          <w:color w:val="auto"/>
        </w:rPr>
      </w:pPr>
      <w:r>
        <w:rPr>
          <w:rFonts w:ascii="Times New Roman" w:cs="Times New Roman" w:eastAsia="Times New Roman" w:hAnsi="Times New Roman"/>
          <w:sz w:val="18"/>
          <w:szCs w:val="18"/>
          <w:color w:val="auto"/>
        </w:rPr>
        <w:t>662-5200</w:t>
      </w:r>
      <w:r>
        <w:rPr>
          <w:sz w:val="20"/>
          <w:szCs w:val="20"/>
          <w:color w:val="auto"/>
        </w:rPr>
        <w:tab/>
      </w:r>
      <w:r>
        <w:rPr>
          <w:rFonts w:ascii="Times New Roman" w:cs="Times New Roman" w:eastAsia="Times New Roman" w:hAnsi="Times New Roman"/>
          <w:sz w:val="18"/>
          <w:szCs w:val="18"/>
          <w:color w:val="auto"/>
        </w:rPr>
        <w:t>(Individuals)</w:t>
      </w:r>
      <w:r>
        <w:rPr>
          <w:sz w:val="20"/>
          <w:szCs w:val="20"/>
          <w:color w:val="auto"/>
        </w:rPr>
        <w:tab/>
      </w:r>
      <w:r>
        <w:rPr>
          <w:rFonts w:ascii="Times New Roman" w:cs="Times New Roman" w:eastAsia="Times New Roman" w:hAnsi="Times New Roman"/>
          <w:sz w:val="18"/>
          <w:szCs w:val="18"/>
          <w:color w:val="auto"/>
        </w:rPr>
        <w:t>or</w:t>
      </w:r>
      <w:r>
        <w:rPr>
          <w:sz w:val="20"/>
          <w:szCs w:val="20"/>
          <w:color w:val="auto"/>
        </w:rPr>
        <w:tab/>
      </w: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658-9400</w:t>
      </w:r>
      <w:r>
        <w:rPr>
          <w:sz w:val="20"/>
          <w:szCs w:val="20"/>
          <w:color w:val="auto"/>
        </w:rPr>
        <w:tab/>
      </w:r>
      <w:r>
        <w:rPr>
          <w:rFonts w:ascii="Times New Roman" w:cs="Times New Roman" w:eastAsia="Times New Roman" w:hAnsi="Times New Roman"/>
          <w:sz w:val="18"/>
          <w:szCs w:val="18"/>
          <w:color w:val="auto"/>
        </w:rPr>
        <w:t>(banks</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brokers)</w:t>
      </w:r>
      <w:r>
        <w:rPr>
          <w:sz w:val="20"/>
          <w:szCs w:val="20"/>
          <w:color w:val="auto"/>
        </w:rPr>
        <w:tab/>
      </w:r>
      <w:r>
        <w:rPr>
          <w:rFonts w:ascii="Times New Roman" w:cs="Times New Roman" w:eastAsia="Times New Roman" w:hAnsi="Times New Roman"/>
          <w:sz w:val="18"/>
          <w:szCs w:val="18"/>
          <w:color w:val="auto"/>
        </w:rPr>
        <w:t>or</w:t>
      </w:r>
      <w:r>
        <w:rPr>
          <w:sz w:val="20"/>
          <w:szCs w:val="20"/>
          <w:color w:val="auto"/>
        </w:rPr>
        <w:tab/>
      </w:r>
      <w:r>
        <w:rPr>
          <w:rFonts w:ascii="Times New Roman" w:cs="Times New Roman" w:eastAsia="Times New Roman" w:hAnsi="Times New Roman"/>
          <w:sz w:val="17"/>
          <w:szCs w:val="17"/>
          <w:color w:val="auto"/>
        </w:rPr>
        <w:t>email: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FSDC.info@investor.morrowsodali.com.</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Additional Matters May Be Presented at the Special Meeting</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Special Meeting has been called only to consider the approval of the Business Combination Proposal, the Nasdaq Stock Issuance Proposal, the Charter Amendment Proposal, the Incentive Plan Proposal, the Advisory Charter Proposals and the Adjournment Proposal. Under the Current By-laws, other than procedural matters incident to the conduct of the Special Meeting, no other matters may be considered at the Special Meeting if they are not included in this proxy statement/prospectus, which serves as the notice of the Special Meeting.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Current Charter, any holders of Public Shares may demand that such shares be redeemed in exchange for a pro rata share of the aggregate amount on deposit in the Trust Account, less franchise and income taxes payable.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the FS Development IPO (including interest earned on the funds held in the Trust Account and not previously released to it to pay the Company’s franchise and income taxes). For illustrative purposes, based on funds in the Trust Account of approximately $ million on September 30, 2020, the estimated per share redemption price would have been approximately $ .</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order to exercise your redemption rights, you must:</w:t>
      </w:r>
    </w:p>
    <w:p>
      <w:pPr>
        <w:spacing w:after="0" w:line="158" w:lineRule="exact"/>
        <w:rPr>
          <w:sz w:val="20"/>
          <w:szCs w:val="20"/>
          <w:color w:val="auto"/>
        </w:rPr>
      </w:pPr>
    </w:p>
    <w:p>
      <w:pPr>
        <w:ind w:left="1300" w:hanging="414"/>
        <w:spacing w:after="0"/>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box on the enclosed proxy card to elect redemption;</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58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 the written request to redeem your Public Shares for cash to Continental Stock Transfer &amp; Trust Company, a “Stockholder Certification” if you are not acting in concert or as a “group” (as defined in Section 13d-3 of the Exchange Act) with any other stockholder with respect to shares of FS Development Common Stock;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tabs>
          <w:tab w:leader="none" w:pos="1300" w:val="left"/>
          <w:tab w:leader="none" w:pos="4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prior to 5:00 PM Eastern time on</w:t>
      </w:r>
      <w:r>
        <w:rPr>
          <w:sz w:val="20"/>
          <w:szCs w:val="20"/>
          <w:color w:val="auto"/>
        </w:rPr>
        <w:tab/>
      </w:r>
      <w:r>
        <w:rPr>
          <w:rFonts w:ascii="Times New Roman" w:cs="Times New Roman" w:eastAsia="Times New Roman" w:hAnsi="Times New Roman"/>
          <w:sz w:val="18"/>
          <w:szCs w:val="18"/>
          <w:color w:val="auto"/>
        </w:rPr>
        <w:t>, 2020 (two (2) business days before the Special Meeting),</w:t>
      </w:r>
    </w:p>
    <w:p>
      <w:pPr>
        <w:spacing w:after="0" w:line="27" w:lineRule="exact"/>
        <w:rPr>
          <w:sz w:val="20"/>
          <w:szCs w:val="20"/>
          <w:color w:val="auto"/>
        </w:rPr>
      </w:pPr>
    </w:p>
    <w:p>
      <w:pPr>
        <w:jc w:val="both"/>
        <w:ind w:left="1320" w:right="479"/>
        <w:spacing w:after="0" w:line="255" w:lineRule="auto"/>
        <w:rPr>
          <w:sz w:val="20"/>
          <w:szCs w:val="20"/>
          <w:color w:val="auto"/>
        </w:rPr>
      </w:pPr>
      <w:r>
        <w:rPr>
          <w:rFonts w:ascii="Times New Roman" w:cs="Times New Roman" w:eastAsia="Times New Roman" w:hAnsi="Times New Roman"/>
          <w:sz w:val="18"/>
          <w:szCs w:val="18"/>
          <w:color w:val="auto"/>
        </w:rPr>
        <w:t>tender your shares physically or electronically and submit a request in writing that we redeem your Public Shares for cash to Continental Stock Transfer &amp; Trust Company, FS Development’s transfer agent, at the following address: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One State Street Plaza,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Mark Zimkind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mzimkind@continentalstock.comand</w:t>
      </w:r>
    </w:p>
    <w:p>
      <w:pPr>
        <w:spacing w:after="0" w:line="126" w:lineRule="exact"/>
        <w:rPr>
          <w:sz w:val="20"/>
          <w:szCs w:val="20"/>
          <w:color w:val="auto"/>
        </w:rPr>
      </w:pPr>
    </w:p>
    <w:p>
      <w:pPr>
        <w:jc w:val="both"/>
        <w:ind w:left="1320" w:right="459" w:hanging="434"/>
        <w:spacing w:after="0" w:line="253" w:lineRule="auto"/>
        <w:tabs>
          <w:tab w:leader="none" w:pos="143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Public Shares either physically or electronically through DTC to FS Development’s transfer agent at least two (2) business days before the Special Meeting. Stockholders seeking to exercise their redemption rights and opting to deliver physical certificates should allot sufficient time to obtain physical certificates from the transfer agent and time to effect delivery. It is FS Development’s understanding that stockholders should generally allot at least two weeks to obtain physical certificates from the transfer agent. However, FS Development does not have any control over this process and it may take longer than two weeks. Stockholders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deadline for exercising redemption requests (and submitting shares to the transfer agent) and thereafter, with FS Development’s consent, until the closing of the Business Combination. If you delivered your shares for redemption to FS Development’s transfer agent and decide within the required timeframe not to exercise your redemption rights, you may request that FS Development’s transfer agent return the shares (physically or electronically). You may make such request by contacting FS Development’s transfer agent at the phone number or address listed above.</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Prior to exercising redemption rights, stockholders should verify the market price of FS Development Class A Common Stock as they may receive higher proceeds from the sale of their FS Development Class A Common Stock in the public market than from exercising their redemption rights if the market price per share is higher than the redemption price. We cannot assure you that you will be able to sell your shares of FS Development Class A Common Stock in the open market, even if the market price per share is higher than the redemption price stated above, as there may not be sufficient liquidity in FS Development Common Stock when you wish to sell your shares.</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If you exercise your redemption rights, your shares of FS Development Class A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Combined Entity, if any. You will be entitled to receive cash for these shares only if you properly and timely demand redemption.</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Business Combination is not approved or completed for any reason, then public stockholders who elected to exercise their redemption rights will not be entitled to redeem their shares. In such case FS Development will promptly return any Public Shares previously delivered by the public holders.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Dissenter Rights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FS Development stockholders do not have dissenter rights in connection with the Business Combination or the other proposals.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Potential Purchases of Shares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connection with the stockholder vote to approve the proposed Business Combination, the Sponsor, directors, officers or advisors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FS Development’s Sponsor, directors, officers or advisors or their respective affiliates will make any such purchases when they are in possession of any material non-public information not disclosed to the seller or during a restricted period under Regulation M under the</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Exchange Act. Such a purchase would include a contractual acknowledgement that such stockholder, although still the record holder of FS Development shares, is no longer the beneficial owner thereof and therefore agrees not to exercise its redemption rights, and could include a contractual provision that directs such stockholder to vote such shares in a manner directed by the purchaser. In the event that the Sponsor, directors, officers or advisors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FS Development is soliciting proxies on behalf of the Board. This solicitation is being made by mail but also may be made by telephone or in person. FS Development and its directors, officers and employees may also solicit proxies in person. FS Development will file with the SEC all scripts and other electronic communications as proxy soliciting materials. FS Development will bear the cost of the solicitation.</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FS Development has hired Morrow Sodali LLC to assist in the proxy solicitation process. FS Development will pay that firm a fee of $22,500, plus disbursements.</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will ask banks, brokers and other institutions, nominees and fiduciaries to forward the proxy materials to their principals and to obtain their authority to execute proxies and voting instructions. FS Development will reimburse them for their reasonable expenses.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 need assistance in completing your proxy card or have questions regarding the Special Meeting, please contact Morrow Sodali LLC, the proxy solicitation agent for FS Development, by calling (800) 662-5200 or banks and brokers can call collect at (203) 658-9400, or by emailing: FSDC.info@investor.morrowsodali.com.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INFORMATION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combined balance sheet of Combined Entity as of September 30, 2020 and the unaudited pro forma combined statements of operations of Combined Entity for the year ended December 31, 2019 and nine months ended September 30, 2020 present the combination of the financial information of FS Development and Gemini after giving effect to the Business Combination, PIPE Investment and related adjustments described in the accompanying notes. FS Development and Gemini are collectively referred to herein as the “Companies”, and the Companies, subsequent to the Business Combination and PIPE Investment, are referred to herein as “Combined Entity”.</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statements of operations for the year ended December 31, 2019 and the nine months ended September 30, 2020 give pro forma effect to the Business Combination and PIPE Investment as if they had occurred as of January 1, 2019. The unaudited pro forma combined balance sheet as of September 30, 2020 gives pro forma effect to the Business Combination and PIPE Investment as if they were completed on September 30, 2020.</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information is based on and should be read in conjunction with the audited and unaudited historical financial statements of each of FS Development Corp. and Gemini and the notes thereto, as well as the disclosures contained in the sections titled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Condition and Results of Operations of FS Development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Gemini</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presented for illustrative purposes only and do not necessarily reflect what Combined Entity’s financial condition or results of operations would have been had the Business Combination and PIPE Investment occurred on the dates indicated. Further, the unaudited pro forma combined financial information also may not be useful in predicting the future financial condition and results of operations of Combined Entity.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with Merger Sub, Gemini and the Shareholders Representative, pursuant to which Merger Sub will merge with and into Gemini, with Gemini surviving the merger as a wholly-owned subsidiary of FS Development. Upon the Closing, FS Development will then change its name to “Gemini Therapeutics, Inc.” The aggregate consideration to be paid to Gemini Equityholders pursuant to the Merger Agreement (subject to certain adjustments as provided therein) will be up to 21,500,000 shares of Class A Common Stock. In connection with the Business Combination, FS Development will also expect to consummate the private placement of 9,506,000 shares of Class A Common Stock at $10.00 per share, for aggregate gross proceeds of $95,060,000, under the PIPE Investment.</w:t>
      </w:r>
    </w:p>
    <w:p>
      <w:pPr>
        <w:spacing w:after="0" w:line="12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The unaudited pro forma combined information contained herein assumes that FS Development stockholders approve the Business Combination. FS Development’s public stockholders may elect to redeem their Public Shares for cash even if they approve the Business Combination. FS Development Corp. cannot predict how many of its public stockholders will exercise their right to have their Public Shares redeemed for cash. As a result, the Combined Entity has elected to provide the unaudited pro forma combined financial information under two different redemption scenarios, which produce different allocations of total Combined Entity equity between holders of Public Shares. As described in greater detail in Note 2,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of the unaudited pro forma combined financial information, the first scenario, or “no redemption scenario,” assumes that none of FS Development’s public stockholders will exercise their right to have their Public Shares redeemed for cash, and the second scenario, or “maximum redemption scenario,” assumes that holders of the maximum number of Public Shares that could be redeemed for cash while still leaving sufficient cash available to consummate the Business Combination will exercise their right to have their Public Shares redeemed for cash. The actual results will be within the parameters described by the scenarios. However, there can be no assurance regarding which scenario will be closest to the actual results. Under both scenarios, Gemini is considered the accounting acquirer, as further discussed in Note 2,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of the unaudited pro forma combined financial information.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9" w:name="page100"/>
    <w:bookmarkEnd w:id="99"/>
    <w:p>
      <w:pPr>
        <w:spacing w:after="0" w:line="62"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ENTITY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BALANCE SHEET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6"/>
                <w:szCs w:val="16"/>
                <w:color w:val="auto"/>
              </w:rPr>
            </w:pPr>
          </w:p>
        </w:tc>
        <w:tc>
          <w:tcPr>
            <w:tcW w:w="214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 redemption scenario</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Maximum redemption scenario</w:t>
            </w: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FSDC</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940" w:type="dxa"/>
            <w:vAlign w:val="bottom"/>
            <w:gridSpan w:val="4"/>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0" w:type="dxa"/>
            <w:vAlign w:val="bottom"/>
          </w:tcPr>
          <w:p>
            <w:pPr>
              <w:spacing w:after="0"/>
              <w:rPr>
                <w:sz w:val="10"/>
                <w:szCs w:val="10"/>
                <w:color w:val="auto"/>
              </w:rPr>
            </w:pP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10"/>
                <w:szCs w:val="10"/>
                <w:color w:val="auto"/>
              </w:rPr>
            </w:pPr>
          </w:p>
        </w:tc>
        <w:tc>
          <w:tcPr>
            <w:tcW w:w="940" w:type="dxa"/>
            <w:vAlign w:val="bottom"/>
            <w:gridSpan w:val="4"/>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4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equivalents</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13,215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191,201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(a), (b)</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205,854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79,677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(a), (b)</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94,330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991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360"/>
              <w:spacing w:after="0" w:line="167" w:lineRule="exact"/>
              <w:rPr>
                <w:sz w:val="20"/>
                <w:szCs w:val="20"/>
                <w:color w:val="auto"/>
              </w:rPr>
            </w:pPr>
            <w:r>
              <w:rPr>
                <w:rFonts w:ascii="Times New Roman" w:cs="Times New Roman" w:eastAsia="Times New Roman" w:hAnsi="Times New Roman"/>
                <w:sz w:val="16"/>
                <w:szCs w:val="16"/>
                <w:b w:val="1"/>
                <w:bCs w:val="1"/>
                <w:color w:val="auto"/>
              </w:rPr>
              <w:t>Total Current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1,608</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14,206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191,201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207,015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79,677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95,491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323</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Cash held in Trust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(120,751)</w:t>
            </w: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(120,751)</w:t>
            </w:r>
          </w:p>
        </w:tc>
        <w:tc>
          <w:tcPr>
            <w:tcW w:w="100" w:type="dxa"/>
            <w:vAlign w:val="bottom"/>
          </w:tcPr>
          <w:p>
            <w:pPr>
              <w:spacing w:after="0"/>
              <w:rPr>
                <w:sz w:val="18"/>
                <w:szCs w:val="18"/>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122,359</w:t>
            </w: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16,253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70,450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209,062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(41,074)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97,538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and</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6,683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7,236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Franchise tax payable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0"/>
                <w:szCs w:val="20"/>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w:t>
            </w: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Term loan, current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portion</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3,750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3,750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 notes, net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7,600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(7,600)</w:t>
            </w:r>
          </w:p>
        </w:tc>
        <w:tc>
          <w:tcPr>
            <w:tcW w:w="8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(7,600)</w:t>
            </w:r>
          </w:p>
        </w:tc>
        <w:tc>
          <w:tcPr>
            <w:tcW w:w="100" w:type="dxa"/>
            <w:vAlign w:val="bottom"/>
          </w:tcPr>
          <w:p>
            <w:pPr>
              <w:spacing w:after="0"/>
              <w:rPr>
                <w:sz w:val="21"/>
                <w:szCs w:val="21"/>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(e)</w:t>
            </w: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360"/>
              <w:spacing w:after="0" w:line="167" w:lineRule="exact"/>
              <w:rPr>
                <w:sz w:val="20"/>
                <w:szCs w:val="20"/>
                <w:color w:val="auto"/>
              </w:rPr>
            </w:pPr>
            <w:r>
              <w:rPr>
                <w:rFonts w:ascii="Times New Roman" w:cs="Times New Roman" w:eastAsia="Times New Roman" w:hAnsi="Times New Roman"/>
                <w:sz w:val="16"/>
                <w:szCs w:val="16"/>
                <w:b w:val="1"/>
                <w:bCs w:val="1"/>
                <w:color w:val="auto"/>
              </w:rPr>
              <w:t>Total Current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553</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18,033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(7,600)</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10,986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(7,600)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10,986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Deferred underwriting</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commissions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(4,226)</w:t>
            </w: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tcPr>
          <w:p>
            <w:pPr>
              <w:spacing w:after="0"/>
              <w:rPr>
                <w:sz w:val="18"/>
                <w:szCs w:val="18"/>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234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net of current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portion and discount</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6,190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6,190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4,779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24,531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(11,826)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17,484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(11,826)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Series A convertible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47,113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(47,113)</w:t>
            </w: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(47,113)</w:t>
            </w:r>
          </w:p>
        </w:tc>
        <w:tc>
          <w:tcPr>
            <w:tcW w:w="100" w:type="dxa"/>
            <w:vAlign w:val="bottom"/>
          </w:tcPr>
          <w:p>
            <w:pPr>
              <w:spacing w:after="0"/>
              <w:rPr>
                <w:sz w:val="18"/>
                <w:szCs w:val="18"/>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 convertible</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33,336</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(33,336)</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(33,336)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7"/>
        </w:trPr>
        <w:tc>
          <w:tcPr>
            <w:tcW w:w="1760" w:type="dxa"/>
            <w:vAlign w:val="bottom"/>
          </w:tcPr>
          <w:p>
            <w:pPr>
              <w:ind w:left="360"/>
              <w:spacing w:after="0" w:line="167" w:lineRule="exact"/>
              <w:rPr>
                <w:sz w:val="20"/>
                <w:szCs w:val="20"/>
                <w:color w:val="auto"/>
              </w:rPr>
            </w:pPr>
            <w:r>
              <w:rPr>
                <w:rFonts w:ascii="Times New Roman" w:cs="Times New Roman" w:eastAsia="Times New Roman" w:hAnsi="Times New Roman"/>
                <w:sz w:val="16"/>
                <w:szCs w:val="16"/>
                <w:b w:val="1"/>
                <w:bCs w:val="1"/>
                <w:color w:val="auto"/>
              </w:rPr>
              <w:t>Total convertible</w:t>
            </w: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76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80,449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(80,449)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(80,449)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Class A common stock</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subject to redemption</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112,580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(112,580)</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(112,580)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common stock</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common stock</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9,773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281,614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296,888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170,091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185,365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(98,506)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(6,304)</w:t>
            </w:r>
          </w:p>
        </w:tc>
        <w:tc>
          <w:tcPr>
            <w:tcW w:w="8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(105,311)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(6,304)</w:t>
            </w:r>
          </w:p>
        </w:tc>
        <w:tc>
          <w:tcPr>
            <w:tcW w:w="100" w:type="dxa"/>
            <w:vAlign w:val="bottom"/>
          </w:tcPr>
          <w:p>
            <w:pPr>
              <w:spacing w:after="0"/>
              <w:rPr>
                <w:sz w:val="21"/>
                <w:szCs w:val="21"/>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(105,311)</w:t>
            </w: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(88,727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275,305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191,578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163,781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80,054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0" w:right="1440" w:bottom="0" w:gutter="0" w:footer="0" w:header="0"/>
        </w:sectPr>
      </w:pPr>
    </w:p>
    <w:bookmarkStart w:id="100" w:name="page101"/>
    <w:bookmarkEnd w:id="100"/>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3"/>
        </w:trPr>
        <w:tc>
          <w:tcPr>
            <w:tcW w:w="2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3"/>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6"/>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Equity (Deficit)   $  122,359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$ 16,253</w:t>
            </w: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  70,450</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$ 209,062</w:t>
            </w: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(41,074)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97,538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-544195</wp:posOffset>
            </wp:positionV>
            <wp:extent cx="5143500" cy="5829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582930"/>
                    </a:xfrm>
                    <a:prstGeom prst="rect">
                      <a:avLst/>
                    </a:prstGeom>
                    <a:noFill/>
                  </pic:spPr>
                </pic:pic>
              </a:graphicData>
            </a:graphic>
          </wp:anchor>
        </w:drawing>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101" w:name="page102"/>
    <w:bookmarkEnd w:id="10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ENTITY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 FOR THE NINE MONTHS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ENDED SEPTEMBER 30, 2020</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No redemption scenario</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Maximum redemption scenario</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FSDC</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80" w:type="dxa"/>
            <w:vAlign w:val="bottom"/>
          </w:tcPr>
          <w:p>
            <w:pPr>
              <w:spacing w:after="0"/>
              <w:rPr>
                <w:sz w:val="10"/>
                <w:szCs w:val="10"/>
                <w:color w:val="auto"/>
              </w:rPr>
            </w:pPr>
          </w:p>
        </w:tc>
        <w:tc>
          <w:tcPr>
            <w:tcW w:w="84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0" w:type="dxa"/>
            <w:vAlign w:val="bottom"/>
          </w:tcPr>
          <w:p>
            <w:pPr>
              <w:spacing w:after="0"/>
              <w:rPr>
                <w:sz w:val="10"/>
                <w:szCs w:val="10"/>
                <w:color w:val="auto"/>
              </w:rPr>
            </w:pPr>
          </w:p>
        </w:tc>
        <w:tc>
          <w:tcPr>
            <w:tcW w:w="86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8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820" w:type="dxa"/>
            <w:vAlign w:val="bottom"/>
            <w:gridSpan w:val="2"/>
            <w:vMerge w:val="continue"/>
          </w:tcPr>
          <w:p>
            <w:pPr>
              <w:spacing w:after="0"/>
              <w:rPr>
                <w:sz w:val="16"/>
                <w:szCs w:val="16"/>
                <w:color w:val="auto"/>
              </w:rPr>
            </w:pPr>
          </w:p>
        </w:tc>
        <w:tc>
          <w:tcPr>
            <w:tcW w:w="148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20,472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20,472</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20,472</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3,774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4,276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4,276</w:t>
            </w:r>
          </w:p>
        </w:tc>
        <w:tc>
          <w:tcPr>
            <w:tcW w:w="0" w:type="dxa"/>
            <w:vAlign w:val="bottom"/>
          </w:tcPr>
          <w:p>
            <w:pPr>
              <w:spacing w:after="0"/>
              <w:rPr>
                <w:sz w:val="1"/>
                <w:szCs w:val="1"/>
                <w:color w:val="auto"/>
              </w:rPr>
            </w:pPr>
          </w:p>
        </w:tc>
      </w:tr>
      <w:tr>
        <w:trPr>
          <w:trHeight w:val="251"/>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Franchise tax expense</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21"/>
                <w:szCs w:val="21"/>
                <w:color w:val="auto"/>
              </w:rPr>
            </w:pP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1"/>
                <w:szCs w:val="21"/>
                <w:color w:val="auto"/>
              </w:rPr>
            </w:pPr>
          </w:p>
        </w:tc>
        <w:tc>
          <w:tcPr>
            <w:tcW w:w="5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24,246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24,748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24,748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(24,246)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(24,748)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(24,748)</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(2,307)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(4,493)</w:t>
            </w: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(6,800)</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(4,493)</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(6,800)</w:t>
            </w:r>
          </w:p>
        </w:tc>
        <w:tc>
          <w:tcPr>
            <w:tcW w:w="0" w:type="dxa"/>
            <w:vAlign w:val="bottom"/>
          </w:tcPr>
          <w:p>
            <w:pPr>
              <w:spacing w:after="0"/>
              <w:rPr>
                <w:sz w:val="1"/>
                <w:szCs w:val="1"/>
                <w:color w:val="auto"/>
              </w:rPr>
            </w:pPr>
          </w:p>
        </w:tc>
      </w:tr>
      <w:tr>
        <w:trPr>
          <w:trHeight w:val="237"/>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extinguishment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of debt</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(2,311)</w:t>
            </w: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(2,311)</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(2,311)</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(2,311)</w:t>
            </w:r>
          </w:p>
        </w:tc>
        <w:tc>
          <w:tcPr>
            <w:tcW w:w="0" w:type="dxa"/>
            <w:vAlign w:val="bottom"/>
          </w:tcPr>
          <w:p>
            <w:pPr>
              <w:spacing w:after="0"/>
              <w:rPr>
                <w:sz w:val="1"/>
                <w:szCs w:val="1"/>
                <w:color w:val="auto"/>
              </w:rPr>
            </w:pPr>
          </w:p>
        </w:tc>
      </w:tr>
      <w:tr>
        <w:trPr>
          <w:trHeight w:val="189"/>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value of warrant</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liability</w:t>
            </w:r>
          </w:p>
        </w:tc>
        <w:tc>
          <w:tcPr>
            <w:tcW w:w="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(501)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(26,522)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(6,804)</w:t>
            </w:r>
          </w:p>
        </w:tc>
        <w:tc>
          <w:tcPr>
            <w:tcW w:w="60" w:type="dxa"/>
            <w:vAlign w:val="bottom"/>
            <w:shd w:val="clear" w:color="auto" w:fill="CCEEFF"/>
          </w:tcPr>
          <w:p>
            <w:pPr>
              <w:spacing w:after="0"/>
              <w:rPr>
                <w:sz w:val="21"/>
                <w:szCs w:val="21"/>
                <w:color w:val="auto"/>
              </w:rPr>
            </w:pPr>
          </w:p>
        </w:tc>
        <w:tc>
          <w:tcPr>
            <w:tcW w:w="5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(33,827)</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(6,804)</w:t>
            </w:r>
          </w:p>
        </w:tc>
        <w:tc>
          <w:tcPr>
            <w:tcW w:w="80" w:type="dxa"/>
            <w:vAlign w:val="bottom"/>
            <w:shd w:val="clear" w:color="auto" w:fill="CCEEFF"/>
          </w:tcPr>
          <w:p>
            <w:pPr>
              <w:spacing w:after="0"/>
              <w:rPr>
                <w:sz w:val="21"/>
                <w:szCs w:val="21"/>
                <w:color w:val="auto"/>
              </w:rPr>
            </w:pPr>
          </w:p>
        </w:tc>
        <w:tc>
          <w:tcPr>
            <w:tcW w:w="5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(33,827)</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common</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outstanding –</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12,516,500</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5,507,900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46,541,250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35,388,875</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net loss</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 share – Class A</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   $</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(0.96)</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Weighted common</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outstanding –</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net loss</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 share – Class B</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ENTITY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 FOR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No redemption scenario</w:t>
            </w:r>
          </w:p>
        </w:tc>
        <w:tc>
          <w:tcPr>
            <w:tcW w:w="140" w:type="dxa"/>
            <w:vAlign w:val="bottom"/>
          </w:tcPr>
          <w:p>
            <w:pPr>
              <w:spacing w:after="0"/>
              <w:rPr>
                <w:sz w:val="16"/>
                <w:szCs w:val="16"/>
                <w:color w:val="auto"/>
              </w:rPr>
            </w:pPr>
          </w:p>
        </w:tc>
        <w:tc>
          <w:tcPr>
            <w:tcW w:w="216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Maximum redemption scenario</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FSDC</w:t>
            </w: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80" w:type="dxa"/>
            <w:vAlign w:val="bottom"/>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340" w:type="dxa"/>
            <w:vAlign w:val="bottom"/>
            <w:gridSpan w:val="5"/>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(Historical)  (Historical)</w:t>
            </w:r>
          </w:p>
        </w:tc>
        <w:tc>
          <w:tcPr>
            <w:tcW w:w="13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3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34,472</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34,472</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expenses</w:t>
            </w:r>
          </w:p>
        </w:tc>
        <w:tc>
          <w:tcPr>
            <w:tcW w:w="5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6,753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6,753</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6,753</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72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41,225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41,225</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(41,225)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(41,225)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(41,225)</w:t>
            </w: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540" w:type="dxa"/>
            <w:vAlign w:val="bottom"/>
          </w:tcPr>
          <w:p>
            <w:pPr>
              <w:spacing w:after="0"/>
              <w:rPr>
                <w:sz w:val="20"/>
                <w:szCs w:val="20"/>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189"/>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value of warrant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liability</w:t>
            </w:r>
          </w:p>
        </w:tc>
        <w:tc>
          <w:tcPr>
            <w:tcW w:w="540" w:type="dxa"/>
            <w:vAlign w:val="bottom"/>
          </w:tcPr>
          <w:p>
            <w:pPr>
              <w:spacing w:after="0"/>
              <w:rPr>
                <w:sz w:val="19"/>
                <w:szCs w:val="19"/>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(41,400)</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(41,400)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(41,400)</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basic and</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5,171,537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46,541,250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35,388,875</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net</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per share</w:t>
            </w:r>
          </w:p>
        </w:tc>
        <w:tc>
          <w:tcPr>
            <w:tcW w:w="540" w:type="dxa"/>
            <w:vAlign w:val="bottom"/>
          </w:tcPr>
          <w:p>
            <w:pPr>
              <w:spacing w:after="0"/>
              <w:rPr>
                <w:sz w:val="18"/>
                <w:szCs w:val="18"/>
                <w:color w:val="auto"/>
              </w:rPr>
            </w:pP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the Business Combination</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with Merger Sub and Gemini, pursuant to which Merger Sub will merge with and into Gemini, with Gemini as the surviving company in the Merger and, after giving effect to such Merger, Gemini shall be a wholly-owned subsidiary of FS Development. Upon the closing of the Business Combination, it is anticipated that FS Development will change its name to “Gemini Therapeutics, Inc.”</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the consideration to be received by the Gemini Equityholders in connection with the Business Combination will be an aggregate number of shares of Combined Entity common stock equal to (i) $215.0 million, divided by (ii) $10.00. In addition, immediately after the completion of the Business Combination, certain investors have agreed to subscribe for and purchase an aggregate of $95,060,000 of common stock of Combined Entity (the “PIPE Investment”).</w:t>
      </w:r>
    </w:p>
    <w:p>
      <w:pPr>
        <w:spacing w:after="0" w:line="11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represents the aggregate merger consideration under the no redemption and maximum redemption scenarios: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No Redemption and</w:t>
            </w:r>
          </w:p>
        </w:tc>
      </w:tr>
      <w:tr>
        <w:trPr>
          <w:trHeight w:val="212"/>
        </w:trPr>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Maximum Redemption</w:t>
            </w:r>
          </w:p>
        </w:tc>
      </w:tr>
      <w:tr>
        <w:trPr>
          <w:trHeight w:val="47"/>
        </w:trPr>
        <w:tc>
          <w:tcPr>
            <w:tcW w:w="5600" w:type="dxa"/>
            <w:vAlign w:val="bottom"/>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Shares Issued</w:t>
            </w:r>
          </w:p>
        </w:tc>
      </w:tr>
      <w:tr>
        <w:trPr>
          <w:trHeight w:val="46"/>
        </w:trPr>
        <w:tc>
          <w:tcPr>
            <w:tcW w:w="56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consideration to Gemini</w:t>
            </w:r>
            <w:r>
              <w:rPr>
                <w:rFonts w:ascii="Times New Roman" w:cs="Times New Roman" w:eastAsia="Times New Roman" w:hAnsi="Times New Roman"/>
                <w:sz w:val="20"/>
                <w:szCs w:val="20"/>
                <w:color w:val="auto"/>
                <w:vertAlign w:val="superscript"/>
              </w:rPr>
              <w:t>(a)(b)</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215,000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896"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common stock issued to Gemini included in the consideration is reflected at $10 per share as defined in the Merger Agreement.</w:t>
      </w:r>
    </w:p>
    <w:p>
      <w:pPr>
        <w:jc w:val="both"/>
        <w:ind w:left="880" w:right="479" w:hanging="426"/>
        <w:spacing w:after="0" w:line="272" w:lineRule="auto"/>
        <w:tabs>
          <w:tab w:leader="none" w:pos="1017"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of up to 21.5 million consideration shares include 19.3 million shares to be issued for all issued and outstanding Gemini common and preferred stock plus 2.2 million shares underlying unvested, unissued, and/or unexercised stock options and warrants, which amount will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 Merger Consideration.</w:t>
      </w:r>
      <w:r>
        <w:rPr>
          <w:rFonts w:ascii="Times New Roman" w:cs="Times New Roman" w:eastAsia="Times New Roman" w:hAnsi="Times New Roman"/>
          <w:sz w:val="16"/>
          <w:szCs w:val="16"/>
          <w:color w:val="auto"/>
        </w:rPr>
        <w:t>”</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As of the date of the signing of the Merger Agreement, the conversion ratio was 10.00. The closing conversion ratio will be calculated in accordance with the methodology and procedures set forth in the Merger Agreement, and FS Development will file with the SEC a Current Report on Form 8-K announcing the final conversion ratio no later than four business days prior to the special meeting of its stockholders.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summarizes the unaudited pro form common stock shares outstanding under the no redemption and maximum redemption scenarios: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600" w:type="dxa"/>
            <w:vAlign w:val="bottom"/>
            <w:gridSpan w:val="3"/>
          </w:tcPr>
          <w:p>
            <w:pPr>
              <w:jc w:val="center"/>
              <w:ind w:left="512"/>
              <w:spacing w:after="0"/>
              <w:rPr>
                <w:sz w:val="20"/>
                <w:szCs w:val="20"/>
                <w:color w:val="auto"/>
              </w:rPr>
            </w:pPr>
            <w:r>
              <w:rPr>
                <w:rFonts w:ascii="Times New Roman" w:cs="Times New Roman" w:eastAsia="Times New Roman" w:hAnsi="Times New Roman"/>
                <w:sz w:val="16"/>
                <w:szCs w:val="16"/>
                <w:b w:val="1"/>
                <w:bCs w:val="1"/>
                <w:color w:val="auto"/>
              </w:rPr>
              <w:t>Assuming No</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4"/>
          </w:tcPr>
          <w:p>
            <w:pPr>
              <w:ind w:left="900"/>
              <w:spacing w:after="0"/>
              <w:rPr>
                <w:sz w:val="20"/>
                <w:szCs w:val="20"/>
                <w:color w:val="auto"/>
              </w:rPr>
            </w:pPr>
            <w:r>
              <w:rPr>
                <w:rFonts w:ascii="Times New Roman" w:cs="Times New Roman" w:eastAsia="Times New Roman" w:hAnsi="Times New Roman"/>
                <w:sz w:val="16"/>
                <w:szCs w:val="16"/>
                <w:b w:val="1"/>
                <w:bCs w:val="1"/>
                <w:color w:val="auto"/>
              </w:rPr>
              <w:t>Assuming</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3240" w:type="dxa"/>
            <w:vAlign w:val="bottom"/>
          </w:tcPr>
          <w:p>
            <w:pPr>
              <w:spacing w:after="0"/>
              <w:rPr>
                <w:sz w:val="18"/>
                <w:szCs w:val="18"/>
                <w:color w:val="auto"/>
              </w:rPr>
            </w:pPr>
          </w:p>
        </w:tc>
        <w:tc>
          <w:tcPr>
            <w:tcW w:w="1600" w:type="dxa"/>
            <w:vAlign w:val="bottom"/>
            <w:gridSpan w:val="3"/>
          </w:tcPr>
          <w:p>
            <w:pPr>
              <w:jc w:val="center"/>
              <w:ind w:left="552"/>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6"/>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Maximum Redemption</w:t>
            </w:r>
          </w:p>
        </w:tc>
      </w:tr>
      <w:tr>
        <w:trPr>
          <w:trHeight w:val="46"/>
        </w:trPr>
        <w:tc>
          <w:tcPr>
            <w:tcW w:w="3240" w:type="dxa"/>
            <w:vAlign w:val="bottom"/>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Borders>
              <w:bottom w:val="single" w:sz="8" w:color="auto"/>
            </w:tcBorders>
            <w:gridSpan w:val="4"/>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4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r>
      <w:tr>
        <w:trPr>
          <w:trHeight w:val="47"/>
        </w:trPr>
        <w:tc>
          <w:tcPr>
            <w:tcW w:w="324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4"/>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public stockholders</w:t>
            </w:r>
          </w:p>
        </w:tc>
        <w:tc>
          <w:tcPr>
            <w:tcW w:w="11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12,075,000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5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Sponsor and Directors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3,460,250</w:t>
            </w:r>
          </w:p>
        </w:tc>
        <w:tc>
          <w:tcPr>
            <w:tcW w:w="38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3,460,250</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3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FS Development</w:t>
            </w:r>
          </w:p>
        </w:tc>
        <w:tc>
          <w:tcPr>
            <w:tcW w:w="11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15,535,250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8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Gemini</w:t>
            </w:r>
            <w:r>
              <w:rPr>
                <w:rFonts w:ascii="Times New Roman" w:cs="Times New Roman" w:eastAsia="Times New Roman" w:hAnsi="Times New Roman"/>
                <w:sz w:val="20"/>
                <w:szCs w:val="20"/>
                <w:color w:val="auto"/>
                <w:vertAlign w:val="superscript"/>
              </w:rPr>
              <w:t>(A)</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19,282,221</w:t>
            </w:r>
          </w:p>
        </w:tc>
        <w:tc>
          <w:tcPr>
            <w:tcW w:w="38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19,282,221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w:t>
            </w:r>
          </w:p>
        </w:tc>
      </w:tr>
      <w:tr>
        <w:trPr>
          <w:trHeight w:val="28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Shares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9,506,000</w:t>
            </w:r>
          </w:p>
        </w:tc>
        <w:tc>
          <w:tcPr>
            <w:tcW w:w="3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9,506,000</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r>
      <w:tr>
        <w:trPr>
          <w:trHeight w:val="174"/>
        </w:trPr>
        <w:tc>
          <w:tcPr>
            <w:tcW w:w="32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Shares at Closing (excluding</w:t>
            </w: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238"/>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certain Gemini shares)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44,323,471</w:t>
            </w:r>
          </w:p>
        </w:tc>
        <w:tc>
          <w:tcPr>
            <w:tcW w:w="3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33,171,096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40"/>
        </w:trPr>
        <w:tc>
          <w:tcPr>
            <w:tcW w:w="3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8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Gemini-Remaining Consideration Shares</w:t>
            </w:r>
            <w:r>
              <w:rPr>
                <w:rFonts w:ascii="Times New Roman" w:cs="Times New Roman" w:eastAsia="Times New Roman" w:hAnsi="Times New Roman"/>
                <w:sz w:val="20"/>
                <w:szCs w:val="20"/>
                <w:color w:val="auto"/>
                <w:vertAlign w:val="superscript"/>
              </w:rPr>
              <w:t>(A)</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2,217,779</w:t>
            </w: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2,217,779</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74"/>
        </w:trPr>
        <w:tc>
          <w:tcPr>
            <w:tcW w:w="32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Shares at Closing (including</w:t>
            </w: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9"/>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certain Gemini shares)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46,541,250</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35,388,875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0"/>
        </w:trPr>
        <w:tc>
          <w:tcPr>
            <w:tcW w:w="3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71" w:lineRule="auto"/>
        <w:tabs>
          <w:tab w:leader="none" w:pos="922"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consideration to be issued to Gemini is up to $215.0 million or 21.5 million shares ($10 per share price). The total shares to be issued includes Gemini common and preferred stock plus shares underlying unvested stock options. Accordingly, the consideration shares outstanding at the closing of the Business Combination has been adjusted to exclude the portion of consideration shares that will be unvested, unissued, and/or unexercised at the closing of the Business Combination. The total consideration to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 Merger Consideration</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70"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4" w:name="page105"/>
    <w:bookmarkEnd w:id="1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historical financial information of FS Development and Gemini has been adjusted in the unaudited pro forma combined financial information to give effect to events that are (1) directly attributable to the Business Combination and the PIPE Investment, (2) factually supportable, and (3) with respect to the statements of operations, expected to have a continuing impact on the combined results. The pro forma adjustments are prepared to illustrate the estimated effect of the Business Combination and the PIPE Investment and certain other adjustments.</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The Business Combination will be accounted for as a reverse recapitalization because Gemini has been determined to be the accounting acquirer under Financial Accounting Standards Board’s Accounting Standards Codification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under both the no redemption and maximum redemption scenarios. The determination is primarily based on the evaluation of the following facts and circumstances taking into consideration both the no redemption and maximum redemption scenarios:</w:t>
      </w:r>
    </w:p>
    <w:p>
      <w:pPr>
        <w:spacing w:after="0" w:line="116" w:lineRule="exact"/>
        <w:rPr>
          <w:sz w:val="20"/>
          <w:szCs w:val="20"/>
          <w:color w:val="auto"/>
        </w:rPr>
      </w:pPr>
    </w:p>
    <w:p>
      <w:pPr>
        <w:ind w:left="1320" w:right="479" w:hanging="434"/>
        <w:spacing w:after="0" w:line="282" w:lineRule="auto"/>
        <w:tabs>
          <w:tab w:leader="none" w:pos="135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pre-combination equity holders of Gemini will hold the majority of voting rights in Combined Entity;</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pre-combination equity holders of Gemini will have the right to appoint the majority of the directors on the Combined Entity Board;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of Gemini will comprise the senior management of Combined Entity;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Gemini will comprise the ongoing operations of Combined Entity.</w:t>
      </w:r>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Under the reverse recapitalization model, the Business Combination will be treated as Gemini issuing equity for the net assets of FS Development, with no goodwill or intangible assets recorded.</w:t>
      </w:r>
    </w:p>
    <w:p>
      <w:pPr>
        <w:spacing w:after="0" w:line="9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has been prepared using the assumptions below with respect to the potential redemption of Public Shares into cash:</w:t>
      </w:r>
    </w:p>
    <w:p>
      <w:pPr>
        <w:spacing w:after="0" w:line="36" w:lineRule="exact"/>
        <w:rPr>
          <w:sz w:val="20"/>
          <w:szCs w:val="20"/>
          <w:color w:val="auto"/>
        </w:rPr>
      </w:pPr>
    </w:p>
    <w:p>
      <w:pPr>
        <w:ind w:left="1320" w:right="479" w:hanging="434"/>
        <w:spacing w:after="0" w:line="286" w:lineRule="auto"/>
        <w:tabs>
          <w:tab w:leader="none" w:pos="141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Assuming No Redemptions</w:t>
      </w:r>
      <w:r>
        <w:rPr>
          <w:rFonts w:ascii="Times New Roman" w:cs="Times New Roman" w:eastAsia="Times New Roman" w:hAnsi="Times New Roman"/>
          <w:sz w:val="18"/>
          <w:szCs w:val="18"/>
          <w:color w:val="auto"/>
        </w:rPr>
        <w:t>: This presentation assumes that no FS Development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redemption rights with respect to their Public Shares; and</w:t>
      </w:r>
    </w:p>
    <w:p>
      <w:pPr>
        <w:spacing w:after="0" w:line="19"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4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Assuming Maximum Redemptions</w:t>
      </w:r>
      <w:r>
        <w:rPr>
          <w:rFonts w:ascii="Times New Roman" w:cs="Times New Roman" w:eastAsia="Times New Roman" w:hAnsi="Times New Roman"/>
          <w:sz w:val="18"/>
          <w:szCs w:val="18"/>
          <w:color w:val="auto"/>
        </w:rPr>
        <w:t>: This presentation assumes that all of FS Development’s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stockholders exercise redemption rights with respect to their Public Shares. This scenario assumes that 11,152,375 Class A common stock shares are redeemed for an aggregate redemption payment of approximately $111.5 million. This maximum redemption scenario is based on the maximum number of redemptions which may occur, but which would still provide FS Development with net tangible assets of $5.0 million, less FS Development’s unpaid expenses.</w:t>
      </w:r>
    </w:p>
    <w:p>
      <w:pPr>
        <w:spacing w:after="0" w:line="6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the actual facts are different than these assumptions, then the amounts and shares outstanding in the unaudited pro forma combined financial information will be different.</w:t>
      </w:r>
    </w:p>
    <w:p>
      <w:pPr>
        <w:spacing w:after="0" w:line="4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expects to enter into new equity awards with its employees upon the consummation of the Business Combination. The terms of these new equity awards have not been finalized and remain subject to change. Accordingly, no effect has been given to the unaudited pro forma combined financial information for the new awards.</w:t>
      </w:r>
    </w:p>
    <w:p>
      <w:pPr>
        <w:spacing w:after="0" w:line="4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information does not reflect the income tax effects of the pro forma adjustments as any change in the deferred tax balance would be offset by an increase in the valuation allowance given Gemini incurred significant losses during the historical periods presented.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Pro Forma Adjustments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Combined Balance Sheet as of September 30, 2020</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 forma adjustments included in the unaudited pro forma combined balance sheet as of September 30,</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2020 are as follows:</w:t>
      </w:r>
    </w:p>
    <w:p>
      <w:pPr>
        <w:spacing w:after="0" w:line="137" w:lineRule="exact"/>
        <w:rPr>
          <w:sz w:val="20"/>
          <w:szCs w:val="20"/>
          <w:color w:val="auto"/>
        </w:rPr>
      </w:pPr>
    </w:p>
    <w:p>
      <w:pPr>
        <w:ind w:left="1320" w:right="459" w:hanging="434"/>
        <w:spacing w:after="0" w:line="284" w:lineRule="auto"/>
        <w:tabs>
          <w:tab w:leader="none" w:pos="1443" w:val="left"/>
        </w:tabs>
        <w:numPr>
          <w:ilvl w:val="0"/>
          <w:numId w:val="1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Represents the impact of the Business Combination and PIPE Investment on the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of Combined Entity.</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represents the sources and uses of funds as it relates to the Business Combination:</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No redemption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212"/>
        </w:trPr>
        <w:tc>
          <w:tcPr>
            <w:tcW w:w="47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0" w:type="dxa"/>
            <w:vAlign w:val="bottom"/>
          </w:tcPr>
          <w:p>
            <w:pPr>
              <w:spacing w:after="0"/>
              <w:rPr>
                <w:sz w:val="1"/>
                <w:szCs w:val="1"/>
                <w:color w:val="auto"/>
              </w:rPr>
            </w:pPr>
          </w:p>
        </w:tc>
      </w:tr>
      <w:tr>
        <w:trPr>
          <w:trHeight w:val="47"/>
        </w:trPr>
        <w:tc>
          <w:tcPr>
            <w:tcW w:w="47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cash held in Trust Account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120,751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PIPE – FS Development Sponsor</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 Gemini Stockholders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PIPE Investors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redeeming FS Development Stockholders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(111,524)</w:t>
            </w: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underwriting commissions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40"/>
        </w:trPr>
        <w:tc>
          <w:tcPr>
            <w:tcW w:w="4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other transaction costs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(20,384)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(20,384)</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Excess cash to balance sheet from Business Combination</w:t>
            </w: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191,201</w:t>
            </w:r>
          </w:p>
        </w:tc>
        <w:tc>
          <w:tcPr>
            <w:tcW w:w="100" w:type="dxa"/>
            <w:vAlign w:val="bottom"/>
          </w:tcPr>
          <w:p>
            <w:pPr>
              <w:spacing w:after="0"/>
              <w:rPr>
                <w:sz w:val="21"/>
                <w:szCs w:val="21"/>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79,677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968"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amount of the restricted investments and cash held in the trust account upon consummation of the Business Combination at Closing.</w:t>
      </w:r>
    </w:p>
    <w:p>
      <w:pPr>
        <w:ind w:left="880" w:right="479" w:hanging="426"/>
        <w:spacing w:after="0" w:line="264" w:lineRule="auto"/>
        <w:tabs>
          <w:tab w:leader="none" w:pos="1047"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issuance, in the PIPE Investment, to certain investors of 9,506,000 shares of Combined Entity common stock at a price of $10.00 per share.</w:t>
      </w:r>
    </w:p>
    <w:p>
      <w:pPr>
        <w:ind w:left="880" w:right="479" w:hanging="426"/>
        <w:spacing w:after="0" w:line="264" w:lineRule="auto"/>
        <w:tabs>
          <w:tab w:leader="none" w:pos="942"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amount paid to FS Development stockholders who are assumed to exercise redemption rights under the maximum redemption scenario.</w:t>
      </w:r>
    </w:p>
    <w:p>
      <w:pPr>
        <w:ind w:left="880" w:hanging="426"/>
        <w:spacing w:after="0"/>
        <w:tabs>
          <w:tab w:leader="none" w:pos="88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 of deferred FS Development IPO underwriting commissions by FS Development.</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 of other Business Combination transaction costs.</w:t>
      </w:r>
    </w:p>
    <w:p>
      <w:pPr>
        <w:spacing w:after="0" w:line="139" w:lineRule="exact"/>
        <w:rPr>
          <w:rFonts w:ascii="Times New Roman" w:cs="Times New Roman" w:eastAsia="Times New Roman" w:hAnsi="Times New Roman"/>
          <w:sz w:val="16"/>
          <w:szCs w:val="16"/>
          <w:color w:val="auto"/>
        </w:rPr>
      </w:pPr>
    </w:p>
    <w:p>
      <w:pPr>
        <w:ind w:left="1300" w:hanging="414"/>
        <w:spacing w:after="0"/>
        <w:tabs>
          <w:tab w:leader="none" w:pos="1300" w:val="left"/>
        </w:tabs>
        <w:numPr>
          <w:ilvl w:val="1"/>
          <w:numId w:val="1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 Combination costs</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i w:val="1"/>
          <w:iCs w:val="1"/>
          <w:color w:val="auto"/>
        </w:rPr>
      </w:pPr>
    </w:p>
    <w:p>
      <w:pPr>
        <w:jc w:val="both"/>
        <w:ind w:left="1760" w:right="479" w:hanging="442"/>
        <w:spacing w:after="0" w:line="261" w:lineRule="auto"/>
        <w:tabs>
          <w:tab w:leader="none" w:pos="1918"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deferred FS Development IPO underwriting commissions incurred by FS Development in the amount of $4.2 million (see Note 3(a)(4)). The unaudited pro forma combined balance sheet reflects payment of these costs as a reduction of cash, with a corresponding decrease in deferred underwriting commission liability.</w:t>
      </w:r>
    </w:p>
    <w:p>
      <w:pPr>
        <w:spacing w:after="0" w:line="112"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927"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incremental expenses related to the Business Combination and the PIPE Investment in the amount of $20.4 million (see Note 3(a)(5)). The unaudited pro forma combined balance sheet reflects these costs as a reduction of cash, with a corresponding decrease in additional paid-in capital (see Note 3(d)).</w:t>
      </w:r>
    </w:p>
    <w:p>
      <w:pPr>
        <w:spacing w:after="0" w:line="96"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298" w:val="left"/>
        </w:tabs>
        <w:numPr>
          <w:ilvl w:val="1"/>
          <w:numId w:val="1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Represents release of the restricted investments and cash held in the FS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account upon consummation of the Business Combination (See Note 3(a)(1)).</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1320" w:right="459" w:hanging="434"/>
        <w:spacing w:after="0" w:line="267" w:lineRule="auto"/>
        <w:tabs>
          <w:tab w:leader="none" w:pos="1338" w:val="left"/>
        </w:tabs>
        <w:numPr>
          <w:ilvl w:val="0"/>
          <w:numId w:val="1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Impact on equity</w:t>
      </w:r>
      <w:r>
        <w:rPr>
          <w:rFonts w:ascii="Times New Roman" w:cs="Times New Roman" w:eastAsia="Times New Roman" w:hAnsi="Times New Roman"/>
          <w:sz w:val="18"/>
          <w:szCs w:val="18"/>
          <w:color w:val="auto"/>
        </w:rPr>
        <w:t>. The following table represents the impact of the Business Combination and PIPE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on the number of shares of FS Development Class A Common Stock and represents the total equity section assuming no redemptions by FS Development stockholder:</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4"/>
                <w:szCs w:val="24"/>
                <w:color w:val="auto"/>
              </w:rPr>
            </w:pPr>
          </w:p>
        </w:tc>
        <w:tc>
          <w:tcPr>
            <w:tcW w:w="16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8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8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80" w:type="dxa"/>
            <w:vAlign w:val="bottom"/>
          </w:tcPr>
          <w:p>
            <w:pPr>
              <w:spacing w:after="0"/>
              <w:rPr>
                <w:sz w:val="10"/>
                <w:szCs w:val="10"/>
                <w:color w:val="auto"/>
              </w:rPr>
            </w:pPr>
          </w:p>
        </w:tc>
        <w:tc>
          <w:tcPr>
            <w:tcW w:w="56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Gemini’s</w:t>
            </w:r>
          </w:p>
        </w:tc>
        <w:tc>
          <w:tcPr>
            <w:tcW w:w="100" w:type="dxa"/>
            <w:vAlign w:val="bottom"/>
          </w:tcPr>
          <w:p>
            <w:pPr>
              <w:spacing w:after="0"/>
              <w:rPr>
                <w:sz w:val="10"/>
                <w:szCs w:val="10"/>
                <w:color w:val="auto"/>
              </w:rPr>
            </w:pPr>
          </w:p>
        </w:tc>
        <w:tc>
          <w:tcPr>
            <w:tcW w:w="6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880" w:type="dxa"/>
            <w:vAlign w:val="bottom"/>
            <w:gridSpan w:val="3"/>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6"/>
                <w:szCs w:val="16"/>
                <w:color w:val="auto"/>
              </w:rPr>
            </w:pPr>
          </w:p>
        </w:tc>
        <w:tc>
          <w:tcPr>
            <w:tcW w:w="5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Development stockholders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816,967</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5,501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 Holdings, LLC</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441,500</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80,449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(98,506)</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promissory notes</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(6,805)</w:t>
            </w:r>
          </w:p>
        </w:tc>
        <w:tc>
          <w:tcPr>
            <w:tcW w:w="0" w:type="dxa"/>
            <w:vAlign w:val="bottom"/>
          </w:tcPr>
          <w:p>
            <w:pPr>
              <w:spacing w:after="0"/>
              <w:rPr>
                <w:sz w:val="1"/>
                <w:szCs w:val="1"/>
                <w:color w:val="auto"/>
              </w:rPr>
            </w:pPr>
          </w:p>
        </w:tc>
      </w:tr>
      <w:tr>
        <w:trPr>
          <w:trHeight w:val="47"/>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Class B common stock</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redeemable 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11,258,033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112,579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Stockholders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PIPE – Gemini Stockholders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1,560,000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 Sponsor Affiliate</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PIPE – Other Investors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6,446,000</w:t>
            </w: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64,460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Balances after share transactions of</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Combined Entity</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46,541,250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105,871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211,896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(105,812)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Estimated transaction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(20,384)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Elimination of historical accumulated</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deficit of FS Development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Elimination of historical stock of</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Gemini</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(105,871)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105,877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Post-Business Combination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46,541,250</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296,888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(105,311)</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case of maximum redemption by holders of Public Shares, the following table represents the impact of the Business Combination and PIPE Investment on the number of shares of FS Development Class A Common Stock and represents the total equity section:</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560" w:type="dxa"/>
            <w:vAlign w:val="bottom"/>
          </w:tcPr>
          <w:p>
            <w:pPr>
              <w:spacing w:after="0"/>
              <w:rPr>
                <w:sz w:val="24"/>
                <w:szCs w:val="24"/>
                <w:color w:val="auto"/>
              </w:rPr>
            </w:pPr>
          </w:p>
        </w:tc>
        <w:tc>
          <w:tcPr>
            <w:tcW w:w="174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94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8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80" w:type="dxa"/>
            <w:vAlign w:val="bottom"/>
          </w:tcPr>
          <w:p>
            <w:pPr>
              <w:spacing w:after="0"/>
              <w:rPr>
                <w:sz w:val="10"/>
                <w:szCs w:val="10"/>
                <w:color w:val="auto"/>
              </w:rPr>
            </w:pPr>
          </w:p>
        </w:tc>
        <w:tc>
          <w:tcPr>
            <w:tcW w:w="560" w:type="dxa"/>
            <w:vAlign w:val="bottom"/>
            <w:gridSpan w:val="4"/>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80" w:type="dxa"/>
            <w:vAlign w:val="bottom"/>
            <w:gridSpan w:val="2"/>
          </w:tcPr>
          <w:p>
            <w:pPr>
              <w:spacing w:after="0"/>
              <w:rPr>
                <w:sz w:val="10"/>
                <w:szCs w:val="10"/>
                <w:color w:val="auto"/>
              </w:rPr>
            </w:pPr>
          </w:p>
        </w:tc>
        <w:tc>
          <w:tcPr>
            <w:tcW w:w="7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Gemini’s</w:t>
            </w:r>
          </w:p>
        </w:tc>
        <w:tc>
          <w:tcPr>
            <w:tcW w:w="100" w:type="dxa"/>
            <w:vAlign w:val="bottom"/>
          </w:tcPr>
          <w:p>
            <w:pPr>
              <w:spacing w:after="0"/>
              <w:rPr>
                <w:sz w:val="10"/>
                <w:szCs w:val="10"/>
                <w:color w:val="auto"/>
              </w:rPr>
            </w:pPr>
          </w:p>
        </w:tc>
        <w:tc>
          <w:tcPr>
            <w:tcW w:w="7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88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0" w:type="dxa"/>
            <w:vAlign w:val="bottom"/>
          </w:tcPr>
          <w:p>
            <w:pPr>
              <w:spacing w:after="0"/>
              <w:rPr>
                <w:sz w:val="1"/>
                <w:szCs w:val="1"/>
                <w:color w:val="auto"/>
              </w:rPr>
            </w:pPr>
          </w:p>
        </w:tc>
      </w:tr>
      <w:tr>
        <w:trPr>
          <w:trHeight w:val="190"/>
        </w:trPr>
        <w:tc>
          <w:tcPr>
            <w:tcW w:w="2560" w:type="dxa"/>
            <w:vAlign w:val="bottom"/>
            <w:vMerge w:val="continue"/>
          </w:tcPr>
          <w:p>
            <w:pPr>
              <w:spacing w:after="0"/>
              <w:rPr>
                <w:sz w:val="16"/>
                <w:szCs w:val="16"/>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6"/>
                <w:szCs w:val="16"/>
                <w:color w:val="auto"/>
              </w:rPr>
            </w:pPr>
          </w:p>
        </w:tc>
        <w:tc>
          <w:tcPr>
            <w:tcW w:w="5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5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Development stockholders</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816,967</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3,018,750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 Holdings, LLC</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441,500</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80,449</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(98,506)</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promissory notes</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(6,805)</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Class B common stock</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redeemable 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11,258,033</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Redemption of redeemable</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(11,152,375)</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(111,522)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Gemini Stockholders</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21,500,000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 Gemini Stockholders</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1,560,000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15,600</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PIPE – Sponsor Affiliate</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1,500,000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 Other Investors</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6,446,000</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64,460</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9"/>
        </w:trPr>
        <w:tc>
          <w:tcPr>
            <w:tcW w:w="25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Balances after share transactions of</w:t>
            </w: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Combined Entity</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35,388,875</w:t>
            </w: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105,871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100,373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(105,812)</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transaction costs</w:t>
            </w: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(20,384)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Elimination of historical accumulated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deficit of FS Development</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Elimination of historical stock of</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Gemini</w:t>
            </w: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(105,871)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105,877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Post-Business Combination</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35,388,875</w:t>
            </w: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185,365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(105,311)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07" w:name="page108"/>
    <w:bookmarkEnd w:id="1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Combined Statements of Operations for the Nine Months Ended September 30, 2020 and Year Ended December 31, 2019</w:t>
      </w:r>
    </w:p>
    <w:p>
      <w:pPr>
        <w:spacing w:after="0" w:line="51"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combined statement of operations for the nine months ended September 30, 2020 and for the year ended December 31, 2019 are as follows:</w:t>
      </w:r>
    </w:p>
    <w:p>
      <w:pPr>
        <w:spacing w:after="0" w:line="52" w:lineRule="exact"/>
        <w:rPr>
          <w:sz w:val="20"/>
          <w:szCs w:val="20"/>
          <w:color w:val="auto"/>
        </w:rPr>
      </w:pPr>
    </w:p>
    <w:p>
      <w:pPr>
        <w:jc w:val="both"/>
        <w:ind w:left="1320" w:right="459" w:hanging="434"/>
        <w:spacing w:after="0" w:line="253" w:lineRule="auto"/>
        <w:tabs>
          <w:tab w:leader="none" w:pos="1352" w:val="left"/>
        </w:tabs>
        <w:numPr>
          <w:ilvl w:val="0"/>
          <w:numId w:val="1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loss on extinguishment of debt. </w:t>
      </w:r>
      <w:r>
        <w:rPr>
          <w:rFonts w:ascii="Times New Roman" w:cs="Times New Roman" w:eastAsia="Times New Roman" w:hAnsi="Times New Roman"/>
          <w:sz w:val="18"/>
          <w:szCs w:val="18"/>
          <w:color w:val="auto"/>
        </w:rPr>
        <w:t>On August 21, 2020, Gemini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agreement with various investors to issue $14.0 million in convertible promissory notes (“Notes”). The Notes accrue simple interest at 8% per annum. Gemini determined that a beneficial conversion feature (“BCF”) exists and should be recognized on the issuance date. It recorded the Notes at the original issue price, net of the BCF discount. The BCF discount is accreted to the face value of the Notes, offset against interest expense. Principal and interest are convertible into Series B preferred stock at a per share conversion price of $1.3513 prior to the effective date of the Business Combination. The proforma disclosures have been prepared as if the Notes convert to Series B preferred stock on December 31, 2020, and a reacquisition price of $25.4 million representing the expected fair value of Series B preferred stock upon conversion. The adjustments reflect the accretion of the BCF discount recognized as interest expense of $5.9 million, simple interest of $0.4 million and a loss on extinguishment of $2.3 million.</w:t>
      </w:r>
    </w:p>
    <w:p>
      <w:pPr>
        <w:spacing w:after="0" w:line="81" w:lineRule="exact"/>
        <w:rPr>
          <w:rFonts w:ascii="Times New Roman" w:cs="Times New Roman" w:eastAsia="Times New Roman" w:hAnsi="Times New Roman"/>
          <w:sz w:val="18"/>
          <w:szCs w:val="18"/>
          <w:i w:val="1"/>
          <w:iCs w:val="1"/>
          <w:color w:val="auto"/>
        </w:rPr>
      </w:pPr>
    </w:p>
    <w:p>
      <w:pPr>
        <w:jc w:val="both"/>
        <w:ind w:left="1320" w:right="459" w:hanging="434"/>
        <w:spacing w:after="0" w:line="258" w:lineRule="auto"/>
        <w:tabs>
          <w:tab w:leader="none" w:pos="1448" w:val="left"/>
        </w:tabs>
        <w:numPr>
          <w:ilvl w:val="0"/>
          <w:numId w:val="1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Net loss per share. </w:t>
      </w:r>
      <w:r>
        <w:rPr>
          <w:rFonts w:ascii="Times New Roman" w:cs="Times New Roman" w:eastAsia="Times New Roman" w:hAnsi="Times New Roman"/>
          <w:sz w:val="18"/>
          <w:szCs w:val="18"/>
          <w:color w:val="auto"/>
        </w:rPr>
        <w:t>Represents pro forma net loss per share based on pro forma net loss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46,541,250 and 35,388,875 total pro forma shares outstanding upon consummation of the Business Combination and PIPE Investment for no redemption and maximum redemption scenario, respectively. There are no equity instruments that are expected to have a dilutive effect on the net income per share post-Business Combination.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Loss Per Share</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Net loss per share calculated using the historical weighted average shares outstanding, and the issuance of additional shares in connection with the Business Combination, assuming the shares were outstanding since January 1, 2019. As the Business Combination is being reflected as if it had occurred at the beginning of the periods presented, the calculation of weighted average shares outstanding for basic and diluted net loss per share assumes that the shares issuable relating to the Business Combination have been outstanding for the entire periods presented. If the maximum number of shares are redeemed, this calculation is retroactively adjusted to eliminate such shares for the entire periods.</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two alternative levels of redemption for the year ended December 31, 2019 and for the nine months ended September 30, 2020:</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7"/>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7"/>
                <w:szCs w:val="17"/>
                <w:color w:val="auto"/>
              </w:rPr>
            </w:pPr>
          </w:p>
        </w:tc>
        <w:tc>
          <w:tcPr>
            <w:tcW w:w="218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7"/>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20" w:type="dxa"/>
            <w:vAlign w:val="bottom"/>
          </w:tcPr>
          <w:p>
            <w:pPr>
              <w:spacing w:after="0"/>
              <w:rPr>
                <w:sz w:val="18"/>
                <w:szCs w:val="18"/>
                <w:color w:val="auto"/>
              </w:rPr>
            </w:pPr>
          </w:p>
        </w:tc>
        <w:tc>
          <w:tcPr>
            <w:tcW w:w="2180" w:type="dxa"/>
            <w:vAlign w:val="bottom"/>
            <w:gridSpan w:val="6"/>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47"/>
        </w:trPr>
        <w:tc>
          <w:tcPr>
            <w:tcW w:w="34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w:t>
            </w: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4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4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100" w:type="dxa"/>
            <w:vAlign w:val="bottom"/>
          </w:tcPr>
          <w:p>
            <w:pPr>
              <w:spacing w:after="0"/>
              <w:rPr>
                <w:sz w:val="18"/>
                <w:szCs w:val="18"/>
                <w:color w:val="auto"/>
              </w:rPr>
            </w:pPr>
          </w:p>
        </w:tc>
        <w:tc>
          <w:tcPr>
            <w:tcW w:w="118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7"/>
              </w:rPr>
              <w:t>Redemptions</w:t>
            </w:r>
          </w:p>
        </w:tc>
        <w:tc>
          <w:tcPr>
            <w:tcW w:w="0" w:type="dxa"/>
            <w:vAlign w:val="bottom"/>
          </w:tcPr>
          <w:p>
            <w:pPr>
              <w:spacing w:after="0"/>
              <w:rPr>
                <w:sz w:val="1"/>
                <w:szCs w:val="1"/>
                <w:color w:val="auto"/>
              </w:rPr>
            </w:pPr>
          </w:p>
        </w:tc>
      </w:tr>
      <w:tr>
        <w:trPr>
          <w:trHeight w:val="47"/>
        </w:trPr>
        <w:tc>
          <w:tcPr>
            <w:tcW w:w="34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(41,400)</w:t>
            </w:r>
          </w:p>
        </w:tc>
        <w:tc>
          <w:tcPr>
            <w:tcW w:w="0" w:type="dxa"/>
            <w:vAlign w:val="bottom"/>
          </w:tcPr>
          <w:p>
            <w:pPr>
              <w:spacing w:after="0"/>
              <w:rPr>
                <w:sz w:val="1"/>
                <w:szCs w:val="1"/>
                <w:color w:val="auto"/>
              </w:rPr>
            </w:pP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weighted average shares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46,541,250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35,388,875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46,541,250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35,388,875</w:t>
            </w:r>
          </w:p>
        </w:tc>
        <w:tc>
          <w:tcPr>
            <w:tcW w:w="0" w:type="dxa"/>
            <w:vAlign w:val="bottom"/>
          </w:tcPr>
          <w:p>
            <w:pPr>
              <w:spacing w:after="0"/>
              <w:rPr>
                <w:sz w:val="1"/>
                <w:szCs w:val="1"/>
                <w:color w:val="auto"/>
              </w:rPr>
            </w:pPr>
          </w:p>
        </w:tc>
      </w:tr>
      <w:tr>
        <w:trPr>
          <w:trHeight w:val="40"/>
        </w:trPr>
        <w:tc>
          <w:tcPr>
            <w:tcW w:w="3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share-basic and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8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Pro forma weighted average shares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public stockholders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12,075,000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922,625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12,075,000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922,625</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Sponsor and Directors</w:t>
            </w:r>
          </w:p>
        </w:tc>
        <w:tc>
          <w:tcPr>
            <w:tcW w:w="12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3,460,250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FS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15,535,250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4,382,875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15,535,250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4,382,875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Gemini</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19,282,221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19,282,221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19,282,221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19,282,221</w:t>
            </w:r>
          </w:p>
        </w:tc>
        <w:tc>
          <w:tcPr>
            <w:tcW w:w="0" w:type="dxa"/>
            <w:vAlign w:val="bottom"/>
          </w:tcPr>
          <w:p>
            <w:pPr>
              <w:spacing w:after="0"/>
              <w:rPr>
                <w:sz w:val="1"/>
                <w:szCs w:val="1"/>
                <w:color w:val="auto"/>
              </w:rPr>
            </w:pPr>
          </w:p>
        </w:tc>
      </w:tr>
      <w:tr>
        <w:trPr>
          <w:trHeight w:val="284"/>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Shares</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9,506,000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9,506,000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9,506,000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9,506,000</w:t>
            </w:r>
          </w:p>
        </w:tc>
        <w:tc>
          <w:tcPr>
            <w:tcW w:w="0" w:type="dxa"/>
            <w:vAlign w:val="bottom"/>
          </w:tcPr>
          <w:p>
            <w:pPr>
              <w:spacing w:after="0"/>
              <w:rPr>
                <w:sz w:val="1"/>
                <w:szCs w:val="1"/>
                <w:color w:val="auto"/>
              </w:rPr>
            </w:pPr>
          </w:p>
        </w:tc>
      </w:tr>
      <w:tr>
        <w:trPr>
          <w:trHeight w:val="174"/>
        </w:trPr>
        <w:tc>
          <w:tcPr>
            <w:tcW w:w="34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Pro forma weighted average shares</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outstanding-basic and diluted</w:t>
            </w:r>
            <w:r>
              <w:rPr>
                <w:rFonts w:ascii="Times New Roman" w:cs="Times New Roman" w:eastAsia="Times New Roman" w:hAnsi="Times New Roman"/>
                <w:sz w:val="20"/>
                <w:szCs w:val="20"/>
                <w:b w:val="1"/>
                <w:bCs w:val="1"/>
                <w:color w:val="auto"/>
                <w:vertAlign w:val="superscript"/>
              </w:rPr>
              <w:t>(2)</w:t>
            </w:r>
          </w:p>
        </w:tc>
        <w:tc>
          <w:tcPr>
            <w:tcW w:w="1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44,323,471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33,171,096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44,323,471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33,171,096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-3810</wp:posOffset>
            </wp:positionV>
            <wp:extent cx="28632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9" w:lineRule="auto"/>
        <w:tabs>
          <w:tab w:leader="none" w:pos="1007"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2.2 million Gemini consideration shares that will be issued upon the occurrence of future events (i.e., exercise of stock options or warrants). Total consideration to be issued to Gemini is up to $215.0 million or 21.5 million shares ($10 per share price). The total shares to be issued includes all issued and outstanding Gemini common and preferred stock plus shares underlying unvested stock options. Accordingly, the weighted average pro forma shares outstanding at close has been adjusted to exclude the portion of consideration shares that will be unvested, unissued, and/or unexercised at the closing of the Business Combination. The total consideration to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Merger Consideration</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70" w:right="1440" w:bottom="488"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488" w:gutter="0" w:footer="0" w:header="0"/>
          <w:type w:val="continuous"/>
        </w:sectPr>
      </w:pPr>
    </w:p>
    <w:bookmarkStart w:id="108" w:name="page109"/>
    <w:bookmarkEnd w:id="1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both"/>
        <w:ind w:left="880" w:right="459" w:hanging="426"/>
        <w:spacing w:after="0" w:line="268" w:lineRule="auto"/>
        <w:tabs>
          <w:tab w:leader="none" w:pos="924"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purposes of applying the if converted method for calculating diluted earnings per share, it was assumed that all Gemini stock options and outstanding warrants are exchanged for Class A common stock. However, since this results in anti-dilution, the effect of such exchange was not included in calculation of diluted loss per share. Shares underlying these instruments include 2.2 million Gemini consideration shares for unvested, unissued, and/or unexercised stock options and warrants.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BUSINESS COMBINATION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 xml:space="preserve">Holders of FS Development Common Stock are being asked to approve and adopt the Merger Agreement and the transactions contemplated thereby, including the Business Combination. FS Development stockholders should read carefully this proxy statement/prospectus in its entirety for more detailed information concerning the Merger Agreement, which is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 xml:space="preserve"> to this proxy statement/prospectus. Please see the section 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below, for additional information and a summary of certain terms of the Merger Agreement. You are urged to read carefully the Merger Agreement in its entirety before voting on this proposal.</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terms of the Business Combination are the result of negotiations between the representatives of FS Development and Gemini. The following is a brief description of the background of these negotiations and the resulting Business Combination. The following does not purport to list every conversation among representatives of FS Development, Gemini and other parties.</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 is a blank check company incorporated in Delaware on June 25, 2020 and formed for the purpose of effecting a merger, capital stock exchange, asset acquisition, stock purchase, reorganization or similar business combination with one or more businesses. FS Development was created to capitalize on the substantial deal sourcing, investing and operating expertise of our management team to identify and combine with one or more businesses with high growth potential.</w:t>
      </w:r>
    </w:p>
    <w:p>
      <w:pPr>
        <w:spacing w:after="0" w:line="1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August 14, 2020, we consummated the FS Development IPO of 12,075,000 shares of Class A Common Stock, generating total gross proceeds of $120,750,000. Substantially concurrent with the consummation of the FS Development IPO, our Sponsor purchased 441,500 shares of Class A Common Stock for an aggregate purchase price of $4,415,000, or $10.00 per share.</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Prior to the consummation of the FS Development IPO, neither FS Development, nor anyone on its behalf, engaged in any substantive discussions, directly or indirectly, with any business combination target with respect to an initial business combination with FS Development.</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Following the FS Development IPO and up to the signing of the exclusivity agreement with Gemini on September 20, 2020, our officers and directors commenced an active search for prospective businesses or assets to acquire in our initial business combination. Representatives of FS Development were contacted by, and representatives of FS Development contacted, numerous individuals, financial advisors and other entities who offered to present ideas for business combination opportunities. Our officers and directors and their affiliates also brought to our attention target business candidates.</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During this search process, FS Development reviewed business combination opportunities with potential target businesses in the biotechnology industry. Discussions with several of these potential target businesses progressed to discussions of material transaction terms, including valuation, and FS Development delivered non-binding indications of interest to the following five potential target businesses: Gemini, Company B, Company C and Company D and Company E.</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However, shortly after preliminary discussions and before any material discussion progressed, FS Development ceased discussions with Company B, Company C and Company D because each of these companies decided to pursue alternative strategic transactions. Further, by September 20, 2020, the date on which FS Development and Gemini reached agreement on a non-binding indication of interest and a mutual exclusivity agreement (as described below), FS Development ultimately determined to abandon its potential business combination opportunity with Company E because of, among other things: (a) the level of engagement by, and advanced negotiations and discussions with Gemini, as compared to Company E where engagement was more limited and negotiations and discussions did not progress as rapidly, although Gemini had yet to reach an agreement on key terms and conditions of a potential transaction; (b) Gemini’s willingness to enter into the non-binding indication of interest and the mutual exclusivity agreement discussed below on terms that FS Development’s directors and officers believed were attractive; and (c) the Board and FS Development officers’ belief, based on their preliminary evaluation and the terms of the non-binding indication of interest, that Gemini was the most attractive potential business combination target that met its key criteria in a target.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FS Development engaged White &amp; Case LLP as its counsel, Wilson Sonsini Goodrich &amp; Rosati as its intellectual property counsel and Jefferies LLC as its financial and capital markets advisor in connection with its business combination and engaged Jefferies LLC and SVB Leerink LLC as co-lead placement agents in connection with a related private placement.</w:t>
      </w:r>
    </w:p>
    <w:p>
      <w:pPr>
        <w:spacing w:after="0" w:line="108"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color w:val="auto"/>
        </w:rPr>
        <w:t>On August 18, 2020, Foresite Capital Fund V (“</w:t>
      </w:r>
      <w:r>
        <w:rPr>
          <w:rFonts w:ascii="Times New Roman" w:cs="Times New Roman" w:eastAsia="Times New Roman" w:hAnsi="Times New Roman"/>
          <w:sz w:val="18"/>
          <w:szCs w:val="18"/>
          <w:b w:val="1"/>
          <w:bCs w:val="1"/>
          <w:color w:val="auto"/>
        </w:rPr>
        <w:t>Fund V</w:t>
      </w:r>
      <w:r>
        <w:rPr>
          <w:rFonts w:ascii="Times New Roman" w:cs="Times New Roman" w:eastAsia="Times New Roman" w:hAnsi="Times New Roman"/>
          <w:sz w:val="18"/>
          <w:szCs w:val="18"/>
          <w:color w:val="auto"/>
        </w:rPr>
        <w:t>”), an affiliate of our Sponsor, was wall-crossed in connection with a potential private placement relating to a proposed business combination involving Gemini and Company A. Thereafter, representatives of Fund V and Gemini discussed Gemini’s business in relation to such potential private placement.</w:t>
      </w:r>
    </w:p>
    <w:p>
      <w:pPr>
        <w:spacing w:after="0" w:line="113"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August 23, 2020, the Board held a special board meeting via video conference to discuss potential business combination opportunities.</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September 1, 2020, Gemini’s exclusivity agreement with Company A terminated, and on September 21, 2020, based on discussions of Gemini’s board of directors, Gemini terminated discussions with Company A regarding a potential business combination.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September 2, 2020, Gemini management contacted FS Development about its potential interest in a business combination transaction with Gemini. Thereafter, FS Development continued discussions regarding a potential business combination with Gemini and several other companies.</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September 17, 2020, representatives of FS Development and Gemini held a teleconference to discuss a potential business combination. Thereafter, Jason Meyenburg, Chief Executive Officer of Gemini contacted Jim Tananbaum, Director, President and Chief Executive Officer of FS Development, and indicated that Gemini would be willing to consider a business combination at an enterprise value of at least $200 million. Thereafter, representatives of FS Development and Gemini continued to discuss the proposed valuation of Gemini. Having determined that a business combination with Gemini would be favorable for FS Development stockholders, in an industry in which FS Development was focused and possessed the growth and other financial attributes that FS Development intended to target at the time of the FS Development IPO, FS Development proposed an enterprise value of Gemini of $215 million to secure exclusivity with Gemini, and submitted non-binding indication of interest with material terms of a potential business combination, such as the existence of the concurrent private investment, the amount of cash available in the Trust Account, pro forma ownership split, and the board composition after the consummation of the business combination.</w:t>
      </w:r>
    </w:p>
    <w:p>
      <w:pPr>
        <w:spacing w:after="0" w:line="10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September 20, 2020, FS Development and Gemini entered into a non-binding indication of interest and a mutual exclusivity agreement, and FS Development ceased contact with other potential target businesses in the biotechnology industry. The non-binding indication of interest set forth the basis for continued discussion, including a proposed enterprise value of Gemini of $215 million and other material terms of a potential business combination, such as the existence of the concurrent private investment, the amount of cash available in the Trust Account, pro forma ownership split, and the board composition after the consummation of the business combination. On September 24, 2020, FS Development and Gemini entered into a confidentiality agreement regarding the sharing of information in order for FS Development to conduct due diligence on Gemini.</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September 22, 2020, Gemini’s financial advisors informed potential private placement investors in connection with the potential business combination with Company A that wall-crossing restrictions were terminated.</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Starting on September 24, 2020 until signing of the Merger Agreement, Gemini provided FS Development and its representatives with due diligence materials, including financial, clinical and regulatory information and representatives of FS Development and Gemini held telephonic conferences and virtual meetings to discuss the terms of the potential business combination, due diligence items and commercial and legal elements of Gemini’s business to assist FS Development and its advisors in assessing the enterprise valuation proposed by Gemini. During this time period, management of FS Development periodically updated members of the Board on the status and timing of discussions with Gemini, material transaction terms and due diligence items.</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September 24, 2020, Goodwin Procter LLP, counsel to Gemini, delivered an initial draft of the Merger Agreement to White &amp; Case LLP. Thereafter, the parties and their respective legal counsel negotiated the terms of the Merger Agreement and related documentation and agreements and exchanged several drafts of the Merger Agreement and related documentation and agreements.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parties also began preparing an investor presentation for meetings with certain targeted investors. FS Development and Gemini held investor meetings with potential investors in the PIPE Investment. All such investors were wall-crossed.</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September 24, 2020 and September 25, 2020, representatives of FS Development held telephonic conferences with Gemini management to discuss due diligence items.</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September 28, 2020, Dr. Tananbaum, Dr. Michael Rome, Director and Vice President of FS Development, and other members of management of FS Development met telephonically with representatives of White &amp; Case LLP to discuss material transaction terms and due diligence items. Later on September 28, 2020, Dr. Rome, Dr. Tananbaum and representatives of White &amp; Case LLP met telephonically with Gemini management and representatives of Goodwin Procter LLP to update parties on the status of the transaction.</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September 29, 2020, management of FS Development met telephonically with management of Gemini to discuss additional clinical and regulatory due diligence items.</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September 29, October 1, October 6, and October 8, 2020, Dr. Rome, Dr. Tananbaum, other members of management of FS Development and representatives of Jefferies LLC and SVB Leerink LLC met telephonically with Gemini management to discuss the status of the PIPE Investment.</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September 30, 2020, White &amp; Case LLP sent a revised draft of the Merger Agreement to Goodwin Procter LLP. The revised draft proposed, among other things, (i) changes relating to indemnification provisions, (ii) changes relating to allocation of purchase price, (iii) changes relating to treatment of options and warrants, and (iv) material changes to various representations, warranties and covenants.</w:t>
      </w:r>
    </w:p>
    <w:p>
      <w:pPr>
        <w:spacing w:after="0" w:line="9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October 3, 2020, Goodwin Procter LLP sent a revised draft of the Merger Agreement to White &amp; Case LLP. The revised draft proposed, among other things, (i) additional changes relating to indemnification provisions,</w:t>
      </w:r>
    </w:p>
    <w:p>
      <w:pPr>
        <w:ind w:left="460" w:right="479" w:hanging="6"/>
        <w:spacing w:after="0" w:line="260" w:lineRule="auto"/>
        <w:tabs>
          <w:tab w:leader="none" w:pos="73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changes relating to allocation of purchase price and (iii) changes to closing conditions applicable to the parties.</w:t>
      </w:r>
    </w:p>
    <w:p>
      <w:pPr>
        <w:spacing w:after="0" w:line="11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October 8, 2020, the Board held a special board meeting via video conference to discuss the potential business combination, commitments from investors in the potential PIPE Investment and support from existing and prospective stockholders.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October 11, 2020, White &amp; Case LLP sent a further revised draft of the Merger Agreement to Goodwin Procter LLP. The revised draft proposed, among other things, (i) changes to closing conditions applicable to the parties and (ii) additional changes relating allocation of purchase price.</w:t>
      </w:r>
    </w:p>
    <w:p>
      <w:pPr>
        <w:spacing w:after="0" w:line="9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October 12, October 13, and October 14, 2020, management of FS Development met telephonically with management of Gemini to discuss clinical and other due diligence items.</w:t>
      </w:r>
    </w:p>
    <w:p>
      <w:pPr>
        <w:spacing w:after="0" w:line="9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On October 12, 2020, the Board held a special board meeting via video conference to discuss the Business Combination and the terms of the definitive agreements. The Board was briefed on the terms of the Merger Agreement and related agreements and discussed the status of the proposed private placement. Following the discussions, the Board unanimously voted to approve the Business Combination with Gemini as well as the PIPE Investment. In approving the transactions, the Board determined that the aggregate fair market value of the proposed Business Combination was at least 80% of the assets held in the Trust Account (excluding the deferred underwriting commissions and taxes payable on the income earned on the Trust Account). On October 15, 2020, the Board executed a unanimous written consent approving the Merger Agreement and the transactions contemplated in the Business Combination.</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From October 12, 2020 until the signing of the Merger Agreement, representatives of White &amp; Case LLP and Goodwin Procter LLP met telephonically to finalize the Merger Agreement and related documentation and agreements.</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prior to the signing of the Merger Agreement, FS Development held virtual meetings and follow-up phone calls with the existing stockholders of FS Development. This resulted in stockholders owning 2,742,529 shares of Class A Common Stock committing not to transfer or redeem their shares through the closing of the Business Combination. During this process, several existing investors requested the ability to purchase additional shares in the PIPE Investment.</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October 15, 2020, the parties entered into the Merger Agreement and FS Development entered into the subscription agreements for the PIPE Investment. On October 15, 2020, the parties issued a press release announcing the Business Combination.</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2" w:name="page113"/>
    <w:bookmarkEnd w:id="1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Board’s Reasons for Approval of the Business Combination</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FS Development was formed for the purpose of effecting a merger, capital stock exchange, asset acquisition, stock purchase, reorganization or similar business combination with one or more businesses. FS Development sought to do this by utilizing the networks and industry experience of both its management team and the Board to identify, acquire and operate one or more businesses within or outside of the United States.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particular, the Board considered the following positive factors, although not weighted or in any order of significance:</w:t>
      </w:r>
    </w:p>
    <w:p>
      <w:pPr>
        <w:spacing w:after="0" w:line="77" w:lineRule="exact"/>
        <w:rPr>
          <w:sz w:val="20"/>
          <w:szCs w:val="20"/>
          <w:color w:val="auto"/>
        </w:rPr>
      </w:pPr>
    </w:p>
    <w:p>
      <w:pPr>
        <w:jc w:val="both"/>
        <w:ind w:left="1320" w:right="459" w:hanging="434"/>
        <w:spacing w:after="0" w:line="254" w:lineRule="auto"/>
        <w:tabs>
          <w:tab w:leader="none" w:pos="152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Pioneering precision medicine approach targeting trial enrichment with genetically-defined patients. </w:t>
      </w:r>
      <w:r>
        <w:rPr>
          <w:rFonts w:ascii="Times New Roman" w:cs="Times New Roman" w:eastAsia="Times New Roman" w:hAnsi="Times New Roman"/>
          <w:sz w:val="18"/>
          <w:szCs w:val="18"/>
          <w:color w:val="auto"/>
        </w:rPr>
        <w:t>Gemini’s lead program, GEM103, targets a genetically-defined subset of age-related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macular degeneration (“</w:t>
      </w:r>
      <w:r>
        <w:rPr>
          <w:rFonts w:ascii="Times New Roman" w:cs="Times New Roman" w:eastAsia="Times New Roman" w:hAnsi="Times New Roman"/>
          <w:sz w:val="18"/>
          <w:szCs w:val="18"/>
          <w:b w:val="1"/>
          <w:bCs w:val="1"/>
          <w:color w:val="auto"/>
        </w:rPr>
        <w:t>AMD</w:t>
      </w:r>
      <w:r>
        <w:rPr>
          <w:rFonts w:ascii="Times New Roman" w:cs="Times New Roman" w:eastAsia="Times New Roman" w:hAnsi="Times New Roman"/>
          <w:sz w:val="18"/>
          <w:szCs w:val="18"/>
          <w:color w:val="auto"/>
        </w:rPr>
        <w:t>”) patients with complement dysregulation. Of the 15 million dry AMD patients, emerging science shows approximately 40% (or six million) present variants in the complement factor H (CFH) gene. Such loss-of-function variants are associated with increased dry AMD disease risk. The Board believes that Gemini’s lead asset, GEM103, the first ever recombinant native complement modulator, full-length recombinant complement factor H (rCFH) protein, when delivered by intravitreal injections, has the potential to meet unmet medical needs by circumventing dysfunctional CFH loss-of-function variants in genetically-defined subsets of AMD patients and slowing the progression of their retinal disease.</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45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Supporting Phase 1 study data in advanced dry AMD patients. </w:t>
      </w:r>
      <w:r>
        <w:rPr>
          <w:rFonts w:ascii="Times New Roman" w:cs="Times New Roman" w:eastAsia="Times New Roman" w:hAnsi="Times New Roman"/>
          <w:sz w:val="18"/>
          <w:szCs w:val="18"/>
          <w:color w:val="auto"/>
        </w:rPr>
        <w:t>Gemini conducted a single-ascending dose Phase 1 study to assess the safety of GEM103 in advanced dry AMD patients. In Gemini’s Phase 1 study, GEM103 was well tolerated, with no adverse drug reactions, no ocular inflammation, no anti-drug antibodies, and no dose-limiting toxicities, when dosed up to 500 micrograms as a single intravitreal dose. In addition to meeting the primary endpoint of safety, the Phase 1 study data supported the mechanism of action of the product candidate in the ocular compartment, as evidenced by sustained supraphysiological CFH levels, and apparent reductions in a pro-inflammatory biomarker related to complement activation in several subjects. The data from this Phase 1 study provided Gemini with a rationale for commencing its ongoing Phase 2a trial of GEM103.</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41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Vast market opportunity in dry AMD. </w:t>
      </w:r>
      <w:r>
        <w:rPr>
          <w:rFonts w:ascii="Times New Roman" w:cs="Times New Roman" w:eastAsia="Times New Roman" w:hAnsi="Times New Roman"/>
          <w:sz w:val="18"/>
          <w:szCs w:val="18"/>
          <w:color w:val="auto"/>
        </w:rPr>
        <w:t>Third-party reports indicate there are approximately 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patients with AMD in the United States alone. Dry AMD represents about 90% (or about 15 million) of U.S. AMD patients, which compares to 1.4 million U.S. wet AMD U.S. patients. Third party market forecasts estimate the global wet AMD market generated $6.9 billion of sales in 2018 (e.g., aggregate sales of Eylea, Lucentis, and Avastin in wet AMD), demonstrating a vast market opportunity for a successful product in the potentially larger global dry AMD market.</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to address an area of high unmet medical need. </w:t>
      </w:r>
      <w:r>
        <w:rPr>
          <w:rFonts w:ascii="Times New Roman" w:cs="Times New Roman" w:eastAsia="Times New Roman" w:hAnsi="Times New Roman"/>
          <w:sz w:val="18"/>
          <w:szCs w:val="18"/>
          <w:color w:val="auto"/>
        </w:rPr>
        <w:t>Dry AMD, Gemini’s lead indication,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leading cause of blindness among individuals aged 50 and older. There are no approved therapies for dry AMD. The Board believes that based upon the association of CFH mutations with disease risk, Gemini’s approach to dry AMD will precisely target patients with genetically defined complement pathway dysregulation and in the future could bring a much needed therapeutic to an area of high unmet medical need.</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47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screening. </w:t>
      </w:r>
      <w:r>
        <w:rPr>
          <w:rFonts w:ascii="Times New Roman" w:cs="Times New Roman" w:eastAsia="Times New Roman" w:hAnsi="Times New Roman"/>
          <w:sz w:val="18"/>
          <w:szCs w:val="18"/>
          <w:color w:val="auto"/>
        </w:rPr>
        <w:t>Gemini has a proprietary genetic screening process that enables it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identify genetically-defined dry AMD patients who may be most likely to benefit from GEM103. The Board believes this proprietary approach provides a competitive advantage to Gemini.</w:t>
      </w:r>
    </w:p>
    <w:p>
      <w:pPr>
        <w:spacing w:after="0" w:line="103"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446" w:val="left"/>
        </w:tabs>
        <w:numPr>
          <w:ilvl w:val="0"/>
          <w:numId w:val="16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Multiple pipeline opportunities led by a Phase 2a clinical stage program. </w:t>
      </w:r>
      <w:r>
        <w:rPr>
          <w:rFonts w:ascii="Times New Roman" w:cs="Times New Roman" w:eastAsia="Times New Roman" w:hAnsi="Times New Roman"/>
          <w:sz w:val="18"/>
          <w:szCs w:val="18"/>
          <w:color w:val="auto"/>
        </w:rPr>
        <w:t>Gemini’s pipeline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multiple programs that include lead clinical candidate GEM103 in both dry and wet AMD, plus additional programs in a AMD, plus one preclinical program in a systemic renal indication. The Board believes that the data generated in Gemini’s Phase 1 study of GEM103 demonstrate sustained supraphysiologic concentrations of CFH in aqueous humor, supporting further clinical development dry AMD. Future demonstration of efficacy and safety in dry AMD, could ultimately lead to market confidence in Gemini’s precision approach and its expansion into commercial opportunities in patients with more complex AMD disease, including anti-vascular endothelial growth factor (“</w:t>
      </w:r>
      <w:r>
        <w:rPr>
          <w:rFonts w:ascii="Times New Roman" w:cs="Times New Roman" w:eastAsia="Times New Roman" w:hAnsi="Times New Roman"/>
          <w:sz w:val="18"/>
          <w:szCs w:val="18"/>
          <w:b w:val="1"/>
          <w:bCs w:val="1"/>
          <w:color w:val="auto"/>
        </w:rPr>
        <w:t>anti-VEGF</w:t>
      </w:r>
      <w:r>
        <w:rPr>
          <w:rFonts w:ascii="Times New Roman" w:cs="Times New Roman" w:eastAsia="Times New Roman" w:hAnsi="Times New Roman"/>
          <w:sz w:val="18"/>
          <w:szCs w:val="18"/>
          <w:color w:val="auto"/>
        </w:rPr>
        <w:t>”) treated wet AMD with concomitant geographic atrophy.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1320" w:right="459" w:hanging="434"/>
        <w:spacing w:after="0" w:line="259" w:lineRule="auto"/>
        <w:tabs>
          <w:tab w:leader="none" w:pos="1405" w:val="left"/>
        </w:tabs>
        <w:numPr>
          <w:ilvl w:val="0"/>
          <w:numId w:val="16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Diversified risk profile from multimodality approach. </w:t>
      </w:r>
      <w:r>
        <w:rPr>
          <w:rFonts w:ascii="Times New Roman" w:cs="Times New Roman" w:eastAsia="Times New Roman" w:hAnsi="Times New Roman"/>
          <w:sz w:val="18"/>
          <w:szCs w:val="18"/>
          <w:color w:val="auto"/>
        </w:rPr>
        <w:t>Gemini’s therapeutic candidates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recombinant proteins, adeno-associated virus- (“</w:t>
      </w:r>
      <w:r>
        <w:rPr>
          <w:rFonts w:ascii="Times New Roman" w:cs="Times New Roman" w:eastAsia="Times New Roman" w:hAnsi="Times New Roman"/>
          <w:sz w:val="18"/>
          <w:szCs w:val="18"/>
          <w:b w:val="1"/>
          <w:bCs w:val="1"/>
          <w:color w:val="auto"/>
        </w:rPr>
        <w:t>AAV</w:t>
      </w:r>
      <w:r>
        <w:rPr>
          <w:rFonts w:ascii="Times New Roman" w:cs="Times New Roman" w:eastAsia="Times New Roman" w:hAnsi="Times New Roman"/>
          <w:sz w:val="18"/>
          <w:szCs w:val="18"/>
          <w:color w:val="auto"/>
        </w:rPr>
        <w:t>”) based gene therapies, and monoclonal antibodies across multiple indications, thus reducing Gemini’s risk exposure to any single modality. The Board believes Gemini will leverage multimodality capabilities to increase the likelihood of finding therapies to address unmet needs.</w:t>
      </w:r>
    </w:p>
    <w:p>
      <w:pPr>
        <w:spacing w:after="0" w:line="111" w:lineRule="exact"/>
        <w:rPr>
          <w:rFonts w:ascii="Times New Roman" w:cs="Times New Roman" w:eastAsia="Times New Roman" w:hAnsi="Times New Roman"/>
          <w:sz w:val="18"/>
          <w:szCs w:val="18"/>
          <w:b w:val="1"/>
          <w:bCs w:val="1"/>
          <w:i w:val="1"/>
          <w:iCs w:val="1"/>
          <w:color w:val="auto"/>
        </w:rPr>
      </w:pPr>
    </w:p>
    <w:p>
      <w:pPr>
        <w:jc w:val="both"/>
        <w:ind w:left="1320" w:right="459" w:hanging="434"/>
        <w:spacing w:after="0" w:line="255" w:lineRule="auto"/>
        <w:tabs>
          <w:tab w:leader="none" w:pos="131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Near-term catalysts. </w:t>
      </w:r>
      <w:r>
        <w:rPr>
          <w:rFonts w:ascii="Times New Roman" w:cs="Times New Roman" w:eastAsia="Times New Roman" w:hAnsi="Times New Roman"/>
          <w:sz w:val="18"/>
          <w:szCs w:val="18"/>
          <w:color w:val="auto"/>
        </w:rPr>
        <w:t>Gemini has initiated a Phase 2a trial of GEM103 in dry AMD and anticipates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multiple dose clinical safety, tolerability and exploratory biomarker data in the first half of 2021. In addition, Gemini is currently conducting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enabling studies for GEM103 in anti-VEGF treated wet AMD patients with geographic atrophy and plans to initiate a Phase 1/2a clinical study in the second half of 2020 with safety and tolerability data anticipated in the second half of 2021. Gemini also plans to complete IND enabling studies for additional therapeutic candidates in the second half of 2021. The Board believes these catalysts could serve as important value inflection points for the company.</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37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w:t>
      </w:r>
      <w:r>
        <w:rPr>
          <w:rFonts w:ascii="Times New Roman" w:cs="Times New Roman" w:eastAsia="Times New Roman" w:hAnsi="Times New Roman"/>
          <w:sz w:val="18"/>
          <w:szCs w:val="18"/>
          <w:color w:val="auto"/>
        </w:rPr>
        <w:t>The Board believes that Gemini has a proven and experienced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that will effectively lead the company after the Business Combination.</w:t>
      </w:r>
    </w:p>
    <w:p>
      <w:pPr>
        <w:spacing w:after="0" w:line="73"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5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Backed by top-tier healthcare investors. </w:t>
      </w:r>
      <w:r>
        <w:rPr>
          <w:rFonts w:ascii="Times New Roman" w:cs="Times New Roman" w:eastAsia="Times New Roman" w:hAnsi="Times New Roman"/>
          <w:sz w:val="18"/>
          <w:szCs w:val="18"/>
          <w:color w:val="auto"/>
        </w:rPr>
        <w:t>Gemini’s existing investors include Atlas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Lightstone Ventures, OrbiMed, and Wu Capital, which the Board believes provides additional validation to Gemini’s clinical and business strategies.</w:t>
      </w:r>
    </w:p>
    <w:p>
      <w:pPr>
        <w:spacing w:after="0" w:line="103"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48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analysis conducted by FS Development. </w:t>
      </w:r>
      <w:r>
        <w:rPr>
          <w:rFonts w:ascii="Times New Roman" w:cs="Times New Roman" w:eastAsia="Times New Roman" w:hAnsi="Times New Roman"/>
          <w:sz w:val="18"/>
          <w:szCs w:val="18"/>
          <w:color w:val="auto"/>
        </w:rPr>
        <w:t>The financial analysis conducted by FS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Development’s management team and reviewed by the Board supported the equity valuation of Gemini.</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The subsections that follow this subsection describe the material provisions of the Merger Agreement, but do not purport to describe all of the terms of the Merger Agreement. The following summary is qualified in its entirety by reference to the complete text of the Merger Agreement, a copy of which is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 xml:space="preserve"> hereto, which is incorporated herein by reference. Stockholders and other interested parties are urged to read the Merger Agreement carefully and in its entirety (and, if appropriate, with the advice of financial and legal counsel) because it is the primary legal document that governs the Business Combination.</w:t>
      </w:r>
    </w:p>
    <w:p>
      <w:pPr>
        <w:spacing w:after="0" w:line="10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contains representations, warranties and covenants that the respective parties made to each other as of the date of the Merger Agreement or other specific dates, which may be updated prior to the Closing. The assertions embodied in those representations, warranties and covenants were made for purposes of the contract among the respective parties and are subject to important qualifications and limitations agreed to by the parties in connection with negotiating the Merger Agreement. The representations, warranties and covenants in the Merger Agreement are also modified in important part by the disclosure schedules attached thereto which are not filed publicly and which are subject to a contractual standard of materiality different from that generally applicable to stockholders. The disclosure schedules were used for the purpose of allocating risk among the parties rather than establishing matters as facts. We do not believe that the disclosure schedules contain information that is material to an investment decision.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Gemini; Merger Consideration</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Upon the Closing, Merger Sub will merge with and into Gemini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Gemini surviving the Merger as a wholly owned subsidiary of FS Development.</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a result of the Business Combination, subject to potential reduction for indemnification claims as described below, an aggregate number of shares equal to the Closing Payment Shares will be issued (or reserved for issuance pursuant to currently exercisable options or warrants) in respect of shares of Gemini capital stock, and options and warrants to purchase shares of Gemini capital stock, in each case, issued and outstanding immediately prior to the Closing. Each holder of Gemini Stock will receive its Pro Rata Portion of the Merger Consideration.</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parties agreed that immediately following the closing of the Business Combination, the Combined Entity’s board of directors will consist of no more than seven directors, one of which will be designated by the Sponsor and six of which will be designated by Gemini.</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4" w:name="page115"/>
    <w:bookmarkEnd w:id="1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Approval</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Prior to the Closing, the affirmative vote of holders of a majority of the votes cast of FS Development Common Stock, voting together as a single class, at a stockholder’s meeting (at which there is a quorum) must approve the transactions contemplated by the Merger Agreement (the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In connection with obtaining the Stockholder Approval, FS Development must call a special meeting of its common stockholders and must prepare and file with the SEC a Proxy Statement on Schedule 14A, which will be mailed to all stockholders entitled to vote at the meeting.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the Merger Agreement, Gemini makes certain representations and warranties (with certain exceptions set forth in the disclosure schedule to the Merger Agreement) relating to, among other things:</w:t>
      </w:r>
    </w:p>
    <w:p>
      <w:pPr>
        <w:spacing w:after="0" w:line="94" w:lineRule="exact"/>
        <w:rPr>
          <w:sz w:val="20"/>
          <w:szCs w:val="20"/>
          <w:color w:val="auto"/>
        </w:rPr>
      </w:pPr>
    </w:p>
    <w:p>
      <w:pPr>
        <w:ind w:left="1300" w:hanging="41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corporate organization, qualification to do business, good standing and corporate power;</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having requisite corporate authority to enter into the Merger Agreement and to complete the Business Combination;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conflicts with its organizational documents, applicable laws or certain agreements and instruments as a result of entering into the Merger Agreement or consummating the Business Combination;</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consents and approvals that Gemini must obtain for the Merger Agreement and to consummate the Business Combination;</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capital structure;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its corporate records, including board of director and stockholder approvals;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no subsidiaries;</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financial statements for the periods ended December 31, 2018, December 31, 2019 and the six month period ended June 30, 2020 fairly present, in all material respects, the financial position Gemini as of the dates thereof and the results of operations of Gemini for the periods reflected therein;</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maintenance of proper financial books and records and proper internal controls over accounting;</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9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its material contracts (i) is a valid and binding agreement, (ii) in full force and effect and (iii) enforceable by the parties thereto, and there are no known breaches of such materials contracts;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has all necessary permits and licenses to conduct its business and all such permits are valid and in full force and effect;</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3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 compliance with all applicable laws, including those relating to foreign corrupt practices, money laundering and environmental matters;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9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litigation against Gemini or its officers or directors or action with any governmental authority that would challenge the Merger Agreement or the Business Combination;</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has good and marketable title to the tangible assets and properties it owns or leases;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compliance with rules and regulations of the FDA and other regulatory matters;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ownership or appropriate licenses to use intellectual property used in its business;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2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related to its employees as well as its compliance with applicable laws related to employment matters and employee benefit plans, including proper withholding;</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matters related to taxes;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finder’s fees related to the Business Combination;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related party transactions other than those that Gemini has disclosed;</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5" w:name="page116"/>
    <w:bookmarkEnd w:id="1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maintenance of proper insurance policies;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customary representations and warranties.</w:t>
      </w:r>
    </w:p>
    <w:p>
      <w:pPr>
        <w:spacing w:after="0" w:line="15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Certain of these representations and warranties are qualified as to “materiality” or “material adverse effect”. Material Adverse Effect with respect to Gemini means a material adverse change or a material adverse effect upon the assets, liabilities, financial condition, net worth, management, earnings, cash flows, business, operations or properties of Gemini and its business, subject to customary exceptions.</w:t>
      </w:r>
    </w:p>
    <w:p>
      <w:pPr>
        <w:spacing w:after="0" w:line="99"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the Merger Agreement, FS Development makes certain representations and warranties relating to, among other things:</w:t>
      </w:r>
    </w:p>
    <w:p>
      <w:pPr>
        <w:spacing w:after="0" w:line="94" w:lineRule="exact"/>
        <w:rPr>
          <w:sz w:val="20"/>
          <w:szCs w:val="20"/>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proper corporate organization and similar corporate matters;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execution, delivery and enforceability of the Merger Agreement and other transaction documents;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finder’s fees related to the Business Combination;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capital structure;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validity of its share issuance;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trust fund amount at Closing;</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matters related to taxes;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listing;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 requirements.</w:t>
      </w:r>
    </w:p>
    <w:p>
      <w:pPr>
        <w:spacing w:after="0" w:line="15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This summary and the copy of the Merger Agreement attached to this proxy statement/prospectus as Annex A are included solely to provide investors with information regarding the terms of the Merger Agreement. They are not intended to provide factual information about the parties or any of their respective subsidiaries or affiliates. The Merger Agreement contains representations and warranties by FS Development and Gemini, which were made only for purposes of that agreement and as of specific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generally applicable to investors. Investors are not third-party beneficiaries under the Merger Agreement, and in reviewing the representations, warranties and covenants contained in the Merger Agreement or any descriptions thereof in this summary, it is important to bear in mind that such representations, warranties and covenants or any descriptions thereof were not intended by the parties to the Merger Agreement to be characterizations of the actual state of facts or condition of FS Development, Gemini or any of their respective subsidiaries or affiliates. Moreover, information concerning the subject matter of the representations, warranties and covenants may change after the date of the Merger Agreement, which subsequent information may or may not be fully reflected in public disclosures.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Conduct Prior to Closing; Covenants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Merger Agreement contains certain customary covenants of FS Development and Gemini, including, among others, each of FS Development and Gemini having agreed to (i) operate its business in the ordinary course prior to the closing of the Business Combination (with certain exceptions) and (ii) use its commercially reasonable efforts to preserve intact its business relationships with employees, clients, suppliers, contract manufacturing organizations, contract research organizations and other third parties. Each party has also agreed not to take certain specified actions without the prior written consent of the other party.</w:t>
      </w:r>
    </w:p>
    <w:p>
      <w:pPr>
        <w:spacing w:after="0" w:line="10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 addition, FS Development has agreed to adopt the Equity Incentive Plan as described elsewhere in this proxy statement/prospectus.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Conditions to Closing</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Conditions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obligation of FS Development and Gemini to consummate the Business Combination is conditioned on, among other things, any one or more of which may be waived in writing by all of such parties, (a) the absence of any order, stay, judgment or decree by any government agency restraining or prohibiting or imposing any condition on the closing of the Business Combination; (b) all necessary governmental approvals having been obtained; (c) the absence of any litigation brought by a governmental agency seeking to enjoin or otherwise restrict the Closing; (d) FS Development shall not have redeemed Public Shares in an amount that would cause it to have net tangible assets of less than $5,000,001; (e) FS Development shall have obtained the approval of its stockholders on the Merger Agreement and the Business Combination and the proposals set forth in this proxy statement/prospectus shall have been approved at the Special Meeting, or any adjournment thereof; and (f) Gemini shall have obtained the approval of its stockholders on the Merger Agreement and the Business Combination. FS Development and Gemini have waived the condition that the bylaws of the Combined Entity be approved by the stockholders of FS Development.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Gemini’s Conditions to Closing</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obligations of Gemini to consummate the transactions contemplated by the Merger Agreement, in addition to the conditions described above, are conditioned upon, among other things, each of the following, any one or more of which may be waived by Gemini:</w:t>
      </w:r>
    </w:p>
    <w:p>
      <w:pPr>
        <w:spacing w:after="0" w:line="108" w:lineRule="exact"/>
        <w:rPr>
          <w:sz w:val="20"/>
          <w:szCs w:val="20"/>
          <w:color w:val="auto"/>
        </w:rPr>
      </w:pPr>
    </w:p>
    <w:p>
      <w:pPr>
        <w:jc w:val="both"/>
        <w:ind w:left="1320" w:right="459" w:hanging="434"/>
        <w:spacing w:after="0" w:line="261" w:lineRule="auto"/>
        <w:tabs>
          <w:tab w:leader="none" w:pos="136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and Merger Sub shall each have duly performed or complied with, in all material respects, all of its respective obligations under the Merger Agreement required to be performed or complied with (without giving effect to any materiality or similar qualifiers contained therein) by FS Development or Merger Sub, as applicable, at or prior to the Closing Date.</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41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FS Development and Merger Sub contained in the Merger Agreement (disregarding all qualifications contained therein relating to materiality or Material Adverse Effect (as defined in the Merger Agreement)), other than the representations and warranties of FS Development and Merger Sub regarding corporate existence and power, authorization and finder’s fees, shall have been true and correct as of the date of the Merger Agreement and as of the Closing Date, as if made at and as of such date (except to the extent that any such representation and warranty is made as of an earlier date, in which case such representation and warranty shall be true and correct at and as of such earlier date), except for any failure of such representations and warranties which would not in the aggregate reasonably be expected to have a Material Adverse Effect on FS Development or on FS Development’s ability to consummate the transactions contemplated by the Merger Agreement and other specified agreements.</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6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FS Development and Merger Sub regarding corporate existence and power, authorization and finder’s fees (disregarding all qualifications and exceptions contained therein relating to materiality or Material Adverse Effect) shall have been true and correct in all respects at and as of the date of the Merger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de minimis inaccuracies.</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Charter shall have been filed with, and declared effective by, the Delaware Secretary of State.</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composition of the post-Closing board of directors shall have been appointed as set forth in Section 2.7 of the Merger Agreement.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Transaction Proceeds (as defined in the Merger Agreement) shall be equal to or greater than $170,000,000.</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55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Development’s initial listing application with Nasdaq in connection with the transactions contemplated by the Merger Agreement shall have been conditionally approved and, immediately following the Effective Time, FS Development shall satisfy any applicable initial and continuing listing requirements of Nasdaq, and FS Development shall not have received any notice of non-compliance therewith, and the Closing Payment Shares (as defined in the Merger Agreement) shall have been approved for listing on Nasdaq.</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7" w:name="page118"/>
    <w:bookmarkEnd w:id="1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FS Development’s Conditions to Closing</w:t>
      </w:r>
    </w:p>
    <w:p>
      <w:pPr>
        <w:spacing w:after="0" w:line="14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obligations of FS Development to consummate the transactions contemplated by the Merger Agreement, in addition to the conditions described above in the first paragraph of this section, are conditioned upon, among other things, each of the following, any one or more of which may be waived by FS Development:</w:t>
      </w:r>
    </w:p>
    <w:p>
      <w:pPr>
        <w:spacing w:after="0" w:line="108" w:lineRule="exact"/>
        <w:rPr>
          <w:sz w:val="20"/>
          <w:szCs w:val="20"/>
          <w:color w:val="auto"/>
        </w:rPr>
      </w:pPr>
    </w:p>
    <w:p>
      <w:pPr>
        <w:jc w:val="both"/>
        <w:ind w:left="1320" w:right="479" w:hanging="434"/>
        <w:spacing w:after="0" w:line="266" w:lineRule="auto"/>
        <w:tabs>
          <w:tab w:leader="none" w:pos="139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duly performed or complied with, in all material respects, all of its obligations under the Merger Agreement required to be performed or complied with (without giving effect to any materiality or similar qualifiers contained therein) by Gemini at or prior to the Closing Date.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5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Gemini contained in the Merger Agreement (disregarding all qualifications and exceptions contained therein relating to materiality or Material Adverse Effect), other than the representations and warranties of Gemini regarding corporate existence and power, authorization and finder’s fees, shall be true and correct in all respects at and as of the date of the Merger Agreement and as of the Closing Date,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72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Gemini regarding corporate existence and power, authorization and finder’s fees, (disregarding all qualifications and exceptions contained therein relating to materiality or Material Adverse Effect) shall be true and correct in all respects at and as of the date of the Merger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de minimis inaccuracies.</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a Material Adverse Effect of Gemini since the date of the Merger Agreement that is continuing.</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three percent (3%) of the issued and outstanding shares of Gemini common stock (including shares of Gemini common stock issuable upon conversion of Gemini preferred stock) shall continue Dissenting Shares (as defined in the Merger Agreement).</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obtained specified consents from third parties.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2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obtained the consent of the holders of outstanding awards under Gemini’s existing equity incentive plans, to ensure that no more than five percent (5%) of the outstanding equity and equity-based awards under Gemini’s existing equity incentive plans accelerate in connection with the consummation of the Merger or otherwise as a result of the transactions contemplated by the Merger Agreement.</w:t>
      </w:r>
    </w:p>
    <w:p>
      <w:pPr>
        <w:spacing w:after="0" w:line="115"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delivered to FS Development copies of a lockup agreement duly executed by specified persons.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4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From and after the Closing, holders of shares of Gemini capital stock (collectively, the “</w:t>
      </w:r>
      <w:r>
        <w:rPr>
          <w:rFonts w:ascii="Times New Roman" w:cs="Times New Roman" w:eastAsia="Times New Roman" w:hAnsi="Times New Roman"/>
          <w:sz w:val="18"/>
          <w:szCs w:val="18"/>
          <w:b w:val="1"/>
          <w:bCs w:val="1"/>
          <w:color w:val="auto"/>
        </w:rPr>
        <w:t>Escrow Participants</w:t>
      </w:r>
      <w:r>
        <w:rPr>
          <w:rFonts w:ascii="Times New Roman" w:cs="Times New Roman" w:eastAsia="Times New Roman" w:hAnsi="Times New Roman"/>
          <w:sz w:val="18"/>
          <w:szCs w:val="18"/>
          <w:color w:val="auto"/>
        </w:rPr>
        <w:t>”) have agreed to indemnify and hold harmless FS Development, its officers, directors and affiliates and their respective successors and permitted assigns against and in respect of any and all out-of-pocket losses incurred or sustained by FS Development as a result of: (a) any breach or inaccuracy of any of the representations, warranties set forth in Article V of the Merger Agreement (as modified by the schedules to the Merger Agreement) or in a specified certificate delivered by Gemini to FS Development at closing, in each case as of the Closing Date or such other date as expressly set forth in such representation or warranty, and (b) any breach or nonfulfillment of any covenants of Gemini contained in the Merger Agreement to be performed at or prior to the Closing Date.</w:t>
      </w:r>
    </w:p>
    <w:p>
      <w:pPr>
        <w:spacing w:after="0" w:line="12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Two Million One Hundred Fifty Thousand (2,150,000) of the shares of FS Development Class A Common Stock otherwise issuable to (or reserved for issuance for) the Escrow Participants at the Closing shall be deposited into a third party escrow account (the “</w:t>
      </w: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 FS Development’s sole and exclusive remedy for such losses under</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8" w:name="page119"/>
    <w:bookmarkEnd w:id="1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Merger Agreement shall be the recovery of a number of Escrow Shares from the then remaining Escrow Shares having a value equal to the losses that have been finally determined to be owing to FS Development in accordance with Article XI of the Merger Agreement (at an assumed value equal to the greater of: (a) $10.00 per share and (b) the volume weighted average price of the FS Development Class A Common Stock for the ten</w:t>
      </w:r>
    </w:p>
    <w:p>
      <w:pPr>
        <w:spacing w:after="0" w:line="3" w:lineRule="exact"/>
        <w:rPr>
          <w:sz w:val="20"/>
          <w:szCs w:val="20"/>
          <w:color w:val="auto"/>
        </w:rPr>
      </w:pPr>
    </w:p>
    <w:p>
      <w:pPr>
        <w:jc w:val="both"/>
        <w:ind w:left="460" w:right="459" w:hanging="6"/>
        <w:spacing w:after="0" w:line="255" w:lineRule="auto"/>
        <w:tabs>
          <w:tab w:leader="none" w:pos="83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ending on the trading day immediately preceding the Closing Date (the “</w:t>
      </w:r>
      <w:r>
        <w:rPr>
          <w:rFonts w:ascii="Times New Roman" w:cs="Times New Roman" w:eastAsia="Times New Roman" w:hAnsi="Times New Roman"/>
          <w:sz w:val="18"/>
          <w:szCs w:val="18"/>
          <w:b w:val="1"/>
          <w:bCs w:val="1"/>
          <w:color w:val="auto"/>
        </w:rPr>
        <w:t>Escrow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Value</w:t>
      </w:r>
      <w:r>
        <w:rPr>
          <w:rFonts w:ascii="Times New Roman" w:cs="Times New Roman" w:eastAsia="Times New Roman" w:hAnsi="Times New Roman"/>
          <w:sz w:val="18"/>
          <w:szCs w:val="18"/>
          <w:color w:val="auto"/>
        </w:rPr>
        <w:t>”)), in each case, subject to the limitations set forth in Article XI of the Merger Agreement,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Indemnifiable Loss Limit (as defined below).</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w:t>
      </w:r>
    </w:p>
    <w:p>
      <w:pPr>
        <w:spacing w:after="0" w:line="158" w:lineRule="exact"/>
        <w:rPr>
          <w:sz w:val="20"/>
          <w:szCs w:val="20"/>
          <w:color w:val="auto"/>
        </w:rPr>
      </w:pPr>
    </w:p>
    <w:p>
      <w:pPr>
        <w:jc w:val="both"/>
        <w:ind w:left="1320" w:right="479" w:hanging="434"/>
        <w:spacing w:after="0" w:line="261" w:lineRule="auto"/>
        <w:tabs>
          <w:tab w:leader="none" w:pos="14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liability of the Escrow Participants under the Merger Agreement or otherwise in connection with the transactions contemplated by the Merger Agreement shall in no event exceed an amount equal to: (i) the Escrow Share Value, multiplied by (ii) the Escrow Shares (the “</w:t>
      </w:r>
      <w:r>
        <w:rPr>
          <w:rFonts w:ascii="Times New Roman" w:cs="Times New Roman" w:eastAsia="Times New Roman" w:hAnsi="Times New Roman"/>
          <w:sz w:val="18"/>
          <w:szCs w:val="18"/>
          <w:b w:val="1"/>
          <w:bCs w:val="1"/>
          <w:color w:val="auto"/>
        </w:rPr>
        <w:t>Indemnifiable Loss Limit</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shall not be entitled to indemnification pursuant to Section 11.1 of the Merger Agreement unless and until the aggregate amount of losses to FS Development equal at least $1,612,500 (the “</w:t>
      </w:r>
      <w:r>
        <w:rPr>
          <w:rFonts w:ascii="Times New Roman" w:cs="Times New Roman" w:eastAsia="Times New Roman" w:hAnsi="Times New Roman"/>
          <w:sz w:val="18"/>
          <w:szCs w:val="18"/>
          <w:b w:val="1"/>
          <w:bCs w:val="1"/>
          <w:color w:val="auto"/>
        </w:rPr>
        <w:t>Basket</w:t>
      </w:r>
      <w:r>
        <w:rPr>
          <w:rFonts w:ascii="Times New Roman" w:cs="Times New Roman" w:eastAsia="Times New Roman" w:hAnsi="Times New Roman"/>
          <w:sz w:val="18"/>
          <w:szCs w:val="18"/>
          <w:color w:val="auto"/>
        </w:rPr>
        <w:t>”), at which time, subject to the other limitations set forth in the Merger Agreement, FS Development shall be entitled to indemnification for any losses above the Basket, subject to the Indemnifiable Loss Limit.</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9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Participants shall have no liability or obligation to indemnify FS Development under the Merger Agreement with respect to the breach or inaccuracy of any representation or warranty based on any matter, fact or circumstance known by FS Development as of the date of the Merger Agreement.</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7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Merger Agreement will (i) limit the parties’ rights to seek injunctive relief or other equitable remedies, (ii) prevent FS Development from bringing an action for fraud (with scienter) against the Person who committed such fraud (with scienter) or (iii) limit the right of any person or entity to pursue remedies under any other agreement entered into in connection with the transactions contemplated by the Merger Agreement against the parties thereto.</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indemnification to which FS Development is entitled from the Escrow Participants pursuant to Section 11.1 of the Merger Agreement for losses shall be effective so long as it is asserted prior to the expiration of the twelve (12) month anniversary of the Closing date (the “</w:t>
      </w:r>
      <w:r>
        <w:rPr>
          <w:rFonts w:ascii="Times New Roman" w:cs="Times New Roman" w:eastAsia="Times New Roman" w:hAnsi="Times New Roman"/>
          <w:sz w:val="18"/>
          <w:szCs w:val="18"/>
          <w:b w:val="1"/>
          <w:bCs w:val="1"/>
          <w:color w:val="auto"/>
        </w:rPr>
        <w:t>Survival Period</w:t>
      </w:r>
      <w:r>
        <w:rPr>
          <w:rFonts w:ascii="Times New Roman" w:cs="Times New Roman" w:eastAsia="Times New Roman" w:hAnsi="Times New Roman"/>
          <w:sz w:val="18"/>
          <w:szCs w:val="18"/>
          <w:color w:val="auto"/>
        </w:rPr>
        <w:t>”); provided, that in the event that any indemnification notice shall have been given by FS Development in accordance with the provisions of the Merger Agreement (each, an “</w:t>
      </w:r>
      <w:r>
        <w:rPr>
          <w:rFonts w:ascii="Times New Roman" w:cs="Times New Roman" w:eastAsia="Times New Roman" w:hAnsi="Times New Roman"/>
          <w:sz w:val="18"/>
          <w:szCs w:val="18"/>
          <w:b w:val="1"/>
          <w:bCs w:val="1"/>
          <w:color w:val="auto"/>
        </w:rPr>
        <w:t>Indemnification Notice</w:t>
      </w:r>
      <w:r>
        <w:rPr>
          <w:rFonts w:ascii="Times New Roman" w:cs="Times New Roman" w:eastAsia="Times New Roman" w:hAnsi="Times New Roman"/>
          <w:sz w:val="18"/>
          <w:szCs w:val="18"/>
          <w:color w:val="auto"/>
        </w:rPr>
        <w:t>”) prior to the expiration of the Survival Period and such claim has not been finally resolved by the expiration of the Survival Period, the representations, warranties, covenants, agreements or obligations that are the subject of such Indemnification Notice shall survive solely for purposes of resolving such claim until such matters are finally resolved.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Merger Agreement may be terminated at any time prior to the Closing by:</w:t>
      </w:r>
    </w:p>
    <w:p>
      <w:pPr>
        <w:spacing w:after="0" w:line="158" w:lineRule="exact"/>
        <w:rPr>
          <w:sz w:val="20"/>
          <w:szCs w:val="20"/>
          <w:color w:val="auto"/>
        </w:rPr>
      </w:pPr>
    </w:p>
    <w:p>
      <w:pPr>
        <w:jc w:val="both"/>
        <w:ind w:left="1320" w:right="459" w:hanging="434"/>
        <w:spacing w:after="0" w:line="261" w:lineRule="auto"/>
        <w:tabs>
          <w:tab w:leader="none" w:pos="141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or Gemini, in the event (i) a governmental authority shall have issued an order, having the effect of permanently restraining, enjoining or otherwise prohibiting the Merger, which order is final and non-appealable or (ii) any applicable law is in effect making the consummation of the Merger illegal.</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7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or Gemini, if the Closing has not occurred on or prior to April 15, 2021 (the “</w:t>
      </w:r>
      <w:r>
        <w:rPr>
          <w:rFonts w:ascii="Times New Roman" w:cs="Times New Roman" w:eastAsia="Times New Roman" w:hAnsi="Times New Roman"/>
          <w:sz w:val="18"/>
          <w:szCs w:val="18"/>
          <w:b w:val="1"/>
          <w:bCs w:val="1"/>
          <w:color w:val="auto"/>
        </w:rPr>
        <w:t>Outside Closing Date</w:t>
      </w:r>
      <w:r>
        <w:rPr>
          <w:rFonts w:ascii="Times New Roman" w:cs="Times New Roman" w:eastAsia="Times New Roman" w:hAnsi="Times New Roman"/>
          <w:sz w:val="18"/>
          <w:szCs w:val="18"/>
          <w:color w:val="auto"/>
        </w:rPr>
        <w:t>”); provided, that if the SEC has not declared FS Development’s proxy statement effective on or prior to January 15, 2021, the Outside Closing Date shall be automatically extended to May 15, 2021; provided, further, that FS Development or Gemini, as applicable, is not in material breach of any of its obligations under the Merger Agreement; or</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5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if: (i) Gemini shall have breached any representation, warranty, agreement or covenant contained in the Merger Agreement to be performed on or prior to the Closing Date, which has rendered or would render the satisfaction of any of the conditions set forth in Section 10.2 of the Merger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impossible; and (ii) such breach cannot be cured or is not cured by the earlier of the Outside Closing Date and thirty (30) days following receipt by the breaching party of a written notice from the non-breaching party describing in reasonable detail the nature of such breach.</w:t>
      </w:r>
    </w:p>
    <w:p>
      <w:pPr>
        <w:spacing w:after="0" w:line="108" w:lineRule="exact"/>
        <w:rPr>
          <w:sz w:val="20"/>
          <w:szCs w:val="20"/>
          <w:color w:val="auto"/>
        </w:rPr>
      </w:pPr>
    </w:p>
    <w:p>
      <w:pPr>
        <w:jc w:val="both"/>
        <w:ind w:left="1320" w:right="459" w:hanging="434"/>
        <w:spacing w:after="0" w:line="255" w:lineRule="auto"/>
        <w:tabs>
          <w:tab w:leader="none" w:pos="140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if: Gemini has not delivered evidence of the Gemini stockholders’ approval by written consent of the Merger Agreement and the transactions contemplated thereby to FS Development by no later than two business days following the effective date of this proxy statement (the “</w:t>
      </w:r>
      <w:r>
        <w:rPr>
          <w:rFonts w:ascii="Times New Roman" w:cs="Times New Roman" w:eastAsia="Times New Roman" w:hAnsi="Times New Roman"/>
          <w:sz w:val="18"/>
          <w:szCs w:val="18"/>
          <w:b w:val="1"/>
          <w:bCs w:val="1"/>
          <w:color w:val="auto"/>
        </w:rPr>
        <w:t>Gemini Stockholder Approval Termination Right</w:t>
      </w:r>
      <w:r>
        <w:rPr>
          <w:rFonts w:ascii="Times New Roman" w:cs="Times New Roman" w:eastAsia="Times New Roman" w:hAnsi="Times New Roman"/>
          <w:sz w:val="18"/>
          <w:szCs w:val="18"/>
          <w:color w:val="auto"/>
        </w:rPr>
        <w:t>”); provided, that FS Development shall not be permitted to terminate the Merger Agreement pursuant to the Gemini Stockholder Approval Right at any time (A) prior to two business days following the effective date of this proxy statement or (B) after such evidence has been delivered to FS Development.</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45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if: (i) FS Development shall have breached any representation, warranty, agreement or covenant contained in the Merger Agreement to be performed on or prior to the Closing Date, which has rendered or would render the satisfaction of any of the conditions set forth in Section 10.3 of the Merger Agreement impossible; and (ii) such breach cannot be cured or is not cured by the earlier of the Outside Closing Date and thirty (30) days following receipt by FS Development of a written notice from Gemini describing in reasonable detail the nature of such breach.</w:t>
      </w:r>
    </w:p>
    <w:p>
      <w:pPr>
        <w:spacing w:after="0" w:line="3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Ancillary Agreements Related to the Business Combination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Subscription Agreements</w:t>
      </w:r>
    </w:p>
    <w:p>
      <w:pPr>
        <w:spacing w:after="0" w:line="146"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FS Development entered into the Subscription Agreements with certain investors, including an affiliate of our Sponsor, pursuant to which, among other things, such investors have agreed to purchase immediately prior to the Closing, an aggregate of 9,506,000 shares of Class A Common Stock at a purchase price of $10.00 per share, for aggregate gross proceeds of $95,060,000 (of which an affiliate of our Sponsor has agreed to purchase 1,500,000 of such shares). The obligations to consummate the subscriptions are conditioned upon, among other things, customary closing conditions.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public stockholders of FS Development entered into non-redemption letter agreements with FS Development, pursuant to which, among other things, such stockholders owning shares of Class A Common Stock agreed not to elect to redeem or tender or submit for redemption 2,742,529 shares of Class A Common Stock held in the aggregate by such stockholders.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Gemini Support Agreements</w:t>
      </w:r>
    </w:p>
    <w:p>
      <w:pPr>
        <w:spacing w:after="0" w:line="15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Gemini stockholders (the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Supporting Stockholders</w:t>
      </w:r>
      <w:r>
        <w:rPr>
          <w:rFonts w:ascii="Times New Roman" w:cs="Times New Roman" w:eastAsia="Times New Roman" w:hAnsi="Times New Roman"/>
          <w:sz w:val="18"/>
          <w:szCs w:val="18"/>
          <w:color w:val="auto"/>
        </w:rPr>
        <w:t>”) entered into support agreements with FS Development (the “</w:t>
      </w:r>
      <w:r>
        <w:rPr>
          <w:rFonts w:ascii="Times New Roman" w:cs="Times New Roman" w:eastAsia="Times New Roman" w:hAnsi="Times New Roman"/>
          <w:sz w:val="18"/>
          <w:szCs w:val="18"/>
          <w:b w:val="1"/>
          <w:bCs w:val="1"/>
          <w:color w:val="auto"/>
        </w:rPr>
        <w:t>Gemini Support Agreements</w:t>
      </w:r>
      <w:r>
        <w:rPr>
          <w:rFonts w:ascii="Times New Roman" w:cs="Times New Roman" w:eastAsia="Times New Roman" w:hAnsi="Times New Roman"/>
          <w:sz w:val="18"/>
          <w:szCs w:val="18"/>
          <w:color w:val="auto"/>
        </w:rPr>
        <w:t>”). Under the Gemini Support Agreements, each Gemini Supporting Stockholder agreed,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as reasonably practicable (and in any event within two (2) business days) following the SEC declaring this proxy statement/prospectus effective, to execute and deliver a written consent with respect to the outstanding shares of the Gemini Stock held by such Gemini Supporting Stockholder (the “</w:t>
      </w:r>
      <w:r>
        <w:rPr>
          <w:rFonts w:ascii="Times New Roman" w:cs="Times New Roman" w:eastAsia="Times New Roman" w:hAnsi="Times New Roman"/>
          <w:sz w:val="18"/>
          <w:szCs w:val="18"/>
          <w:b w:val="1"/>
          <w:bCs w:val="1"/>
          <w:color w:val="auto"/>
        </w:rPr>
        <w:t>Subject Gemini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approving the Merger Agreement and the transactions contemplated thereby. In addition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foregoing, each Gemini Supporting Stockholder agreed that at any meeting of the holders of Gemini capital stock, each such Gemini Supporting Stockholder will appear at the meeting, in person or by proxy, and cause its Subject Gemini Shares to be voted (i) to approve and adopt the Merger Agreement and the transactions contemplated thereby, including the Business Combination (ii) against any alternative transaction; and</w:t>
      </w:r>
    </w:p>
    <w:p>
      <w:pPr>
        <w:spacing w:after="0" w:line="8" w:lineRule="exact"/>
        <w:rPr>
          <w:sz w:val="20"/>
          <w:szCs w:val="20"/>
          <w:color w:val="auto"/>
        </w:rPr>
      </w:pPr>
    </w:p>
    <w:p>
      <w:pPr>
        <w:ind w:left="460" w:right="459" w:hanging="6"/>
        <w:spacing w:after="0" w:line="252" w:lineRule="auto"/>
        <w:tabs>
          <w:tab w:leader="none" w:pos="80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or agreement that would impede or frustrate the provisions of the Gemini Support Agreements, the Merger Agreement or the transactions contemplated thereby. Pursuant to the Gemini Support Agreements, certain stockholder agreements of Gemini shall be automatically terminated and of no further force and effect (including any provisions of any such agreement that, by its terms, survive such termination), effective as of, and subject to and condition upon the occurrence of, the Closing. The Subject Gemini Shares owned by the Gemini Supporting Stockholders and subject to the Gemini Support Agreements represent over % of the outstanding voting power of Gemini Stock. In addition, the Gemini</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Support Agreements prohibit the Gemini Supporting Stockholders from, among other things, (i) transferring any of the Subject Gemini Shares; (ii) entering into (a) any option, warrant, purchase right, or other contact that would require the Gemini Support Stockholders to transfer the Subject Gemini Shares, or (b) any voting trust, proxy or other contract with respect to the voting or transfer of the Subject Gemini Shares; or (iii) or taking any action in furtherance of the foregoing.</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FS Development Support Agreements</w:t>
      </w:r>
    </w:p>
    <w:p>
      <w:pPr>
        <w:spacing w:after="0" w:line="16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stockholders of FS Development including the Initial Stockholders (the “</w:t>
      </w:r>
      <w:r>
        <w:rPr>
          <w:rFonts w:ascii="Times New Roman" w:cs="Times New Roman" w:eastAsia="Times New Roman" w:hAnsi="Times New Roman"/>
          <w:sz w:val="18"/>
          <w:szCs w:val="18"/>
          <w:b w:val="1"/>
          <w:bCs w:val="1"/>
          <w:color w:val="auto"/>
        </w:rPr>
        <w:t>FS Development Supporting Stockholders</w:t>
      </w:r>
      <w:r>
        <w:rPr>
          <w:rFonts w:ascii="Times New Roman" w:cs="Times New Roman" w:eastAsia="Times New Roman" w:hAnsi="Times New Roman"/>
          <w:sz w:val="18"/>
          <w:szCs w:val="18"/>
          <w:color w:val="auto"/>
        </w:rPr>
        <w:t>”) entered into support agreements with FS Development, Gemini and the Sponsor (the “</w:t>
      </w:r>
      <w:r>
        <w:rPr>
          <w:rFonts w:ascii="Times New Roman" w:cs="Times New Roman" w:eastAsia="Times New Roman" w:hAnsi="Times New Roman"/>
          <w:sz w:val="18"/>
          <w:szCs w:val="18"/>
          <w:b w:val="1"/>
          <w:bCs w:val="1"/>
          <w:color w:val="auto"/>
        </w:rPr>
        <w:t>FS Development Support Agreements</w:t>
      </w:r>
      <w:r>
        <w:rPr>
          <w:rFonts w:ascii="Times New Roman" w:cs="Times New Roman" w:eastAsia="Times New Roman" w:hAnsi="Times New Roman"/>
          <w:sz w:val="18"/>
          <w:szCs w:val="18"/>
          <w:color w:val="auto"/>
        </w:rPr>
        <w:t>”). Under FS Development Support Agreements, each FS Development Supporting Stockholder agreed to vote, at any meeting of the stockholders of FS Development, and in any action by written consent of the stockholders of FS Development, all of such FS Development Supporting Stockholder’s FS Development Common Stock (i) in favor of the Merger Agreement, certain proposals requiring approval by the stockholders of FS Development in connection with Business Combination and the transactions contemplated by the Merger Agreement and FS Development Support Agreement, and (ii) in favor of any other matter reasonably necessary to the consummation of the transactions contemplated by the Merger Agreement and the approval of the Parent Proposals (as defined in the Merger Agreement). The shares of FS Development Common Stock owned by the FS Development Supporting Stockholders and subject to the FS Development Support Agreements represent over % of the outstanding voting power of FS Development Common Stock. In addition, FS Development Support Agreements prohibit FS Development Supporting Stockholders from, among other things, selling, assigning or transferring any FS Development Common Stock of FS Development held by FS Development Supporting Stockholders or taking any action that would prevent or disable FS Development Support Stockholders from performing its obligations thereunder.</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Closing, the Initial Stockholders and certain other stockholders will enter into a registration rights agreement with FS Development and Gemini, pursuant to which such stockholders can each demand that the Combined Entity register their registrable securities under certain circumstances and will each also have piggyback registration rights for these securities. In addition, following the consummation of the Business Combination,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As part of the Registration Rights Agreement, holders of the registrable securities agree to a one hundred eighty (180) day lock-up period with respect to such registrable securities. The presence of these additional shares of common stock trading in the public market may have an adverse effect on the market price of the Combined Entity’s securities.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Agreement</w:t>
      </w:r>
    </w:p>
    <w:p>
      <w:pPr>
        <w:spacing w:after="0" w:line="14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In connection with the Closing, the Sponsor, FS Development, certain stockholders of FS Development and certain stockholders of Gemini will enter into a voting agreement, pursuant to which: (a) Gemini will have the right to designate four (4) directors to the board of directors of the Combined Entity and (b) the Sponsor will have the right to designate one (1) individual for election as a member of the board of directors of the Combined Entity until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anniversary of the date of the voting agreement, subject to certain terms and holding requirements set forth therein.</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connection with the Closing, certain stockholders of Gemini will enter into a lockup agreement, pursuant to which the stockholder parties thereto will agree to not (i) sell, hypothecate, pledge, grant any option to purchase or establish or increase a put equivalent position or liquidate or decrease a call equivalent position or (ii) enter into any swap or other arrangement that transfers any of the economic consequences of ownership, in each case, of the Combined Entity’s Common Stock for a period of one hundred eighty (180) days after the Closing.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Combined Entity’s board of directors will consist of seven members upon the Closing.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116"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Class I directors will be</w:t>
            </w:r>
          </w:p>
        </w:tc>
        <w:tc>
          <w:tcPr>
            <w:tcW w:w="34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 their terms will expire at the annual meeting of</w:t>
            </w:r>
          </w:p>
        </w:tc>
      </w:tr>
      <w:tr>
        <w:trPr>
          <w:trHeight w:val="234"/>
        </w:trPr>
        <w:tc>
          <w:tcPr>
            <w:tcW w:w="240" w:type="dxa"/>
            <w:vAlign w:val="bottom"/>
          </w:tcPr>
          <w:p>
            <w:pPr>
              <w:spacing w:after="0"/>
              <w:rPr>
                <w:sz w:val="20"/>
                <w:szCs w:val="20"/>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 to be held in 2021;</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34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Class II directors will be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and their terms will expire at the annual meeting of</w:t>
            </w:r>
          </w:p>
        </w:tc>
      </w:tr>
      <w:tr>
        <w:trPr>
          <w:trHeight w:val="234"/>
        </w:trPr>
        <w:tc>
          <w:tcPr>
            <w:tcW w:w="240" w:type="dxa"/>
            <w:vAlign w:val="bottom"/>
          </w:tcPr>
          <w:p>
            <w:pPr>
              <w:spacing w:after="0"/>
              <w:rPr>
                <w:sz w:val="20"/>
                <w:szCs w:val="20"/>
                <w:color w:val="auto"/>
              </w:rPr>
            </w:pPr>
          </w:p>
        </w:tc>
        <w:tc>
          <w:tcPr>
            <w:tcW w:w="2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stockholders to be held in 2022; and</w:t>
            </w:r>
          </w:p>
        </w:tc>
        <w:tc>
          <w:tcPr>
            <w:tcW w:w="54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33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Class III directors will be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and</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and their terms will expire at the annual meeting of</w:t>
            </w:r>
          </w:p>
        </w:tc>
      </w:tr>
      <w:tr>
        <w:trPr>
          <w:trHeight w:val="234"/>
        </w:trPr>
        <w:tc>
          <w:tcPr>
            <w:tcW w:w="240" w:type="dxa"/>
            <w:vAlign w:val="bottom"/>
          </w:tcPr>
          <w:p>
            <w:pPr>
              <w:spacing w:after="0"/>
              <w:rPr>
                <w:sz w:val="20"/>
                <w:szCs w:val="20"/>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 to be held in 2023.</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0" w:type="dxa"/>
            <w:vAlign w:val="bottom"/>
          </w:tcPr>
          <w:p>
            <w:pPr>
              <w:spacing w:after="0"/>
              <w:rPr>
                <w:sz w:val="20"/>
                <w:szCs w:val="20"/>
                <w:color w:val="auto"/>
              </w:rPr>
            </w:pPr>
          </w:p>
        </w:tc>
      </w:tr>
    </w:tbl>
    <w:p>
      <w:pPr>
        <w:spacing w:after="0" w:line="13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Satisfaction of 80% Test</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Board concluded that the Business Combination met all of the requirements disclosed in the prospectus for the FS Development IPO with respect to FS Development’s initial business combination, including that the Business Combination had a fair market value of at least 80% of the balance of the funds in the Trust Account (excluding the deferred underwriting commissions and taxes payable on the income earned on the Trust Account) at the time of execution of the Merger Agreement.</w:t>
      </w:r>
    </w:p>
    <w:p>
      <w:pPr>
        <w:spacing w:after="0" w:line="10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of the date of the execution of the Merger Agreement, the balance of funds in the Trust Account was approximately $[•] million, 80% thereof represents approximately $[•] million. In reaching its conclusion that the business combination meets the 80% test, the Board used as a fair market value the enterprise value of approximately $215 million, which was implied based on the terms of the transactions agreed to by the parties in negotiating the Merger Agreement. In determining whether the purchase price represents the fair market value of Gemini, the Board considered all of the factors described in the section entitled “The Business Combination Proposal — Board’s Reasons for Approval of the Business Combination,” and the fact that the purchase price for Gemini was the result of an arm’s length negotiation. As a result, the Board concluded that the fair market value of the businesses acquired was significantly in excess of 80% of the assets held in the Trust Account. In light of the financial background and experience of the members of our management team and the Board in valuing companies in the biotechnology industry, the Board believes that the members of our management team and the Board are qualified to determine whether the business combination meets the 80% test. The Board did not seek or obtain an opinion of an outside fairness or valuation advisor as to whether the 80% test has been met.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Interests of FS Development’s Directors and Officers and Others in the Business Combination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When you consider the recommendation of the Board in favor of approval of the Business Combination Proposal and the other proposals, you should keep in mind that the Sponsor and FS Development’s directors and officers, have interests in such proposals that are different from, or in addition to, your interests as a stockholder. These interests include, among other things:</w:t>
      </w:r>
    </w:p>
    <w:p>
      <w:pPr>
        <w:spacing w:after="0" w:line="112" w:lineRule="exact"/>
        <w:rPr>
          <w:sz w:val="20"/>
          <w:szCs w:val="20"/>
          <w:color w:val="auto"/>
        </w:rPr>
      </w:pPr>
    </w:p>
    <w:p>
      <w:pPr>
        <w:jc w:val="both"/>
        <w:ind w:left="1320" w:right="459" w:hanging="434"/>
        <w:spacing w:after="0" w:line="254" w:lineRule="auto"/>
        <w:tabs>
          <w:tab w:leader="none" w:pos="13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complete our initial business combination by August 14, 2022,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2" w:name="page123"/>
    <w:bookmarkEnd w:id="1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66" w:lineRule="auto"/>
        <w:rPr>
          <w:sz w:val="20"/>
          <w:szCs w:val="20"/>
          <w:color w:val="auto"/>
        </w:rPr>
      </w:pPr>
      <w:r>
        <w:rPr>
          <w:rFonts w:ascii="Times New Roman" w:cs="Times New Roman" w:eastAsia="Times New Roman" w:hAnsi="Times New Roman"/>
          <w:sz w:val="18"/>
          <w:szCs w:val="18"/>
          <w:color w:val="auto"/>
        </w:rPr>
        <w:t>subject to the approval of our remaining stockholders and the Board, liquidate and dissolve, subject in each case to our obligations under Delaware law to provide for claims of creditors and the requirements of other applicable law.</w:t>
      </w:r>
    </w:p>
    <w:p>
      <w:pPr>
        <w:spacing w:after="0" w:line="108" w:lineRule="exact"/>
        <w:rPr>
          <w:sz w:val="20"/>
          <w:szCs w:val="20"/>
          <w:color w:val="auto"/>
        </w:rPr>
      </w:pPr>
    </w:p>
    <w:p>
      <w:pPr>
        <w:jc w:val="both"/>
        <w:ind w:left="1320" w:right="459" w:hanging="434"/>
        <w:spacing w:after="0" w:line="256" w:lineRule="auto"/>
        <w:tabs>
          <w:tab w:leader="none" w:pos="147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we fail to complete a business combination within the required period. Our Sponsor purchased the Founders Shares prior to the FS Development IPO for an aggregate purchase price of $25,000, and transferred 30,000 Founders Shares to each of Mr. Carey, Dr. Dubin and Dr. Pakianathan. Upon the Closing, such Founders Shares will convert into 2,928,750 shares of Class A Common Stock.</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0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Private Placement Shares at a price of $10.00 per share in a private placement to the Sponsor. If we do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7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our officers and directors will lose their entire investment in us if we do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5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9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stockholders and our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41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us if and to the extent any claims by a vendor for services rendered or products sold to us, or a prospective target business with which we have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the offering against certain liabilities, including liabilities under the Securities Act.</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5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we do not complete an initial business combination within the required period, we may use a portion of our working capital held outside the Trust Account to repay the working capital loans, but no proceeds held in the Trust Account would be used to repay the working capital loans.</w:t>
      </w:r>
    </w:p>
    <w:p>
      <w:pPr>
        <w:spacing w:after="0" w:line="119"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we will continue to indemnify our existing directors and officers and will maintain a directors’ and officers’ liability insurance policy.</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9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the Sponsor, our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Company Shares to be Issued in the Business Combination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It is anticipated that, upon completion of the Business Combination, the Company’s public stockholders (other than investors in the PIPE Investment) will retain an ownership interest of approximately 26% in the Combined Entity, the PIPE Investment investors will own approximately 21% of the outstanding common stock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This ownership interest assumes that no shares are elected to be redeemed.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for the Business Combination</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tables summarizes the sources and uses for funding the Business Combination based on (i) the assumption that there will be no redemptions and (ii) the assumption that there will be maximum redemptions.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No redemptions</w:t>
      </w:r>
    </w:p>
    <w:p>
      <w:pPr>
        <w:spacing w:after="0" w:line="27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1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8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Existing Cash in Trust Account</w:t>
            </w: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120,751</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1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95,060</w:t>
            </w:r>
          </w:p>
        </w:tc>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191,201</w:t>
            </w:r>
          </w:p>
        </w:tc>
        <w:tc>
          <w:tcPr>
            <w:tcW w:w="0" w:type="dxa"/>
            <w:vAlign w:val="bottom"/>
          </w:tcPr>
          <w:p>
            <w:pPr>
              <w:spacing w:after="0"/>
              <w:rPr>
                <w:sz w:val="1"/>
                <w:szCs w:val="1"/>
                <w:color w:val="auto"/>
              </w:rPr>
            </w:pPr>
          </w:p>
        </w:tc>
      </w:tr>
      <w:tr>
        <w:trPr>
          <w:trHeight w:val="47"/>
        </w:trPr>
        <w:tc>
          <w:tcPr>
            <w:tcW w:w="3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215,000</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FS Development Estimated Transaction Costs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Total Uses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60" w:type="dxa"/>
            <w:vAlign w:val="bottom"/>
            <w:vMerge w:val="continue"/>
          </w:tcPr>
          <w:p>
            <w:pPr>
              <w:spacing w:after="0"/>
              <w:rPr>
                <w:sz w:val="21"/>
                <w:szCs w:val="21"/>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430,811</w:t>
            </w:r>
          </w:p>
        </w:tc>
        <w:tc>
          <w:tcPr>
            <w:tcW w:w="3180" w:type="dxa"/>
            <w:vAlign w:val="bottom"/>
            <w:vMerge w:val="continue"/>
          </w:tcPr>
          <w:p>
            <w:pPr>
              <w:spacing w:after="0"/>
              <w:rPr>
                <w:sz w:val="21"/>
                <w:szCs w:val="21"/>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430,811</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(ii) Maximum redemptions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31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Existing Cash in Trust Account</w:t>
            </w: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5,001</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1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95,060</w:t>
            </w:r>
          </w:p>
        </w:tc>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75,451</w:t>
            </w:r>
          </w:p>
        </w:tc>
        <w:tc>
          <w:tcPr>
            <w:tcW w:w="0" w:type="dxa"/>
            <w:vAlign w:val="bottom"/>
          </w:tcPr>
          <w:p>
            <w:pPr>
              <w:spacing w:after="0"/>
              <w:rPr>
                <w:sz w:val="1"/>
                <w:szCs w:val="1"/>
                <w:color w:val="auto"/>
              </w:rPr>
            </w:pPr>
          </w:p>
        </w:tc>
      </w:tr>
      <w:tr>
        <w:trPr>
          <w:trHeight w:val="47"/>
        </w:trPr>
        <w:tc>
          <w:tcPr>
            <w:tcW w:w="3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3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215,000</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FS Development Estimated Transaction Costs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Total Uses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60" w:type="dxa"/>
            <w:vAlign w:val="bottom"/>
            <w:vMerge w:val="continue"/>
          </w:tcPr>
          <w:p>
            <w:pPr>
              <w:spacing w:after="0"/>
              <w:rPr>
                <w:sz w:val="21"/>
                <w:szCs w:val="21"/>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315,061</w:t>
            </w:r>
          </w:p>
        </w:tc>
        <w:tc>
          <w:tcPr>
            <w:tcW w:w="3180" w:type="dxa"/>
            <w:vAlign w:val="bottom"/>
            <w:vMerge w:val="continue"/>
          </w:tcPr>
          <w:p>
            <w:pPr>
              <w:spacing w:after="0"/>
              <w:rPr>
                <w:sz w:val="21"/>
                <w:szCs w:val="21"/>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315,061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Certificate of Incorporation; By-laws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upon the closing of the Business Combination, FS Development’s Current Charter and Current By-laws will be amended and restated as set forth in the Proposed Charter and Amended By-laws. See section titled “</w:t>
      </w:r>
      <w:r>
        <w:rPr>
          <w:rFonts w:ascii="Times New Roman" w:cs="Times New Roman" w:eastAsia="Times New Roman" w:hAnsi="Times New Roman"/>
          <w:sz w:val="18"/>
          <w:szCs w:val="18"/>
          <w:i w:val="1"/>
          <w:iCs w:val="1"/>
          <w:color w:val="auto"/>
        </w:rPr>
        <w:t>The Charter Amendment Proposal</w:t>
      </w:r>
      <w:r>
        <w:rPr>
          <w:rFonts w:ascii="Times New Roman" w:cs="Times New Roman" w:eastAsia="Times New Roman" w:hAnsi="Times New Roman"/>
          <w:sz w:val="18"/>
          <w:szCs w:val="18"/>
          <w:color w:val="auto"/>
        </w:rPr>
        <w:t>,” for more information regarding the proposed amendments to the Current Charter.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Name; Headquarters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name of the Combined Entity will be Gemini Therapeutics, Inc. and its headquarters will be located at One Kendall Square, Cambridge, Massachusetts.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 of the Redemption</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for holders of our Common Stock that elect to have their Common Stock redeemed pursuant to the Current Charter, which is referred to as the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This summary is based upon the Code, the regulations promulgated by the U.S. Treasury Department, current administrative interpretations and practices of the IRS, and judicial decisions, all as currently in effect and all of which are subject to differing interpretations or to change, possibly with retroactive effect. We have not sought, and do not intend to seek, a ruling from the IRS as to any U.S. federal income tax consequences described herein. No assurance can be given that the IRS would not assert, or that a court would not sustain, a position contrary to any of the tax considerations described below. This summary does not discuss all aspects of U.S. federal income taxation that may be important to particular investors in light of their individual circumstances, such as investors subject to special tax rules, including financial institutions, insurance companies, mutual funds, pension plans,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4" w:name="page125"/>
    <w:bookmarkEnd w:id="1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 corporations, partnerships or other entities classified as partnerships or pass-through entities for U.S. federal income tax purposes, or investors in such entities, broker-dealers, traders in securities that elect mark-to-market treatment, regulated investment companies, real estate investment trusts, trusts and estates, tax-exempt organizations (including private foundations), investors that hold our Common Stock as part of a “straddle,” “hedge,” “conversion transaction,” “synthetic security,” “constructive ownership transaction,” “constructive sale,” or other integrated transaction for U.S. federal income tax purposes, U.S. Holders (as defined below) that have a functional currency other than the U.S. dollar, certain former U.S. citizens or long-term residents, investors that directly, indirectly, or constructively own 5 percent or more (by vote or value) of our Common Stock, “specified foreign corporations” (including “controlled foreign corporations”), “passive foreign investment companies” and corporations that accumulate earnings to avoid U.S. federal income tax, governments or agencies or instrumentalities thereof, persons who received their shares of our Common Stock pursuant to an exercise of employee share options, in connection with employee share incentive plans or otherwise as compensation, and Non-U.S. Holders (as defined below, and except as otherwise discussed below), all of whom may be subject to tax rules that differ materially from those summarized below. In addition, this summary addresses only the federal income tax laws of the United States, and does not discuss any state, local, or non-U.S. tax considerations, any non-income tax considerations (such as gift or estate taxes), the consequences of special tax accounting rules under Section 451(b) of the Code, the alternative minimum tax or the Medicare tax on net investment income. In addition, this summary is limited to investors that hold our Common Stock as “capital assets” under the Code (generally, property held for investment).</w:t>
      </w:r>
    </w:p>
    <w:p>
      <w:pPr>
        <w:spacing w:after="0" w:line="12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our Common Stock, the U.S. federal income tax treatment of a partner in such partnership will generally depend upon the status of the partner, the activities of the partnership and certain determinations made at the partner level. If you are a partnership or a partner of a partnership holding our Common Stock, you are urged to consult your tax advisor regarding the tax consequences of a Redemption.</w:t>
      </w:r>
    </w:p>
    <w:p>
      <w:pPr>
        <w:spacing w:after="0" w:line="112"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WE URGE HOLDERS OF OUR COMMON STOCK CONTEMPLATING EXERCISE OF THEIR REDEMPTION RIGHTS TO CONSULT THEIR OWN TAX ADVISORS CONCERNING THE U.S. FEDERAL, STATE, LOCAL AND NON-U.S. INCOME AND OTHER TAX CONSEQUENCES THEREOF.</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Federal Income Tax Considerations to U.S. Holders</w:t>
      </w:r>
    </w:p>
    <w:p>
      <w:pPr>
        <w:spacing w:after="0" w:line="14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This section is addressed to U.S. Holders of our Common Stock that elect to have their Common Stock redeemed pursuant to the Redemption. For purposes of this discussion, a “U.S. Holder” is a beneficial owner of our Common Stock who or that is, for U.S. federal income tax purposes:</w:t>
      </w:r>
    </w:p>
    <w:p>
      <w:pPr>
        <w:spacing w:after="0" w:line="108" w:lineRule="exact"/>
        <w:rPr>
          <w:sz w:val="20"/>
          <w:szCs w:val="20"/>
          <w:color w:val="auto"/>
        </w:rPr>
      </w:pPr>
    </w:p>
    <w:p>
      <w:pPr>
        <w:ind w:left="1300" w:hanging="414"/>
        <w:spacing w:after="0"/>
        <w:tabs>
          <w:tab w:leader="none" w:pos="13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3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that has one or more United States persons (within the meaning of the Code) with the authority to control all substantial decisions of the trust or (B) that has in effect a valid election under applicable Treasury regulations to be treated as a United States person.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Common Stock</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the event that a U.S. Holder’s Common Stock is redeemed pursuant to the Redemption, the treatment of the transaction for U.S. federal income tax purposes will depend on whether the Redemption qualifies as a sale of the Common Stock under Section 302 of the Code. Whether the Redemption qualifies for sale treatment will depend largely on the total number of shares of our stock held or treated as held by the U.S. Holder both before and after the Redemption (including any stock constructively owned by the U.S. Holder as a result of owning warrants and stock ownership attributed to such U.S. Holder under applicable attribution rules) relative to all of our shares both before and after the Redemption. The Redemption generally will be treated as a sale of the Common Stock (rather than as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5" w:name="page126"/>
    <w:bookmarkEnd w:id="1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distribution) if the Redemption (i) is “substantially disproportionate” with respect to the U.S. Holder,</w:t>
      </w:r>
    </w:p>
    <w:p>
      <w:pPr>
        <w:spacing w:after="0" w:line="27" w:lineRule="exact"/>
        <w:rPr>
          <w:sz w:val="20"/>
          <w:szCs w:val="20"/>
          <w:color w:val="auto"/>
        </w:rPr>
      </w:pPr>
    </w:p>
    <w:p>
      <w:pPr>
        <w:ind w:left="460" w:right="459" w:hanging="6"/>
        <w:spacing w:after="0" w:line="260" w:lineRule="auto"/>
        <w:tabs>
          <w:tab w:leader="none" w:pos="72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“complete termination” of the U.S. Holder’s interest in us or (iii) is “not essentially equivalent to a dividend” with respect to the U.S. Holder. These tests are explained more fully below.</w:t>
      </w:r>
    </w:p>
    <w:p>
      <w:pPr>
        <w:spacing w:after="0" w:line="11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shares of our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generally would include Common Stock that could be acquired pursuant to the exercise of the warrants. Moreover, any of our stock that a U.S. Holder directly or constructively acquires pursuant to the Business Combination or the PIPE Investment generally should be included in determining the U.S. federal income tax treatment of the Redemption.</w:t>
      </w:r>
    </w:p>
    <w:p>
      <w:pPr>
        <w:spacing w:after="0" w:line="12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order to meet the substantially disproportionate test, the percentage of our outstanding voting stock actually and constructively owned by the U.S. Holder immediately following the Redemption must, among other requirements, be less than 80% of the percentage of our outstanding voting stock actually and constructively owned by the U.S. Holder immediately before the Redemption (taking into account both redemptions by other holders of Common Stock and the Common Stock to be issued pursuant to the Business Combination or the PIPE Investment).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holder as a result of owning warrants). The Redemption will be not essentially equivalent to a dividend if a U.S. Holder’s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where such stockholder exercises no control over corporate affairs may constitute such a “meaningful reduction.”</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none of the foregoing tests are satisfied, then the Redemption will be treated as a distribution and the tax effects will be as described below under “</w:t>
      </w:r>
      <w:r>
        <w:rPr>
          <w:rFonts w:ascii="Times New Roman" w:cs="Times New Roman" w:eastAsia="Times New Roman" w:hAnsi="Times New Roman"/>
          <w:sz w:val="18"/>
          <w:szCs w:val="18"/>
          <w:i w:val="1"/>
          <w:iCs w:val="1"/>
          <w:color w:val="auto"/>
        </w:rPr>
        <w:t>U.S. Federal Income Tax Considerations to U.S. Holders — Taxation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Distributions</w:t>
      </w:r>
      <w:r>
        <w:rPr>
          <w:rFonts w:ascii="Times New Roman" w:cs="Times New Roman" w:eastAsia="Times New Roman" w:hAnsi="Times New Roman"/>
          <w:sz w:val="18"/>
          <w:szCs w:val="18"/>
          <w:color w:val="auto"/>
        </w:rPr>
        <w:t>.” U.S. Holders of our Common Stock considering exercising their redemption rights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 their own tax advisors as to whether the Redemption will be treated as a sale or as a distribution under the Code.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Common Stock</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Redemption qualifies as a sale of Common Stock, generally, a U.S. Holder will recognize gain or loss in an amount equal to the difference between (i) the sum of cash and the fair market value of any property received in such disposition and (ii) the U.S. Holder’s adjusted tax basis in its Common Stock so disposed of. Any such capital gain or loss generally will be long-term capital gain or loss if the U.S. Holder’s holding period for the Common Stock so disposed of exceeds one year. It is unclear, however, whether the redemption rights with respect to the Common Stock described in this proxy statement/prospectus may suspend the running of the applicable holding period for this purpose. A U.S. Holder’s adjusted tax basis in its Common Stock generally will equal the U.S. Holder’s acquisition cost less any prior distributions treated as a return of capital. Long-term capital gain recognized by a non-corporate U.S. Holder generally will be taxable at a reduced rate. The deduction of capital losses is subject to limitations.</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U.S. Holders who hold different blocks of Common Stock (shares of Common Stock purchased or acquired on different dates or at different prices) should consult their tax advisors to determine how the above rules apply to them.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the Redemption does not qualify as a sale of Common Stock, the U.S. Holder will be treated as receiving a distribution. In general, any distributions to U.S. Holders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6" w:name="page127"/>
    <w:bookmarkEnd w:id="1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Any remaining excess will be treated as gain realized on the sale or other disposition of the Common Stock and will be treated as described under “</w:t>
      </w:r>
      <w:r>
        <w:rPr>
          <w:rFonts w:ascii="Times New Roman" w:cs="Times New Roman" w:eastAsia="Times New Roman" w:hAnsi="Times New Roman"/>
          <w:sz w:val="18"/>
          <w:szCs w:val="18"/>
          <w:i w:val="1"/>
          <w:iCs w:val="1"/>
          <w:color w:val="auto"/>
        </w:rPr>
        <w:t>U.S. Federal Income Tax Considerations to FS Development U.S. Holders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Gain or Loss on Sale, Taxable Exchange or Other Taxable Disposition of Common Stock</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taxable at a reduced rate. It is unclear whether the redemption rights with respect to the Common Stock described in this proxy statement/prospectus may prevent a U.S. Holder from satisfying the applicable holding period requirements with respect to the dividends received deduction or the preferential tax rate on qualified dividend income, as the case may be.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Federal Income Tax Considerations to Non-U.S. Holders</w:t>
      </w:r>
    </w:p>
    <w:p>
      <w:pPr>
        <w:spacing w:after="0" w:line="14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This section is addressed to Non-U.S. Holders of our Common Stock that elect to have their Common Stock redeemed pursuant to the Redemption. For purposes of this discussion, a “Non-U.S. Holder” is a beneficial owner of our Common Stock (other than a partnership) that is not a U.S. Holder. The characterization for U.S. federal income tax purposes of the Redemption generally will correspond to the U.S. federal income tax characterization of the Redemption as described under “</w:t>
      </w:r>
      <w:r>
        <w:rPr>
          <w:rFonts w:ascii="Times New Roman" w:cs="Times New Roman" w:eastAsia="Times New Roman" w:hAnsi="Times New Roman"/>
          <w:sz w:val="18"/>
          <w:szCs w:val="18"/>
          <w:i w:val="1"/>
          <w:iCs w:val="1"/>
          <w:color w:val="auto"/>
        </w:rPr>
        <w:t>U.S. Federal Income Tax Considerations to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Non-U.S. Holders of our Common Stock considering exercising their redemption rights should consult their own tax advisors as to whether the Redemption will be treated as a sale or as a distribution under the Code.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 on Sale, Taxable Exchange or Other Taxable Disposition of Common Stock</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redemption qualifies as a sale of Common Stock, subject to the discussions of FATCA (as defined below) and backup withholding below, a Non-U.S. Holder generally will not be subject to U.S. federal income or withholding tax in respect of gain recognized on a sale of its Common Stock, unless:</w:t>
      </w:r>
    </w:p>
    <w:p>
      <w:pPr>
        <w:spacing w:after="0" w:line="95" w:lineRule="exact"/>
        <w:rPr>
          <w:sz w:val="20"/>
          <w:szCs w:val="20"/>
          <w:color w:val="auto"/>
        </w:rPr>
      </w:pPr>
    </w:p>
    <w:p>
      <w:pPr>
        <w:jc w:val="both"/>
        <w:ind w:left="1320" w:right="459" w:hanging="434"/>
        <w:spacing w:after="0" w:line="255" w:lineRule="auto"/>
        <w:tabs>
          <w:tab w:leader="none" w:pos="141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under certain income tax treaties, is attributable to a permanent establishment or fixed base maintained by the Non-U.S. Holder in the United States), in which case, unless an applicable income tax treaty provides otherwise, the Non-U.S. Holder will generally be subject to the same treatment as a U.S. Holder with respect to the Redemption, and a corporate Non-U.S. Holder may be subject to an additional branch profits tax at a 30% rate (or lower rate as may be specified by an applicable income tax treaty);</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in which the Redemption takes place and certain other conditions are met, in which case the Non-U.S. Holder will be subject to a 30% tax on the individual’s net capital gain (including any gain realized in connection with the Redemption) for the year (which gain may be offset by certain U.S.-source capital losses), even though the Non-U.S. Holder is not considered a resident of the United States; or</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2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in which case, gain recognized by such holder in connection with the Redemption will be subject to tax at generally applicable U.S. federal income tax rates. In addition, we may be required to withhold U.S. federal income tax at a rate of 15% of the amount realized upon such Redemption. There can be no assurance that our Common Stock is or has been treated as regularly traded on an established securities market for this purpose. We believe that we are not, and have not been at any time since our formation, a United States real property holding corporation and we do not expect to be a United States real property holding corporation immediately after the Business Combination is completed.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Redemption does not qualify as a sale of Common Stock, the Non-U.S. Holder will be treated as receiving a distribution. In general, any distributions we make to a Non-U.S. Holder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timely provides proper certification of its eligibility for such reduced rate (usually on an IRS Form W-8BEN or W-8BEN-E).</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Any distribution not constituting a dividend will be treated first as reducing (but not below zero) the Non-U.S. Holder’s adjusted tax basis in its shares of our Common Stock redeemed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U.S. Federal Income Tax Considerations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Non-U.S. Holders — Gain on Sale, Taxable Exchange or Other Taxable Disposition of Common Stock</w:t>
      </w:r>
      <w:r>
        <w:rPr>
          <w:rFonts w:ascii="Times New Roman" w:cs="Times New Roman" w:eastAsia="Times New Roman" w:hAnsi="Times New Roman"/>
          <w:sz w:val="18"/>
          <w:szCs w:val="18"/>
          <w:color w:val="auto"/>
        </w:rPr>
        <w:t>.” If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cannot be determined at the time a distribution is made whether or not such distribution will be in excess of our current and accumulated earnings and profits, the distribution will be subject to withholding at the same 30% rate discussed in the last paragraph unless a Non-U.S. Holder is eligible for a reduced rate of withholding tax under an applicable income tax treaty and timely provides proper certification of its eligibility for such reduced rate (usually on an IRS Form W-8BEN or W-8BEN-E).</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Because (i) it may not be certain at the time a Non-U.S. Holder is redeemed whether such Non-U.S. Holder’s Redemption will be treated as a sale of shares or a distribution constituting a dividend, (ii) such determination will depend in part on a Non-U.S. Holder’s particular circumstances, and (iii) we generally cannot determine at the time we make a distribution whether or not the distribution will exceed our current and accumulated earnings and profits, we or the applicable withholding agent generally will withhold tax on the entire amount of any distribution at the 30% rate (subject to reduction by an applicable income tax treaty). However, if we or an applicable withholding agent withhold excess amounts from the amount payable to a Non-U.S. Holder, such Non-U.S. Holder generally may obtain a refund of any such excess amounts by timely filing an appropriate claim for refund with the IRS. Non-U.S. Holders should consult their own tax advisors regarding the application of the foregoing rules in light of their particular facts and circumstances and any applicable procedures or certification requirements.</w:t>
      </w:r>
    </w:p>
    <w:p>
      <w:pPr>
        <w:spacing w:after="0" w:line="11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generally will not be subject to U.S. federal withholding tax, provided that such Non-U.S. Holder complies with certain certification and disclosure requirements. Instead, such dividends generally will be subject to U.S. federal income tax, net of certain deductions, at the same graduated individual or corporate rates applicable to U.S. Holders (subject to an exemption or reduction in such tax as may be provided by an applicable income tax treaty). If the Non-U.S. Holder is a corporation, dividends that are effectively connected income may also be subject to a “branch profits tax” at a rate of 30% (or such lower rate as may be specified by an applicable income tax treaty).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resulting from our Redemption. U.S. Holders will have to provide their taxpayer identification number and comply with certain certification requirements to avoid backup withholding. A Non-U.S. holder may have to comply with certification procedures to establish that it is not a United States person in order to avoid information reporting and backup withholding requirements. Backup withholding is not an additional tax. The amount of any backup withholding from a payment to a holder may be allowed as a credit against such holder’s U.S. federal income tax liability and may entitle such holder to a refund, provided that an appropriate claim for refund is timely filed with the IRS and the required information is timely furnished to the IRS.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FATCA</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promulgated thereunder (commonly referred to as the “Foreign Account Tax Compliance Act” or “FATCA”) generally impose a 30% withholding tax with respect to certain payments on our Common Stock, in each case if paid to a foreign financial institution or a non-financial foreign entity (including, in some cases, when such foreign financial institution or entity is acting as an intermediary), unless (i) in the case of a foreign financial institution, such institution enters into, and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8" w:name="page129"/>
    <w:bookmarkEnd w:id="1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complies with,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U.S. owners or provides the withholding agent with a certification identifying the direct and indirect substantial U.S. owners of the entity or (iii) the foreign financial institution or non-financial foreign entity otherwise qualifies for an exemption from these rules. The withholding tax may apply to payments made to Non-U.S. Holders pursuant to the Redemption if the Redemption does not qualify as a sale of Common Stock described above. Thirty percent (30%) withholding under FATCA was scheduled to apply to the gross proceeds of a disposition of any stock, debt instrument, or other property that can produce U.S.-source dividends or interest beginning on January 1, 2019, but on December 13, 2018, the IRS released proposed regulations that, if finalized in their proposed form, would eliminate the obligation to withhold on gross proceeds. Although these proposed Treasury Regulations are not final, taxpayers generally may rely on them until final Treasury Regulations are issued. Under certain circumstances, a Non-U.S. Holder might be eligible for refunds or credits of such taxes. An intergovernmental agreement between the United States and an applicable foreign country may modify these requirements. Non-U.S. Holders are encouraged to consult their tax advisors regarding the possible implications of such withholding tax.</w:t>
      </w:r>
    </w:p>
    <w:p>
      <w:pPr>
        <w:spacing w:after="0" w:line="18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 of the Business Combination to Gemini Equityholders</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of the Business Combination for U.S. Gemini Holders (as defined below) and Non-U.S. Gemini Holders (as defined below, and together, the “Gemini Holders”) who exchange their Gemini Stock for the Merger Consideration in the Business Combination. This summary is based upon the Code, the regulations promulgated by the U.S. Treasury Department, current administrative interpretations and practices of the IRS, and judicial decisions, all as currently in effect and all of which are subject to differing interpretations or to change, possibly with retroactive effect. We have not sought, and do not intend to seek, a ruling from the IRS as to any U.S. federal income tax consequences described herein. No assurance can be given that the IRS would not assert, or that a court would not sustain, a position contrary to any of the tax considerations described below.</w:t>
      </w:r>
    </w:p>
    <w:p>
      <w:pPr>
        <w:spacing w:after="0" w:line="121"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This summary does not discuss all aspects of U.S. federal income taxation that may be important to particular investors in light of their individual circumstances, such as investors subject to special tax rules, including financial institutions, insurance companies, mutual funds, pension plans, S corporations, partnerships or other entities classified as partnerships or pass-through entities for U.S. federal income tax purposes, or investors in such entities, broker-dealers, traders in securities that elect mark-to-market treatment, regulated investment companies, real estate investment trusts, trusts and estates, tax-exempt organizations (including private foundations), investors that hold Gemini Stock as part of a “straddle,” “hedge,” “conversion transaction,” “synthetic security,” “constructive ownership transaction,” “constructive sale,” or other integrated transaction for U.S. federal income tax purposes, U.S. Gemini Holders (as defined below) that have a functional currency other than the U.S. dollar, certain former U.S. citizens or long-term residents, investors that directly, indirectly or constructively own 5 percent or more (by vote or value) of the Gemini Stock, “specified foreign corporations” (including “controlled foreign corporations”), “passive foreign investment companies” and corporations that accumulate earnings to avoid U.S. federal income tax, governments or agencies or instrumentalities thereof, persons who received their Gemini Stock pursuant to an exercise of employee share options, in connection with employee share incentive plans or otherwise as compensation, and Non-U.S. Gemini Holders (as defined below, and except as otherwise discussed below), all of whom may be subject to tax rules that differ materially from those summarized below. In addition, this summary addresses only the federal income tax laws of the United States, and does not discuss any state, local, or non-U.S. tax considerations, any non-income tax considerations (such as gift or estate taxes), the consequences of special tax accounting rules under Section 451(b) of the Code, the alternative minimum tax or the Medicare tax on net investment income. In addition, this summary is limited to Gemini Holders that hold Gemini Stock as “capital assets” under the Code (generally, property held for investment).</w:t>
      </w:r>
    </w:p>
    <w:p>
      <w:pPr>
        <w:spacing w:after="0" w:line="12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Gemini Holder” is a beneficial owner of Gemini Stock who or that is, for U.S. federal income tax purposes:</w:t>
      </w:r>
    </w:p>
    <w:p>
      <w:pPr>
        <w:spacing w:after="0" w:line="94" w:lineRule="exact"/>
        <w:rPr>
          <w:sz w:val="20"/>
          <w:szCs w:val="20"/>
          <w:color w:val="auto"/>
        </w:rPr>
      </w:pPr>
    </w:p>
    <w:p>
      <w:pPr>
        <w:ind w:left="1300" w:hanging="414"/>
        <w:spacing w:after="0"/>
        <w:tabs>
          <w:tab w:leader="none" w:pos="13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3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9" w:name="page130"/>
    <w:bookmarkEnd w:id="1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59" w:hanging="434"/>
        <w:spacing w:after="0" w:line="282" w:lineRule="auto"/>
        <w:tabs>
          <w:tab w:leader="none" w:pos="140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that has one or more United States persons (within the meaning of the Code) with the authority to control all substantial decisions of the trust or (B) that has in effect a valid election under applicable Treasury regulations to be treated as a United States person.</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Gemini Holder” is a beneficial owner of Gemini Stock (other than a partnership) that is not a U.S. Gemini Holder.</w:t>
      </w:r>
    </w:p>
    <w:p>
      <w:pPr>
        <w:spacing w:after="0" w:line="8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Gemini Stock, the U.S. federal income tax treatment of a partner in such partnership will generally depend upon the status of the partner, the activities of the partnership and certain determinations made at the partner level. If you are a partnership or a partner of a partnership holding Gemini Stock, you are urged to consult your tax advisor regarding the tax consequences of the Business Combination.</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URGE GEMINI HOLDERS TO CONSULT THEIR OWN TAX ADVISORS CONCERNING THE U.S. FEDERAL, STATE, LOCAL AND NON-U.S. INCOME AND OTHER TAX CONSEQUENCES OF THE BUSINESS COMBINATION.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if the Business Combination Qualifies as a Reorganization</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Subject to the qualifications and assumptions described in this proxy statement/prospectus, FS Development and Gemini intend for the Business Combination to be treated for U.S. federal income tax purposes as a reorganization within the meaning of Section 368(a) of the Code. Nevertheless, the parties’ intentions and this proxy statement/prospectus are not binding on the IRS, and the IRS or a U.S. court could disagree with one or more of the positions discussed in this proxy statement/prospectus. Indeed, the IRS has announced that it will not issue favorable reorganization rulings with respect to escrow stock arrangements unless such arrangements comply with certain requirements. Neither FS Development nor Gemini has requested an opinion from U.S. tax counsel or a ruling from the IRS regarding the U.S. federal income tax consequences arising from and relating to the Business Combination. For a discussion of the U.S. federal income tax consequences if the Business Combination fails to qualify as a reorganization within the meaning of Section 368(a) of the Code, see “— </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if the Business Combination Fails to Qualify as a Reorganization</w:t>
      </w:r>
      <w:r>
        <w:rPr>
          <w:rFonts w:ascii="Times New Roman" w:cs="Times New Roman" w:eastAsia="Times New Roman" w:hAnsi="Times New Roman"/>
          <w:sz w:val="18"/>
          <w:szCs w:val="18"/>
          <w:color w:val="auto"/>
        </w:rPr>
        <w:t>” below. The remainder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discussion “— </w:t>
      </w:r>
      <w:r>
        <w:rPr>
          <w:rFonts w:ascii="Times New Roman" w:cs="Times New Roman" w:eastAsia="Times New Roman" w:hAnsi="Times New Roman"/>
          <w:sz w:val="18"/>
          <w:szCs w:val="18"/>
          <w:i w:val="1"/>
          <w:iCs w:val="1"/>
          <w:color w:val="auto"/>
        </w:rPr>
        <w:t>Tax Consequences if the Business Combination Qualifies as a Reorganization</w:t>
      </w:r>
      <w:r>
        <w:rPr>
          <w:rFonts w:ascii="Times New Roman" w:cs="Times New Roman" w:eastAsia="Times New Roman" w:hAnsi="Times New Roman"/>
          <w:sz w:val="18"/>
          <w:szCs w:val="18"/>
          <w:color w:val="auto"/>
        </w:rPr>
        <w:t>” summarizes certain material U.S. federal income tax consequences of the Business Combination to Gemini Holders assuming that the Business Combination qualifies as a reorganization within the meaning of Section 368(a) of the Code. In addition, the discussion below assumes that the Escrow Shares in the Escrow Fund will be treated as having been received by the Gemini Holders at the time of the Business Combination.</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Exchange for FS Development Common Stock</w:t>
      </w:r>
    </w:p>
    <w:p>
      <w:pPr>
        <w:spacing w:after="0" w:line="14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Provided that the Business Combination qualifies as a reorganization within the meaning of Section 368(a) of the Code, in general, the following U.S. federal income tax consequences would result to Gemini Holders who exchange shares of Gemini Stock for FS Development Common Stock:</w:t>
      </w:r>
    </w:p>
    <w:p>
      <w:pPr>
        <w:spacing w:after="0" w:line="108" w:lineRule="exact"/>
        <w:rPr>
          <w:sz w:val="20"/>
          <w:szCs w:val="20"/>
          <w:color w:val="auto"/>
        </w:rPr>
      </w:pPr>
    </w:p>
    <w:p>
      <w:pPr>
        <w:jc w:val="both"/>
        <w:ind w:left="1320" w:right="479" w:hanging="434"/>
        <w:spacing w:after="0" w:line="266" w:lineRule="auto"/>
        <w:tabs>
          <w:tab w:leader="none" w:pos="137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Holders will not recognize gain or loss on the exchange of Gemini Stock for shares of FS Development Common Stock (including FS Development Common Stock held in the Escrow Fund) in the Business Combination.</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1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in shares of FS Development Common Stock received (including FS Development Common Stock held in the Escrow Fund) in the Business Combination will be equal to the aggregate tax basis of the Gemini Stock exchanged in the Business Combination.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2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FS Development Common Stock received (including FS Development Common Stock held in the Escrow Fund) in the Business Combination by a Gemini Holder will include the holding period of the Gemini Stock that it surrendered in exchange therefor.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Until the Escrow Shares are released to the Gemini Holders, the interim basis of the FS Development Stock received by Gemini Holders pursuant to the Business Combination will be determined by treating the Escrow Shares as having been received by the Gemini Holders. No gain or loss will be recognized and no amount will be included in the income of the Gemini Holders by reason of the release of Escrow Shares to the Gemini Holders (although, for the avoidance of doubt, the amount of any dividends or other taxable distributions made in respect of the Escrow Shares will be includable in the income of the Gemini Holders prior to the release of such amounts to the Gemini Holders). In the event that any Escrow Shares are not released to Gemini Holders, the interim basis allocated to such Escrow Shares will be reallocated to the Gemini Holders’ remaining FS Development Common Stock received pursuant to the Business Combination, if any, or may result in recognition of capital loss in the event the Gemini Holder no longer holds any FS Development Common Stock. Gemini Holders should consult their tax advisors regarding the manner in which the above rules apply in light of the contingent right to receive Escrow Shares and the tax consequences of the release of Escrow Shares.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if the Business Combination Fails to Qualify as a Reorganization</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If the Business Combination fails to qualify as a reorganization under Section 368(a) of the Code, the Business Combination will be a fully taxable transaction to each Gemini Holder. In such case, each U.S. Gemini Holder will recognize gain or loss measured by the difference between the fair market value of the Merger Consideration received in the Business Combination and the U.S. Gemini Holder’s tax basis in the shares of Gemini Stock surrendered in the Business Combination. The aggregate tax basis in the FS Development Common Stock (including the Escrow Shares) received pursuant to the Business Combination will be equal to the fair market value of such FS Development Common Stock (including the Escrow Shares) as of date received (including in the Escrow Fund). The holding period of such FS Development Common Stock (including the Escrow Shares) will begin on the date immediately following the date received. Gain or loss recognized will generally be capital gain or loss and will be a long-term capital gain or loss if the U.S. Gemini Holder will have held the Gemini Stock for more than one year at the Effective Time. Long-term capital gains of U.S. Gemini Holders that are non-corporate taxpayers are currently taxed at preferential U.S. federal income tax rates. Short-term capital gains are taxed at ordinary income tax rates. The deductibility of capital losses is generally subject to limitations. Gain or loss must be calculated separately for each block of Gemini Stock acquired at the same time in a single transaction. U.S. Gemini Holders are urged to consult with their tax advisors regarding the manner in which gain or loss should be calculated among different blocks of Gemini Stock surrendered in the Business Combination.</w:t>
      </w:r>
    </w:p>
    <w:p>
      <w:pPr>
        <w:spacing w:after="0" w:line="12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tax consequences to a Non-U.S. Gemini Holder if the Business Combination is treated as a taxable transaction generally will be the same as described above under the section titled “</w:t>
      </w:r>
      <w:r>
        <w:rPr>
          <w:rFonts w:ascii="Times New Roman" w:cs="Times New Roman" w:eastAsia="Times New Roman" w:hAnsi="Times New Roman"/>
          <w:sz w:val="18"/>
          <w:szCs w:val="18"/>
          <w:i w:val="1"/>
          <w:iCs w:val="1"/>
          <w:color w:val="auto"/>
        </w:rPr>
        <w:t>Certain Material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Considerations of the Redemption — U.S. Federal Income Tax Considerations to Non-U.S. Holders — Gain on Sale, Taxable Exchange or Other Taxable Disposition of Common Stock</w:t>
      </w:r>
      <w:r>
        <w:rPr>
          <w:rFonts w:ascii="Times New Roman" w:cs="Times New Roman" w:eastAsia="Times New Roman" w:hAnsi="Times New Roman"/>
          <w:sz w:val="18"/>
          <w:szCs w:val="18"/>
          <w:color w:val="auto"/>
        </w:rPr>
        <w:t>” as if the Non-U.S.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Gemini Holder exchanging its Gemini Stock for FS Development Common Stock were a Non-U.S. Holder (as defined therein) selling its Common Stock for property. The Merger Agreement obligates Gemini to deliver a certificate to FS Development on or prior to the Closing Date that as of the date of the certificate, Gemini is not a United States real property holding corporation.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U.S. Gemini Holder may be subject to information reporting and backup withholding unless the U.S Gemini Holder is an exempt recipient. Backup withholding may apply to such payments if the U.S. Gemini Holder fails to furnish a correct taxpayer identification number, a certification of exempt status or has been notified by the IRS that it is subject to backup withholding (and such notification has not been withdrawn). Each U.S. Gemini Holder should properly complete and sign, and deliver, an IRS Form W-9 in order to provide the information and certification necessary to avoid backup withholding, or otherwise establish an applicable exemption in a manner acceptable to the paying agent. U.S. Gemini Holders should consult their tax advisors regarding their qualification for an exemption from backup withholding and the procedures for obtaining such an exemption.</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Non-U.S. Gemini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will be allowed as a credit against a Gemini Holder’s federal income tax liability and may entitle such holder to a refund, provided the required information is timely furnished to the IRS. Gemini Holders should consult their tax advisors regarding their qualification for an exemption from backup withholding and the procedures for obtaining such an exemption.</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Gemini Holder that receives FS Development Common Stock as a result of the Business Combination should retain records pertaining to the Business Combination, including records relating to the number of shares and the tax basis of such holder’s Gemini Stock. Each Gemini Holder that is required to file a U.S. federal income tax return and that is a “significant holder” that receives FS Development Common Stock in the Business Combination will be required to file a statement with such U.S. federal income tax return in accordance with Treasury regulations Section 1.368-3 setting forth such holder’s tax basis in the Gemini Stock surrendered, the fair market value of the FS Development Common Stock received in the Business Combination, and certain other information.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in conformity with accounting principles generally accepted in the United States of America, or GAAP. Under this method of accounting, FS Development has been treated as the “acquired” company for financial reporting purposes. This determination was primarily based on existing Gemini stockholders comprising a relative majority of the voting power of the Combined Entity, Gemini’s operations prior to the acquisition comprising the only ongoing operations of Combined Entity, and Gemini’s senior management comprising the senior management of Combined Entity.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will be stated at historical cost, with no goodwill or other intangible assets recorded.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Business Combination Proposal (and consequently, the Merger Agreement and the transactions contemplated thereby, including the Business Combination) will be approved and adopted only with the affirmative vote of at least a majority of the votes cast by FS Development stockholders present in person (which would include presence at a virtual meeting) or represented by proxy at the Special Meeting and entitled to vote thereon, voting together as a single class. The Business Combination is conditioned upon the approval of the Business Combination Proposal, subject to the terms of the Merger Agreement. If the Business Combination Proposal is not approved, the other Proposals (except the Adjournment Proposal, as described below) will not be presented to the stockholders for a vote. Abstentions and broker non-votes will have no effect on the outcome of the vote on the Business Combination Proposal.</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Nasdaq Stock Issuance Proposal, the Charter Amendment Proposal, and the Incentive Plan Proposal are conditioned on the approval of the Business Combination Proposal at the Special Meeting.</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the Record Date, FS Development’s Sponsor, directors and officers have agreed to vote any shares of Common Stock owned by them in favor of the Business Combination. As of the date hereof, the Sponsor, directors and officers have not purchased any Public Shares.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APPROVAL OF THE BUSINESS COMBINATION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ISSUANCE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and Overview</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Assuming the Business Combination Proposal is approved, FS Development’s stockholders are also being asked to approve (a) the issuance of up to 21,500,000 newly issued shares of FS Development Common Stock in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 Acquisition of Gemini; Merger Consideration</w:t>
      </w:r>
      <w:r>
        <w:rPr>
          <w:rFonts w:ascii="Times New Roman" w:cs="Times New Roman" w:eastAsia="Times New Roman" w:hAnsi="Times New Roman"/>
          <w:sz w:val="18"/>
          <w:szCs w:val="18"/>
          <w:color w:val="auto"/>
        </w:rPr>
        <w:t>” and (b) the issuance of 9,506,000 newly issued shares of FS Development Common Stock in the PIPE Investment for the purposes of complying with the applicable provisions of the Nasdaq Stock Exchange Listing Rules (each, a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Listing Rule</w:t>
      </w:r>
      <w:r>
        <w:rPr>
          <w:rFonts w:ascii="Times New Roman" w:cs="Times New Roman" w:eastAsia="Times New Roman" w:hAnsi="Times New Roman"/>
          <w:sz w:val="18"/>
          <w:szCs w:val="18"/>
          <w:color w:val="auto"/>
        </w:rPr>
        <w:t>”) 5635(a), (b) and (d), to the extent such issuance would require a stockholder vote under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Rule 5635(a), (b), or (d).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Approval for Purposes of Nasdaq Listing Rule 5635</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Under Nasdaq Listing Rule 5635(a)(1), stockholder approval is required prior to the issuance of securities in connection with the acquisition of another company if such securities are not issued in a public offering for cash and (i) the common stock have, or will have upon issuance, voting power equal to or in excess of 20% of the voting power outstanding before the issuance of common stock (or securities convertible into or exercisable for common stock); or (ii) the number of shares of common stock to be issued is or will be equal to or in excess of 20% of the number of shares of common stock outstanding before the issuance of the stock or securities. Additionally, under Nasdaq Listing Rule 5635(b), stockholder approval is required prior to the issuance of securities when the issuance or potential issuance will result in a change of control of the issuer. Under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lower of the official Nasdaq closing price immediately before signing of the binding agreement and the average official Nasdaq closing price for the five trading days immediately preceding the signing of the binding agreement of the common stock if the number of shares of common stock to be issued is or may be equal to 20% or more of the common stock, or 20% or more of the voting power, outstanding before the issuance. If the Business Combination is completed pursuant to the Merger Agreement, FS Development currently expects to issue an estimated 31,006,000 shares of FS Development Class A Common Stock (assuming that none of FS Development’s outstanding Public Shares are redeemed) in connection with the Business Combination and the PIPE Investment.</w:t>
      </w:r>
    </w:p>
    <w:p>
      <w:pPr>
        <w:spacing w:after="0" w:line="124"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Additionally, pursuant to Nasdaq Listing Rule 5635(a)(2), when a Nasdaq-listed company proposes to issue securities in connection with the acquisition of the stock or assets of another company, stockholder approval is required if any director, officer or substantial stockholder of such company has a 5% or greater interest, directly or indirectly, in such company or the assets to be acquired or in the consideration to be paid in the transaction or series of related transactions and the present or potential issuance of common stock (or securities convertible into or exercisable for common stock) could result in an increase in outstanding shares of common stock or voting power of 5% or more. Nasdaq Listing Rule 5635(e)(3) defines a substantial stockholder as the holder of an interest of 5% or more of either the number of shares of common stock or the voting power outstanding of a Nasdaq-listed company. Because Sponsor currently owns greater than 5% of FS Development’s Common Stock,</w:t>
      </w:r>
    </w:p>
    <w:p>
      <w:pPr>
        <w:spacing w:after="0" w:line="5" w:lineRule="exact"/>
        <w:rPr>
          <w:sz w:val="20"/>
          <w:szCs w:val="20"/>
          <w:color w:val="auto"/>
        </w:rPr>
      </w:pPr>
    </w:p>
    <w:p>
      <w:pPr>
        <w:ind w:left="460"/>
        <w:spacing w:after="0"/>
        <w:tabs>
          <w:tab w:leader="none" w:pos="2180" w:val="left"/>
        </w:tabs>
        <w:rPr>
          <w:sz w:val="20"/>
          <w:szCs w:val="20"/>
          <w:color w:val="auto"/>
        </w:rPr>
      </w:pPr>
      <w:r>
        <w:rPr>
          <w:rFonts w:ascii="Times New Roman" w:cs="Times New Roman" w:eastAsia="Times New Roman" w:hAnsi="Times New Roman"/>
          <w:sz w:val="18"/>
          <w:szCs w:val="18"/>
          <w:color w:val="auto"/>
        </w:rPr>
        <w:t>Sponsor and</w:t>
      </w:r>
      <w:r>
        <w:rPr>
          <w:sz w:val="20"/>
          <w:szCs w:val="20"/>
          <w:color w:val="auto"/>
        </w:rPr>
        <w:tab/>
      </w:r>
      <w:r>
        <w:rPr>
          <w:rFonts w:ascii="Times New Roman" w:cs="Times New Roman" w:eastAsia="Times New Roman" w:hAnsi="Times New Roman"/>
          <w:sz w:val="18"/>
          <w:szCs w:val="18"/>
          <w:color w:val="auto"/>
        </w:rPr>
        <w:t>are considered substantial stockholders of FS Development under Nasdaq Listing</w:t>
      </w:r>
    </w:p>
    <w:p>
      <w:pPr>
        <w:spacing w:after="0" w:line="9" w:lineRule="exact"/>
        <w:rPr>
          <w:sz w:val="20"/>
          <w:szCs w:val="20"/>
          <w:color w:val="auto"/>
        </w:rPr>
      </w:pPr>
    </w:p>
    <w:p>
      <w:pPr>
        <w:ind w:left="460"/>
        <w:spacing w:after="0"/>
        <w:tabs>
          <w:tab w:leader="none" w:pos="5280" w:val="left"/>
          <w:tab w:leader="none" w:pos="7600" w:val="left"/>
        </w:tabs>
        <w:rPr>
          <w:sz w:val="20"/>
          <w:szCs w:val="20"/>
          <w:color w:val="auto"/>
        </w:rPr>
      </w:pPr>
      <w:r>
        <w:rPr>
          <w:rFonts w:ascii="Times New Roman" w:cs="Times New Roman" w:eastAsia="Times New Roman" w:hAnsi="Times New Roman"/>
          <w:sz w:val="18"/>
          <w:szCs w:val="18"/>
          <w:color w:val="auto"/>
        </w:rPr>
        <w:t>Rule 5635(e)(3). In connection with the PIPE Investment,</w:t>
      </w:r>
      <w:r>
        <w:rPr>
          <w:sz w:val="20"/>
          <w:szCs w:val="20"/>
          <w:color w:val="auto"/>
        </w:rPr>
        <w:tab/>
      </w:r>
      <w:r>
        <w:rPr>
          <w:rFonts w:ascii="Times New Roman" w:cs="Times New Roman" w:eastAsia="Times New Roman" w:hAnsi="Times New Roman"/>
          <w:sz w:val="18"/>
          <w:szCs w:val="18"/>
          <w:color w:val="auto"/>
        </w:rPr>
        <w:t>is expected to be issued</w:t>
      </w:r>
      <w:r>
        <w:rPr>
          <w:sz w:val="20"/>
          <w:szCs w:val="20"/>
          <w:color w:val="auto"/>
        </w:rPr>
        <w:tab/>
      </w:r>
      <w:r>
        <w:rPr>
          <w:rFonts w:ascii="Times New Roman" w:cs="Times New Roman" w:eastAsia="Times New Roman" w:hAnsi="Times New Roman"/>
          <w:sz w:val="18"/>
          <w:szCs w:val="18"/>
          <w:color w:val="auto"/>
        </w:rPr>
        <w:t>shares of FS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Development Class A Common Stock.</w:t>
      </w:r>
    </w:p>
    <w:p>
      <w:pPr>
        <w:spacing w:after="0" w:line="12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the event that this proposal is not approved by FS Development stockholders, the Business Combination cannot be consummated. In the event that this proposal is approved by FS Development stockholders, but the Merger Agreement is terminated (without the Business Combination being consummated) prior to the issuance of shares of FS Development Class A Common Stock pursuant to the Merger Agreement, FS Development will not issue such shares of FS Development Class A Common Stock.</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currently have 15,535,250 shares of FS Development Common Stock outstanding. Pursuant to the Business Combination and the Subscription Agreements, we will issue 31,006,000 shares of FS Development Class A Common Stock, representing 200% of our outstanding shares of FS Development Common Stock prior to such issuance, at a price less than the greater of the book value or market of the shares. The FS Development Class A</w:t>
      </w:r>
    </w:p>
    <w:p>
      <w:pPr>
        <w:spacing w:after="0" w:line="3" w:lineRule="exact"/>
        <w:rPr>
          <w:sz w:val="20"/>
          <w:szCs w:val="20"/>
          <w:color w:val="auto"/>
        </w:rPr>
      </w:pPr>
    </w:p>
    <w:p>
      <w:pPr>
        <w:ind w:left="460"/>
        <w:spacing w:after="0"/>
        <w:tabs>
          <w:tab w:leader="none" w:pos="3680" w:val="left"/>
          <w:tab w:leader="none" w:pos="5740" w:val="left"/>
          <w:tab w:leader="none" w:pos="6380" w:val="left"/>
        </w:tabs>
        <w:rPr>
          <w:sz w:val="20"/>
          <w:szCs w:val="20"/>
          <w:color w:val="auto"/>
        </w:rPr>
      </w:pPr>
      <w:r>
        <w:rPr>
          <w:rFonts w:ascii="Times New Roman" w:cs="Times New Roman" w:eastAsia="Times New Roman" w:hAnsi="Times New Roman"/>
          <w:sz w:val="18"/>
          <w:szCs w:val="18"/>
          <w:color w:val="auto"/>
        </w:rPr>
        <w:t>Common Stock had a book value of $</w:t>
      </w:r>
      <w:r>
        <w:rPr>
          <w:sz w:val="20"/>
          <w:szCs w:val="20"/>
          <w:color w:val="auto"/>
        </w:rPr>
        <w:tab/>
      </w:r>
      <w:r>
        <w:rPr>
          <w:rFonts w:ascii="Times New Roman" w:cs="Times New Roman" w:eastAsia="Times New Roman" w:hAnsi="Times New Roman"/>
          <w:sz w:val="18"/>
          <w:szCs w:val="18"/>
          <w:color w:val="auto"/>
        </w:rPr>
        <w:t>and market value of $</w:t>
      </w:r>
      <w:r>
        <w:rPr>
          <w:sz w:val="20"/>
          <w:szCs w:val="20"/>
          <w:color w:val="auto"/>
        </w:rPr>
        <w:tab/>
      </w:r>
      <w:r>
        <w:rPr>
          <w:rFonts w:ascii="Times New Roman" w:cs="Times New Roman" w:eastAsia="Times New Roman" w:hAnsi="Times New Roman"/>
          <w:sz w:val="18"/>
          <w:szCs w:val="18"/>
          <w:color w:val="auto"/>
        </w:rPr>
        <w:t>on</w:t>
      </w:r>
      <w:r>
        <w:rPr>
          <w:sz w:val="20"/>
          <w:szCs w:val="20"/>
          <w:color w:val="auto"/>
        </w:rPr>
        <w:tab/>
      </w:r>
      <w:r>
        <w:rPr>
          <w:rFonts w:ascii="Times New Roman" w:cs="Times New Roman" w:eastAsia="Times New Roman" w:hAnsi="Times New Roman"/>
          <w:sz w:val="18"/>
          <w:szCs w:val="18"/>
          <w:color w:val="auto"/>
        </w:rPr>
        <w:t>, 2020. Accordingly, we need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 approval of the issuance of more than 20% of our issued and outstanding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at a price that may be less than the greater of book or market value of FS Development’s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as of</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2020.</w:t>
            </w:r>
          </w:p>
        </w:tc>
      </w:tr>
    </w:tbl>
    <w:p>
      <w:pPr>
        <w:spacing w:after="0" w:line="139"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3" w:name="page134"/>
    <w:bookmarkEnd w:id="1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 of Proposal on Current Stockholders</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If the Nasdaq Stock Issuance Proposal is adopted, up to an aggregate of 31,006,000 shares of FS Development Class A Common Stock may be issued in connection with the Business Combination and the PIPE Investment, representing up to 200% of the shares of FS Development Class A Common Stock outstanding on the date hereof. The issuance of such shares would result in significant dilution to our stockholders, and result in our stockholders having a smaller percentage interest in the voting power, liquidation value and aggregate book value of FS Development.</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Nasdaq Stock Issuance Proposal, the Charter Amendment Proposal, and the Incentive Plan Proposal are conditioned on the approval of the Business Combination Proposal at the Special Meeting.</w:t>
      </w:r>
    </w:p>
    <w:p>
      <w:pPr>
        <w:spacing w:after="0" w:line="9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Approval of the Nasdaq Stock Issuance Proposal requires the affirmative vote of a majority of the votes cast by the stockholders represented in person or by proxy and entitled to vote thereon at the Special Meeting, voting together as a single class, assuming that a quorum is present. Failure to vote by proxy or to vote online at the special meeting or an abstention from voting will have no effect on the outcome of the vote on the Nasdaq Stock Issuance Proposal.</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ind w:left="1400" w:right="1059" w:hanging="396"/>
        <w:spacing w:after="0" w:line="317" w:lineRule="auto"/>
        <w:rPr>
          <w:sz w:val="20"/>
          <w:szCs w:val="20"/>
          <w:color w:val="auto"/>
        </w:rPr>
      </w:pPr>
      <w:r>
        <w:rPr>
          <w:rFonts w:ascii="Times New Roman" w:cs="Times New Roman" w:eastAsia="Times New Roman" w:hAnsi="Times New Roman"/>
          <w:sz w:val="17"/>
          <w:szCs w:val="17"/>
          <w:b w:val="1"/>
          <w:bCs w:val="1"/>
          <w:color w:val="auto"/>
        </w:rPr>
        <w:t>OUR BOARD UNANIMOUSLY RECOMMENDS THAT OUR STOCKHOLDERS VOTE “FOR” THE APPROVAL OF THE NASDAQ STOCK ISSUANCE PROPOSAL.</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CHARTER AMENDMENT PROPOSAL</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sets forth a summary of the provisions of the Current Charter and the Proposed Charter. This summary is qualified by reference to the complete text of Proposed Charter, a copy of which is attached to this proxy statement/prospectus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color w:val="auto"/>
        </w:rPr>
        <w:t>. All stockholders are encouraged to read the Proposed Charter in its entirety for a more complete description of its terms.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Current Charter</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Proposed Charter</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Classified Board</w:t>
            </w:r>
          </w:p>
        </w:tc>
        <w:tc>
          <w:tcPr>
            <w:tcW w:w="2900" w:type="dxa"/>
            <w:vAlign w:val="bottom"/>
            <w:tcBorders>
              <w:bottom w:val="single" w:sz="8" w:color="auto"/>
            </w:tcBorders>
            <w:gridSpan w:val="4"/>
          </w:tcPr>
          <w:p>
            <w:pPr>
              <w:spacing w:after="0"/>
              <w:rPr>
                <w:sz w:val="4"/>
                <w:szCs w:val="4"/>
                <w:color w:val="auto"/>
              </w:rPr>
            </w:pPr>
          </w:p>
        </w:tc>
        <w:tc>
          <w:tcPr>
            <w:tcW w:w="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302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80" w:type="dxa"/>
            <w:vAlign w:val="bottom"/>
            <w:vMerge w:val="continue"/>
          </w:tcPr>
          <w:p>
            <w:pPr>
              <w:spacing w:after="0"/>
              <w:rPr>
                <w:sz w:val="16"/>
                <w:szCs w:val="16"/>
                <w:color w:val="auto"/>
              </w:rPr>
            </w:pPr>
          </w:p>
        </w:tc>
        <w:tc>
          <w:tcPr>
            <w:tcW w:w="29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The Current Charter divides the board</w:t>
            </w:r>
          </w:p>
        </w:tc>
        <w:tc>
          <w:tcPr>
            <w:tcW w:w="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30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The Proposed Charter divides the board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directors  into  three  classes  with</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of directors of the Combined Entity into</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staggered three-year terms.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three classes with staggered three-year</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terms.</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Charter Amendment</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is silent on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any will require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issue of minimum voting requirements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affirmative vote of the majority of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amending  the  Current  Charter,</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outstanding  shares  of  capital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provided that provisions in the Current</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entitled  to  vote  on  such  amendment,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Charter  related  to  (i)  the  rights,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provided that provisions in the Proposed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preferences  and</w:t>
            </w: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privileges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Charter   in   Article   V   (covering</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Class B Common Stock may only be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stockholder</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actions),</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Article</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VI,</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amended  with  the  approval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Section 3 (covering classified board of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holders of at least a majority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directors), Article VI, Section 5 (removal</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then-outstanding  shares  of  Class  B</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of  directors),  Article  VII,  Section  3</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Common Stock and (ii) the provisions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(limitation  on  director  liability)  and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set  forth  in  Article  IX  (provisions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Article VIII (amendment of by-laws) will</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related to a blank check company) may</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require approval of the holders of at least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only be amended with the approval of</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66⅔% of the Combined Entity’s then-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holders of at least 65% of the then</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outstanding  shares  of  capital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issued  and  outstanding  shares  of</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entitled to vote generally at an election of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common  stock,  voting  together  as  a</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single class.</w:t>
            </w: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203</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does not provide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provides that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the opt out of Section 203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Combined Entity opts out of Section 203</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7"/>
              </w:rPr>
              <w:t>DGCL.</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of the DGCL.</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Act Disputes</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provides the U.S.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is silent as to the</w:t>
            </w:r>
          </w:p>
        </w:tc>
        <w:tc>
          <w:tcPr>
            <w:tcW w:w="0" w:type="dxa"/>
            <w:vAlign w:val="bottom"/>
          </w:tcPr>
          <w:p>
            <w:pPr>
              <w:spacing w:after="0"/>
              <w:rPr>
                <w:sz w:val="1"/>
                <w:szCs w:val="1"/>
                <w:color w:val="auto"/>
              </w:rPr>
            </w:pPr>
          </w:p>
        </w:tc>
      </w:tr>
      <w:tr>
        <w:trPr>
          <w:trHeight w:val="220"/>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Forum</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federal district courts have exclusive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forum for causes of actions arising under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jurisdiction over causes of action arising</w:t>
            </w: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Securities Act.</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 the Securities Act.</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Removal</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has a provision</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Under the Proposed Charter, a director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providing for the removal of a director</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can only be removed for clause by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cause only with the approval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approval of the holders of at least 66⅔%</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holders of a majority of the capital stock</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of   the   Combined   Entity’s   then-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then issued and outstanding.</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outstanding  shares  of  capital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entitled to vote generally at an election of</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Change</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FS Development’s current name is FS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Under   the   Proposed   Charter,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Development Corp.</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Combined Entity’s name will be Gemini</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Therapeutics, Inc.</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authorizes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will  authorize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110,000,000 shares of Common Stock,</w:t>
            </w: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shares of Common Stock.</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including  (i)  100,000,000  shares  of</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Class  A  Common  Stock  and  (ii)</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10,000,000 shares of Class B Common</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authorizes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will authorize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1,000,0000  shares  of  “blank  check”</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issuance of 10,000,000 shares of “blank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preferred  stock,  that  the  board  of</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9"/>
              </w:rPr>
              <w:t>check” preferred stock that the Combined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directors could issue to discourage a</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Entity’s board of directors could issue to</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takeover attempt.</w:t>
            </w: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increase  the  number  of  outstanding</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shares to discourage a takeover attempt.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109" w:gutter="0" w:footer="0" w:header="0"/>
        </w:sectPr>
      </w:pP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109" w:gutter="0" w:footer="0" w:header="0"/>
          <w:type w:val="continuous"/>
        </w:sectPr>
      </w:pPr>
    </w:p>
    <w:bookmarkStart w:id="135" w:name="page136"/>
    <w:bookmarkEnd w:id="13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p>
      <w:pPr>
        <w:jc w:val="right"/>
        <w:ind w:right="1339"/>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Current Charter</w:t>
      </w:r>
      <w:r>
        <w:rPr>
          <w:sz w:val="20"/>
          <w:szCs w:val="20"/>
          <w:color w:val="auto"/>
        </w:rPr>
        <w:tab/>
      </w:r>
      <w:r>
        <w:rPr>
          <w:rFonts w:ascii="Times New Roman" w:cs="Times New Roman" w:eastAsia="Times New Roman" w:hAnsi="Times New Roman"/>
          <w:sz w:val="16"/>
          <w:szCs w:val="16"/>
          <w:b w:val="1"/>
          <w:bCs w:val="1"/>
          <w:color w:val="auto"/>
        </w:rPr>
        <w:t>Proposed Charter</w:t>
      </w:r>
    </w:p>
    <w:p>
      <w:pPr>
        <w:sectPr>
          <w:pgSz w:w="11900" w:h="16838" w:orient="portrait"/>
          <w:cols w:equalWidth="0" w:num="1">
            <w:col w:w="9019"/>
          </w:cols>
          <w:pgMar w:left="1440" w:top="270" w:right="1440" w:bottom="1440" w:gutter="0" w:footer="0" w:header="0"/>
        </w:sectPr>
      </w:pPr>
    </w:p>
    <w:p>
      <w:pPr>
        <w:spacing w:after="0" w:line="53" w:lineRule="exact"/>
        <w:rPr>
          <w:sz w:val="20"/>
          <w:szCs w:val="20"/>
          <w:color w:val="auto"/>
        </w:rPr>
      </w:pPr>
    </w:p>
    <w:p>
      <w:pPr>
        <w:ind w:left="6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Provisions Specific to a Blank Check Company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0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191"/>
        </w:trPr>
        <w:tc>
          <w:tcPr>
            <w:tcW w:w="30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Under  the  Current  Charter,  Article</w:t>
            </w:r>
          </w:p>
        </w:tc>
        <w:tc>
          <w:tcPr>
            <w:tcW w:w="3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The p Proposed Charter does not include</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NINTH sets forth various provisions</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these blank check company provisions</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related to its operations as a blank check</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because, upon Closing, FS Development</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prior to the consummation of</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will cease to be a blank check company.</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an   initial</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combination.</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 addition, the provisions requiring that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Furthermore,</w:t>
            </w:r>
          </w:p>
        </w:tc>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FS</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Development</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  proceeds  from  its  initial  public</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corporate is required to be dissolved</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offering be held in a trust account until a</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liquidated 24 months following the</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or liquidation of</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closing of its initial public offering.</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FS Development and the terms governing</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Development’s consummation of a</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proposed business combination will not</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be  applicable  following  Closing.  The</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Combined   Company   will   have   a</w:t>
            </w:r>
          </w:p>
        </w:tc>
      </w:tr>
      <w:tr>
        <w:trPr>
          <w:trHeight w:val="234"/>
        </w:trPr>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perpetual existence.</w:t>
            </w:r>
          </w:p>
        </w:tc>
      </w:tr>
    </w:tbl>
    <w:p>
      <w:pPr>
        <w:spacing w:after="0" w:line="200" w:lineRule="exact"/>
        <w:rPr>
          <w:sz w:val="20"/>
          <w:szCs w:val="20"/>
          <w:color w:val="auto"/>
        </w:rPr>
      </w:pPr>
    </w:p>
    <w:p>
      <w:pPr>
        <w:sectPr>
          <w:pgSz w:w="11900" w:h="16838" w:orient="portrait"/>
          <w:cols w:equalWidth="0" w:num="2">
            <w:col w:w="2420" w:space="120"/>
            <w:col w:w="6479"/>
          </w:cols>
          <w:pgMar w:left="1440" w:top="270" w:right="1440" w:bottom="1440" w:gutter="0" w:footer="0" w:header="0"/>
          <w:type w:val="continuous"/>
        </w:sectPr>
      </w:pP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Charter Amendments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Charter Amendment</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Requiring the approval by affirmative vote of holders of at least 66⅔% of the voting power of the Combined Entity’s then outstanding capital stock entitled to vote generally in the election of directors, voting together as a single class, to make any amendment to the Proposed Charter is intended to protect key provisions of the Proposed Charter from arbitrary amendment and to prevent a simple majority of stockholders from taking actions that may be harmful to other stockholders or making changes to provisions that are intended to protect all stockholders.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Opting out of Section 203 of the DGCL allows the Combined Entity to establish its own rules governing business combinations with interested parties.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principal purpose of this proposal is to authorize additional shares of our Common Stock, which will be used to issue shares pursuant to the Merger Agreement, in connection with the PIPE Investment, under the Equity Incentive Plan, and for general corporate purposes. The Board believes that it is important for us to have available for issuance a number of authorized shares of Common Stock and preferred stock sufficient to support our growth and to provide flexibility for future corporate needs (including, if needed, as part of financing for future growth acquisitions).</w:t>
      </w:r>
    </w:p>
    <w:p>
      <w:pPr>
        <w:spacing w:after="0" w:line="12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Notwithstanding the foregoing, authorized but unissued shares of common stock may enable the Combined Entity’s board of directors to render it more difficult or to discourage an attempt to obtain control of the Combined Entity and thereby protect continuity of or entrench its management, which may adversely affect the market price of the Combined Entity’s shares of Common Stock. If, in the due exercise of its fiduciary obligations, for example, the Combined Entity’s board of directors were to determine that a takeover proposal was not in the best interests of the Combined Entity, such shares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the Combined Entity to have the flexibility to authorize the issuance of shares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shares for such purposes.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Board believes that these additional shares will provide the Combined Entity with needed flexibility to issue shares in the future in a timely manner and under circumstances we consider favorable without incurring the risk, delay and potential expense incident to obtaining stockholder approval for a particular issuance.</w:t>
      </w:r>
    </w:p>
    <w:p>
      <w:pPr>
        <w:sectPr>
          <w:pgSz w:w="11900" w:h="16838" w:orient="portrait"/>
          <w:cols w:equalWidth="0" w:num="1">
            <w:col w:w="9019"/>
          </w:cols>
          <w:pgMar w:left="1440" w:top="270" w:right="1440" w:bottom="1440" w:gutter="0" w:footer="0" w:header="0"/>
          <w:type w:val="continuous"/>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6" w:name="page137"/>
    <w:bookmarkEnd w:id="1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Authorized but unissued preferred stock may enable the board of directors to render it more difficult or to discourage an attempt to obtain control of the Combined Entity and thereby protect continuity of or entrench its management, which may adversely affect the market price of the Combined Entity. If, in the due exercise of its fiduciary obligations, for example, the board of directors was to determine that a takeover proposal was not in the best interests of the Combined Entity, such preferred stock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board of directors, by effecting an acquisition that might complicate or preclude the takeover, or otherwise. Allowing the Combined Entity’s board of directors to issue the authorized preferred stock on its own volition will enable the Combined Entity to have the flexibility to issue such preferred stock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stock for such purposes.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Provisions Specific to a Blank Check Company</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elimination of certain provisions related to our status as a blank check company is desirable because these provisions will serve no purpose following the Business Combination. For example, the Proposed Charter does not include the requirement to dissolve the Combined Entity and allows it to continue as a corporate entity with perpetual existence following Closing. Perpetual existence is the usual period of existence for corporations, and the Board believes it is the most appropriate period for the Combined Entity following the Closing. In addition, certain other provisions in the Current Charter require that proceeds from FS Development’s initial public offering be held in a trust account until a Business Combination or liquidation of FS Development has occurred. These provisions cease to apply once the Business Combination has closed and are therefore not included in the Proposed Charter.</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This Charter Amendment Proposal will be approved and adopted in its entirety only if the holders of at least a majority of the outstanding shares of FS Development Common Stock, voting together as a single class vote “FOR” Charter Amendment Proposal. Failure to vote by proxy or to vote online at the Special Meeting or an abstention from voting will have the same effect as a vote “AGAINST” the Charter Amendment Proposal.</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Charter Amendment Proposal, the Nasdaq Stock Issuance Proposal, and the Incentive Plan Proposal are conditioned on the approval of the Business Combination Proposal at the Special Meeting.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 “FOR” THE APPROVAL OF THE CHARTER AMENDMENT PROPOSAL AND THE PROPOSED CHARTER.</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CHARTER AMENDMENT ADVISORY PROPOSALS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FS Development is asking its stockholders to vote upon, on a non-binding advisory basis, proposals to approve certain governance provisions contained in the Proposed Charter. This separate vote is not otherwise required by Delaware law separate and apart from the Charter Amendment Proposal but, pursuant to SEC guidance, FS Development is required to submit these provisions to its stockholders separately for approval, allowing stockholders the opportunity to present their separate views on important governance provisions. However, the stockholder votes regarding these proposals are advisory votes, and are not binding on FS Development or the Board (separate and apart from the approval of the Charter Amendment Proposal). In the judgment of the Board, these provisions are necessary to adequately address the needs of the Combined Entity. Furthermore, the Business Combination is not conditioned on the separate approval of the Advisory Charter Proposals (separate and apart from approval of the Charter Amendment Proposal).</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stockholders will be asked to approve, on a non-binding advisory basis, the following material differences between the Proposed Charter and the Current Charter, which are being presented in accordance with the requirements of the SEC as five separate sub-proposals (the “</w:t>
      </w:r>
      <w:r>
        <w:rPr>
          <w:rFonts w:ascii="Times New Roman" w:cs="Times New Roman" w:eastAsia="Times New Roman" w:hAnsi="Times New Roman"/>
          <w:sz w:val="18"/>
          <w:szCs w:val="18"/>
          <w:b w:val="1"/>
          <w:bCs w:val="1"/>
          <w:color w:val="auto"/>
        </w:rPr>
        <w:t>Advisory Charter Proposals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1320" w:right="479" w:hanging="434"/>
        <w:spacing w:after="0" w:line="286" w:lineRule="auto"/>
        <w:tabs>
          <w:tab w:leader="none" w:pos="136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increase the authorized shares of Class A Common Stock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w:t>
      </w:r>
    </w:p>
    <w:p>
      <w:pPr>
        <w:spacing w:after="0" w:line="73"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27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increase the authorized shares of “blank check”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Combined Entity’s board of directors could issue to discourage a takeover attempt to 10,000,000 shares;</w:t>
      </w:r>
    </w:p>
    <w:p>
      <w:pPr>
        <w:spacing w:after="0" w:line="103" w:lineRule="exact"/>
        <w:rPr>
          <w:rFonts w:ascii="Times New Roman" w:cs="Times New Roman" w:eastAsia="Times New Roman" w:hAnsi="Times New Roman"/>
          <w:sz w:val="18"/>
          <w:szCs w:val="18"/>
          <w:color w:val="auto"/>
        </w:rPr>
      </w:pPr>
    </w:p>
    <w:p>
      <w:pPr>
        <w:jc w:val="both"/>
        <w:ind w:left="1320" w:right="479" w:hanging="434"/>
        <w:spacing w:after="0" w:line="268" w:lineRule="auto"/>
        <w:tabs>
          <w:tab w:leader="none" w:pos="131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C </w:t>
      </w:r>
      <w:r>
        <w:rPr>
          <w:rFonts w:ascii="Times New Roman" w:cs="Times New Roman" w:eastAsia="Times New Roman" w:hAnsi="Times New Roman"/>
          <w:sz w:val="18"/>
          <w:szCs w:val="18"/>
          <w:color w:val="auto"/>
        </w:rPr>
        <w:t>— to provide that certain amendments to provisions of the Proposed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Charter will require the approval of at least 662/3% of the Combined Entity’s then-outstanding shares of capital stock entitled to vote on such amendment;</w:t>
      </w:r>
    </w:p>
    <w:p>
      <w:pPr>
        <w:spacing w:after="0" w:line="103" w:lineRule="exact"/>
        <w:rPr>
          <w:rFonts w:ascii="Times New Roman" w:cs="Times New Roman" w:eastAsia="Times New Roman" w:hAnsi="Times New Roman"/>
          <w:sz w:val="18"/>
          <w:szCs w:val="18"/>
          <w:color w:val="auto"/>
        </w:rPr>
      </w:pPr>
    </w:p>
    <w:p>
      <w:pPr>
        <w:jc w:val="both"/>
        <w:ind w:left="1320" w:right="479" w:hanging="434"/>
        <w:spacing w:after="0" w:line="259" w:lineRule="auto"/>
        <w:tabs>
          <w:tab w:leader="none" w:pos="130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D — </w:t>
      </w:r>
      <w:r>
        <w:rPr>
          <w:rFonts w:ascii="Times New Roman" w:cs="Times New Roman" w:eastAsia="Times New Roman" w:hAnsi="Times New Roman"/>
          <w:sz w:val="18"/>
          <w:szCs w:val="18"/>
          <w:color w:val="auto"/>
        </w:rPr>
        <w:t>to make the Combined Entity’s corporate existence perpetual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9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E </w:t>
      </w:r>
      <w:r>
        <w:rPr>
          <w:rFonts w:ascii="Times New Roman" w:cs="Times New Roman" w:eastAsia="Times New Roman" w:hAnsi="Times New Roman"/>
          <w:sz w:val="18"/>
          <w:szCs w:val="18"/>
          <w:color w:val="auto"/>
        </w:rPr>
        <w:t>— to provide that any amendment to the Amended By-laws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the approval of at least 662/3%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Charter Amendments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Charter Amendment</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Requiring the approval by affirmative vote of holders of at least 662/3% of the voting power of the Combined Entity’s then outstanding capital stock entitled to vote generally in the election of directors, voting together as a single class, to make any amendment to the Proposed Charter is intended to protect key provisions of the Proposed Charter from arbitrary amendment and to prevent a simple majority of stockholders from taking actions that may be harmful to other stockholders or making changes to provisions that are intended to protect all stockholders.</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Opting out of Section 203 of the Delaware General Corporation Law allows the Proposed Charter to establish its own rules governing business combinations with interested parties.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principal purpose of this proposal is to authorize additional shares of our Common Stock, which will be used to issue shares pursuant to the Merger Agreement, in connection with the PIPE Investment, under the Equity Incentive Plan, and for general corporate purposes. The Board believes that it is important for us to have available for issuance a number of authorized shares of Common Stock and preferred stock sufficient to support our growth and to provide flexibility for future corporate needs (including, if needed, as part of financing for future growth acquisitions).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8" w:name="page139"/>
    <w:bookmarkEnd w:id="1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Notwithstanding the foregoing, authorized but unissued shares of common stock may enable the Combined Entity’s board of directors to render it more difficult or to discourage an attempt to obtain control of the Combined Entity and thereby protect continuity of or entrench its management, which may adversely affect the market price of the Combined Entity’s shares of Common Stock. If, in the due exercise of its fiduciary obligations, for example, the Combined Entity’s board of directors were to determine that a takeover proposal was not in the best interests of the Combined Entity, such shares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the Combined Entity to have the flexibility to authorize the issuance of shares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shares for such purposes.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Board believes that these additional shares will provide the Combined Entity with needed flexibility to issue shares in the future in a timely manner and under circumstances we consider favorable without incurring the risk, delay and potential expense incident to obtaining stockholder approval for a particular issuance.</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Authorized but unissued preferred stock may enable the board of directors to render it more difficult or to discourage an attempt to obtain control of the Combined Entity and thereby protect continuity of or entrench its management, which may adversely affect the market price of the Combined Entity. If, in the due exercise of its fiduciary obligations, for example, the board of directors was to determine that a takeover proposal was not in the best interests of the Combined Entity, such preferred stock could be issued by the board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board of directors, by effecting an acquisition that might complicate or preclude the takeover, or otherwise. Allowing the Combined Entity’s board of directors to issue the authorized preferred stock on its own volition will enable the Combined Entity to have the flexibility to issue such preferred stock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stock for such purposes.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Provisions Specific to a Blank Check Company</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elimination of certain provisions related to our status as a blank check company is desirable because these provisions will serve no purpose following the Business Combination. For example, the Proposed Charter does not include the requirement to dissolve the Combined Entity and allows it to continue as a corporate entity with perpetual existence following the Closing. Perpetual existence is the usual period of existence for corporations, and the Board believes it is the most appropriate period for the Combined Entity following the Closing. In addition, certain other provisions in the Current Charter require that proceeds from FS Development’s initial public offering be held in a trust account until a Business Combination or liquidation of FS Development has occurred. These provisions cease to apply once the Business Combination has closed and are therefore not included in the Proposed Charter.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Approval of each of the Advisory Charter Proposals, each of which is a non-binding vote, requires the affirmative vote of a majority of the votes cast by FS Development stockholders present in person (which would include presence at a virtual meeting) or represented by proxy at the Special Meeting and entitled to vote thereon, voting together as a single class. Abstentions and broker non-votes have no effect on the outcome of the Advisory Charter Proposals.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58" w:lineRule="exact"/>
        <w:rPr>
          <w:sz w:val="20"/>
          <w:szCs w:val="20"/>
          <w:color w:val="auto"/>
        </w:rPr>
      </w:pPr>
    </w:p>
    <w:p>
      <w:pPr>
        <w:ind w:left="1160" w:right="1059" w:hanging="163"/>
        <w:spacing w:after="0" w:line="317" w:lineRule="auto"/>
        <w:rPr>
          <w:sz w:val="20"/>
          <w:szCs w:val="20"/>
          <w:color w:val="auto"/>
        </w:rPr>
      </w:pPr>
      <w:r>
        <w:rPr>
          <w:rFonts w:ascii="Times New Roman" w:cs="Times New Roman" w:eastAsia="Times New Roman" w:hAnsi="Times New Roman"/>
          <w:sz w:val="17"/>
          <w:szCs w:val="17"/>
          <w:b w:val="1"/>
          <w:bCs w:val="1"/>
          <w:color w:val="auto"/>
        </w:rPr>
        <w:t>OUR BOARD UNANIMOUSLY RECOMMENDS THAT OUR STOCKHOLDERS VOTE “FOR” THE APPROVAL OF EACH OF THE ADVISORY CHARTER PROPOSALS.</w:t>
      </w:r>
    </w:p>
    <w:p>
      <w:pPr>
        <w:sectPr>
          <w:pgSz w:w="11900" w:h="16838" w:orient="portrait"/>
          <w:cols w:equalWidth="0" w:num="1">
            <w:col w:w="9019"/>
          </w:cols>
          <w:pgMar w:left="1440" w:top="270" w:right="1440" w:bottom="1440" w:gutter="0" w:footer="0" w:header="0"/>
        </w:sectPr>
      </w:pP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9" w:name="page140"/>
    <w:bookmarkEnd w:id="1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INCENTIVE PLAN PROPOSAL</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following is a summary description of the Equity Incentive Plan as proposed to be adopted by FS Development in connection with the Business Combination. This summary is not a complete statement of the Equity Incentive Plan and is qualified in its entirety by reference to the complete text of the Equity Incentive Plan, a copy of which is attached hereto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xml:space="preserve">. FS Development stockholders should refer to the Equity Incentive Plan for more complete and detailed information about the terms and conditions of the Equity Incentive Plan. </w:t>
      </w:r>
      <w:r>
        <w:rPr>
          <w:rFonts w:ascii="Times New Roman" w:cs="Times New Roman" w:eastAsia="Times New Roman" w:hAnsi="Times New Roman"/>
          <w:sz w:val="18"/>
          <w:szCs w:val="18"/>
          <w:i w:val="1"/>
          <w:iCs w:val="1"/>
          <w:color w:val="auto"/>
        </w:rPr>
        <w:t>Unless the context otherwise requires, references in this summary description to “we”, “us”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generally refer to FS Development in the present tense or the Combined Entity from and after the Business Combination.</w:t>
      </w:r>
    </w:p>
    <w:p>
      <w:pPr>
        <w:spacing w:after="0" w:line="12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purpose of the Equity Incentive Plan is to provide a means whereby the Combined Entity can align the long-term financial interests of its employees, consultants, and directors with the financial interests of its stockholders. In addition, the Board believes that the ability to grant options and other equity-based awards will help the Combined Entity to attract, retain, and motivate employees, consultants, and directors and encourages them to devote their best efforts to the Combined Entity’s business and financial success.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Approval of the Equity Incentive Plan by FS Development stockholders is required, among other things, in order to: (i) comply with Nasdaq Listing Rules requiring stockholder approval of equity compensation plans and (ii) allow the grant of incentive stock options to participants in the Equity Incentive Plan.</w:t>
      </w:r>
    </w:p>
    <w:p>
      <w:pPr>
        <w:spacing w:after="0" w:line="95"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If this Incentive Plan Proposal is approved by FS Development stockholders, the Equity Incentive Plan will become effective as of the date immediately preceding the date of the Closing. While the Combined Entity may assume outstanding equity awards under the Gemini Therapeutics, Inc., 2017 Stock Option and Grant Plan (the “</w:t>
      </w:r>
      <w:r>
        <w:rPr>
          <w:rFonts w:ascii="Times New Roman" w:cs="Times New Roman" w:eastAsia="Times New Roman" w:hAnsi="Times New Roman"/>
          <w:sz w:val="18"/>
          <w:szCs w:val="18"/>
          <w:b w:val="1"/>
          <w:bCs w:val="1"/>
          <w:color w:val="auto"/>
        </w:rPr>
        <w:t>2017 Plan</w:t>
      </w:r>
      <w:r>
        <w:rPr>
          <w:rFonts w:ascii="Times New Roman" w:cs="Times New Roman" w:eastAsia="Times New Roman" w:hAnsi="Times New Roman"/>
          <w:sz w:val="18"/>
          <w:szCs w:val="18"/>
          <w:color w:val="auto"/>
        </w:rPr>
        <w:t>”) and the Gemini Therapeutics, Inc. 2015 Employee, Director and Consultant Stock Option Plan (the “</w:t>
      </w:r>
      <w:r>
        <w:rPr>
          <w:rFonts w:ascii="Times New Roman" w:cs="Times New Roman" w:eastAsia="Times New Roman" w:hAnsi="Times New Roman"/>
          <w:sz w:val="18"/>
          <w:szCs w:val="18"/>
          <w:b w:val="1"/>
          <w:bCs w:val="1"/>
          <w:color w:val="auto"/>
        </w:rPr>
        <w:t>2015 Plan</w:t>
      </w:r>
      <w:r>
        <w:rPr>
          <w:rFonts w:ascii="Times New Roman" w:cs="Times New Roman" w:eastAsia="Times New Roman" w:hAnsi="Times New Roman"/>
          <w:sz w:val="18"/>
          <w:szCs w:val="18"/>
          <w:color w:val="auto"/>
        </w:rPr>
        <w:t>” and, together with the 2017 Plan, the (“</w:t>
      </w:r>
      <w:r>
        <w:rPr>
          <w:rFonts w:ascii="Times New Roman" w:cs="Times New Roman" w:eastAsia="Times New Roman" w:hAnsi="Times New Roman"/>
          <w:sz w:val="18"/>
          <w:szCs w:val="18"/>
          <w:b w:val="1"/>
          <w:bCs w:val="1"/>
          <w:color w:val="auto"/>
        </w:rPr>
        <w:t>Gemini Plans</w:t>
      </w:r>
      <w:r>
        <w:rPr>
          <w:rFonts w:ascii="Times New Roman" w:cs="Times New Roman" w:eastAsia="Times New Roman" w:hAnsi="Times New Roman"/>
          <w:sz w:val="18"/>
          <w:szCs w:val="18"/>
          <w:color w:val="auto"/>
        </w:rPr>
        <w:t>”), following the Closing (and such assumed awards will not count against the share reserve under the Equity Incentive Plan), no further grants will be made under the Gemini Plans. Approval of the Equity Incentive Plan by FS Development stockholders will allow the Combined Entity to grant stock options, restricted stock unit awards and other awards at levels determined appropriate by its board of directors or compensation committee following the closing of the Business Combination. The Equity Incentive Plan will also allow the Combined Entity to utilize a broad array of equity incentives and performance-based cash incentives in order to secure and retain the services of its employees, directors and consultants, and to provide long-term incentives that align the interests of its employees, directors and consultants with the interests of its stockholders following the closing of the Business Combination.</w:t>
      </w:r>
    </w:p>
    <w:p>
      <w:pPr>
        <w:spacing w:after="0" w:line="130" w:lineRule="exact"/>
        <w:rPr>
          <w:sz w:val="20"/>
          <w:szCs w:val="20"/>
          <w:color w:val="auto"/>
        </w:rPr>
      </w:pPr>
    </w:p>
    <w:p>
      <w:pPr>
        <w:jc w:val="both"/>
        <w:ind w:left="460" w:right="459"/>
        <w:spacing w:after="0" w:line="274" w:lineRule="auto"/>
        <w:rPr>
          <w:sz w:val="20"/>
          <w:szCs w:val="20"/>
          <w:color w:val="auto"/>
        </w:rPr>
      </w:pPr>
      <w:r>
        <w:rPr>
          <w:rFonts w:ascii="Times New Roman" w:cs="Times New Roman" w:eastAsia="Times New Roman" w:hAnsi="Times New Roman"/>
          <w:sz w:val="17"/>
          <w:szCs w:val="17"/>
          <w:color w:val="auto"/>
        </w:rPr>
        <w:t>The Combined Entity’s employee equity compensation program, as implemented under the Equity Incentive Plan, will allow the Combined Entity to remain competitive with comparable companies in its industry by giving it the resources to attract and retain talented individuals to achieve its business objectives and build stockholder value. Approval of the Equity Incentive Plan will provide the Combined Entity with the flexibility it needs to use equity compensation and other incentive awards to attract, retain and motivate talented employees, directors and consultants who are important to the Combined Entity’s long-term growth and success.</w:t>
      </w:r>
    </w:p>
    <w:p>
      <w:pPr>
        <w:spacing w:after="0" w:line="101" w:lineRule="exact"/>
        <w:rPr>
          <w:sz w:val="20"/>
          <w:szCs w:val="20"/>
          <w:color w:val="auto"/>
        </w:rPr>
      </w:pPr>
    </w:p>
    <w:p>
      <w:pPr>
        <w:ind w:left="460" w:right="3999"/>
        <w:spacing w:after="0" w:line="441" w:lineRule="auto"/>
        <w:rPr>
          <w:sz w:val="20"/>
          <w:szCs w:val="20"/>
          <w:color w:val="auto"/>
        </w:rPr>
      </w:pPr>
      <w:r>
        <w:rPr>
          <w:rFonts w:ascii="Times New Roman" w:cs="Times New Roman" w:eastAsia="Times New Roman" w:hAnsi="Times New Roman"/>
          <w:sz w:val="17"/>
          <w:szCs w:val="17"/>
          <w:b w:val="1"/>
          <w:bCs w:val="1"/>
          <w:color w:val="auto"/>
        </w:rPr>
        <w:t xml:space="preserve">Summary of Material Features of the Equity Incentive Plan </w:t>
      </w:r>
      <w:r>
        <w:rPr>
          <w:rFonts w:ascii="Times New Roman" w:cs="Times New Roman" w:eastAsia="Times New Roman" w:hAnsi="Times New Roman"/>
          <w:sz w:val="17"/>
          <w:szCs w:val="17"/>
          <w:color w:val="auto"/>
        </w:rPr>
        <w:t>The material features of the Equity Incentive Plan include:</w:t>
      </w:r>
    </w:p>
    <w:p>
      <w:pPr>
        <w:spacing w:after="0" w:line="1" w:lineRule="exact"/>
        <w:rPr>
          <w:sz w:val="20"/>
          <w:szCs w:val="20"/>
          <w:color w:val="auto"/>
        </w:rPr>
      </w:pPr>
    </w:p>
    <w:p>
      <w:pPr>
        <w:ind w:left="1420" w:hanging="534"/>
        <w:spacing w:after="0"/>
        <w:tabs>
          <w:tab w:leader="none" w:pos="14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the maximum number of shares of Common Stock that may be issued under the Equity</w:t>
      </w:r>
    </w:p>
    <w:p>
      <w:pPr>
        <w:spacing w:after="0" w:line="27" w:lineRule="exact"/>
        <w:rPr>
          <w:sz w:val="20"/>
          <w:szCs w:val="20"/>
          <w:color w:val="auto"/>
        </w:rPr>
      </w:pPr>
    </w:p>
    <w:p>
      <w:pPr>
        <w:jc w:val="both"/>
        <w:ind w:left="1320" w:right="479"/>
        <w:spacing w:after="0" w:line="253" w:lineRule="auto"/>
        <w:rPr>
          <w:sz w:val="20"/>
          <w:szCs w:val="20"/>
          <w:color w:val="auto"/>
        </w:rPr>
      </w:pPr>
      <w:r>
        <w:rPr>
          <w:rFonts w:ascii="Times New Roman" w:cs="Times New Roman" w:eastAsia="Times New Roman" w:hAnsi="Times New Roman"/>
          <w:sz w:val="18"/>
          <w:szCs w:val="18"/>
          <w:color w:val="auto"/>
        </w:rPr>
        <w:t>Incentive Plan is shares. The number of shares of Common Stock reserved for issuance under the Equity Incentive Plan will automatically increase on January 1 of each year, beginning on January 1, 2022 by 4% of the total number of shares of Common Stock outstanding on December 31 of the preceding calendar year, or a lesser number of shares determined by the administrator of the Equity Incentive Plan;</w:t>
      </w:r>
    </w:p>
    <w:p>
      <w:pPr>
        <w:spacing w:after="0" w:line="79" w:lineRule="exact"/>
        <w:rPr>
          <w:sz w:val="20"/>
          <w:szCs w:val="20"/>
          <w:color w:val="auto"/>
        </w:rPr>
      </w:pPr>
    </w:p>
    <w:p>
      <w:pPr>
        <w:jc w:val="both"/>
        <w:ind w:left="1320" w:right="459" w:hanging="434"/>
        <w:spacing w:after="0" w:line="266" w:lineRule="auto"/>
        <w:tabs>
          <w:tab w:leader="none" w:pos="141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stock options (both incentive and non-qualified options), stock appreciation rights, restricted stock, restricted stock units, unrestricted stock, cash-based awards, and dividend equivalent rights is permitted;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and stock appreciation rights will not be repriced in any manner without stockholder approval;</w:t>
      </w:r>
    </w:p>
    <w:p>
      <w:pPr>
        <w:spacing w:after="0" w:line="53"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7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awards awarded under the Equity Incentive Plan and all other cash compensation paid by us to any non-employee director in any calendar year may not exceed $750,000 or $1,000,000 for the year in which a non-employee director is first appointed or elected to the Combined Entity’s board of directors;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0" w:name="page141"/>
    <w:bookmarkEnd w:id="1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the Equity Incentive Plan are subject to approval by our stockholders;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Equity Incentive Plan will expire on the tenth anniversary of the effective date of the Equity Incentive Plan is approved by the board of directors of FS Development.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Information Regarding Equity Incentive Program</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 is critical to the Combined Entity’s long-term success that the interests of its employees, directors and consultants are tied to its success as “owners” of the business. Approval of the Equity Incentive Plan will allow the Combined Entity to grant stock options and other equity awards at levels it determines to be appropriate in order to attract new employees and directors, retain existing employees and directors and to provide incentives for such persons to exert maximum efforts for the Combined Entity’s success and ultimately increase stockholder value. The Equity Incentive Plan allows the Combined Entity to utilize a broad array of equity incentives with flexibility in designing equity incentives, including stock option grants, stock appreciation rights, restricted stock awards, restricted stock unit awards, unrestricted stock awards and dividend equivalent rights to offer competitive equity compensation packages in order to retain and motivate the talent necessary for the Combined Entity.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If  FS  Development’s  request  to  approve  the  Equity  Incentive  Plan  is  approved  by  FS  Development</w:t>
      </w:r>
    </w:p>
    <w:p>
      <w:pPr>
        <w:spacing w:after="0" w:line="27"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stockholders, the Combined Entity will initially have shares, subject to adjustment for specified changes in the Combined Entity’s capitalization, available for grant under the Equity Incentive Plan as of the effective time of the closing of the Business Combination. In addition, as further described below under section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Description of the Equity Incentive Plan — Shares Available for Awards</w:t>
      </w:r>
      <w:r>
        <w:rPr>
          <w:rFonts w:ascii="Times New Roman" w:cs="Times New Roman" w:eastAsia="Times New Roman" w:hAnsi="Times New Roman"/>
          <w:sz w:val="18"/>
          <w:szCs w:val="18"/>
          <w:color w:val="auto"/>
        </w:rPr>
        <w:t>,” the share reserve is subject to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each January 1 beginning on January 1, 2022 of 4% of the number of shares of the Combined Entity’s Common Stock outstanding on the immediately preceding December 31 (or a lesser number determined by the administrator of the Equity Incentive Plan). This pool size is necessary to provide sufficient reserved shares for a level of grants that will attract, retain, and motivate employees and other participants.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the Equity Incentive Plan</w:t>
      </w:r>
    </w:p>
    <w:p>
      <w:pPr>
        <w:spacing w:after="0" w:line="162" w:lineRule="exact"/>
        <w:rPr>
          <w:sz w:val="20"/>
          <w:szCs w:val="20"/>
          <w:color w:val="auto"/>
        </w:rPr>
      </w:pPr>
    </w:p>
    <w:p>
      <w:pPr>
        <w:ind w:left="460"/>
        <w:spacing w:after="0"/>
        <w:tabs>
          <w:tab w:leader="none" w:pos="5300" w:val="left"/>
        </w:tabs>
        <w:rPr>
          <w:sz w:val="20"/>
          <w:szCs w:val="20"/>
          <w:color w:val="auto"/>
        </w:rPr>
      </w:pPr>
      <w:r>
        <w:rPr>
          <w:rFonts w:ascii="Times New Roman" w:cs="Times New Roman" w:eastAsia="Times New Roman" w:hAnsi="Times New Roman"/>
          <w:sz w:val="18"/>
          <w:szCs w:val="18"/>
          <w:color w:val="auto"/>
        </w:rPr>
        <w:t>The Equity Incentive Plan was adopted by the Board on</w:t>
      </w:r>
      <w:r>
        <w:rPr>
          <w:sz w:val="20"/>
          <w:szCs w:val="20"/>
          <w:color w:val="auto"/>
        </w:rPr>
        <w:tab/>
      </w:r>
      <w:r>
        <w:rPr>
          <w:rFonts w:ascii="Times New Roman" w:cs="Times New Roman" w:eastAsia="Times New Roman" w:hAnsi="Times New Roman"/>
          <w:sz w:val="18"/>
          <w:szCs w:val="18"/>
          <w:color w:val="auto"/>
        </w:rPr>
        <w:t>2020 and will become effective, subject to</w:t>
      </w:r>
    </w:p>
    <w:p>
      <w:pPr>
        <w:spacing w:after="0" w:line="2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stockholder approval, on the date immediately preceding the Closing. The Equity Incentive Plan will replace the 2017 Plan as Gemini’s board of directors has determined not to make additional awards under that plan following the consummation of the Business Combination. The Equity Incentive Plan allows us to make equity-based incentive awards to our officers, employees, directors and consultants. The Board anticipates that providing such persons with a direct stake in the Combined Entity will assure a closer alignment of the interests of such individuals with those of the Combined Entity and its stockholders, thereby stimulating their efforts on the Combined Entity’s behalf and strengthening their desire to remain with the Combined Entity.</w:t>
      </w:r>
    </w:p>
    <w:p>
      <w:pPr>
        <w:spacing w:after="0" w:line="117"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We have initially reserved shares of Common Stock (the “</w:t>
      </w:r>
      <w:r>
        <w:rPr>
          <w:rFonts w:ascii="Times New Roman" w:cs="Times New Roman" w:eastAsia="Times New Roman" w:hAnsi="Times New Roman"/>
          <w:sz w:val="18"/>
          <w:szCs w:val="18"/>
          <w:b w:val="1"/>
          <w:bCs w:val="1"/>
          <w:color w:val="auto"/>
        </w:rPr>
        <w:t>Initial Limit</w:t>
      </w:r>
      <w:r>
        <w:rPr>
          <w:rFonts w:ascii="Times New Roman" w:cs="Times New Roman" w:eastAsia="Times New Roman" w:hAnsi="Times New Roman"/>
          <w:sz w:val="18"/>
          <w:szCs w:val="18"/>
          <w:color w:val="auto"/>
        </w:rPr>
        <w:t>”) for the issuance of awards under our Equity Incentive Plan This limit is subject to adjustment in the event of a stock split, stock dividend or other change in our capitalization. Our Equity Incentive Plan provides that the number of shares reserved and available for issuance thereunder will automatically increase on January 1, 2022 and each January 1 thereafter by 4% of the number of shares of common stock outstanding on the immediately preceding December 31 or such lesser number of shares determined by the administrator of the Equity Incentive Plan.</w:t>
      </w:r>
    </w:p>
    <w:p>
      <w:pPr>
        <w:spacing w:after="0" w:line="10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shares we issue under our Equity Incentive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the issuance of stock, or are otherwise terminated (other than by exercise) under our Equity Incentive Plan will be added back to the shares of Common Stock available for issuance under our Equity Incentive Plan. The maximum aggregate number of shares of Common Stock that may be issued in the form of incentive stock options under the Equity Incentive Plan shall not exceed the Initial Limit. Based upon a price per share of $10.00, the maximum aggregate market value of the Common Stock that could potentially be</w:t>
      </w:r>
    </w:p>
    <w:p>
      <w:pPr>
        <w:spacing w:after="0" w:line="1" w:lineRule="exact"/>
        <w:rPr>
          <w:sz w:val="20"/>
          <w:szCs w:val="20"/>
          <w:color w:val="auto"/>
        </w:rPr>
      </w:pPr>
    </w:p>
    <w:p>
      <w:pPr>
        <w:ind w:left="460"/>
        <w:spacing w:after="0"/>
        <w:tabs>
          <w:tab w:leader="none" w:pos="5400" w:val="left"/>
        </w:tabs>
        <w:rPr>
          <w:sz w:val="20"/>
          <w:szCs w:val="20"/>
          <w:color w:val="auto"/>
        </w:rPr>
      </w:pPr>
      <w:r>
        <w:rPr>
          <w:rFonts w:ascii="Times New Roman" w:cs="Times New Roman" w:eastAsia="Times New Roman" w:hAnsi="Times New Roman"/>
          <w:sz w:val="18"/>
          <w:szCs w:val="18"/>
          <w:color w:val="auto"/>
        </w:rPr>
        <w:t>issued under the Equity Incentive Plan as of the Closing is $</w:t>
      </w:r>
      <w:r>
        <w:rPr>
          <w:sz w:val="20"/>
          <w:szCs w:val="20"/>
          <w:color w:val="auto"/>
        </w:rPr>
        <w:tab/>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grant date fair value of all awards made under our Equity Incentive Plan and all other cash compensation paid by us to any non-employee director in any calendar year shall not exceed $750,000; provided, however, that such amount shall be $1,000,000 for the calendar year in which the applicable non-employee director is initially elected or appointed to the board.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Equity Incentive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our Equity Incentive Plan. The administrator may delegate to a committee consisting of one or more officers the authority to grant awards to employees who are not subject to the reporting and other provisions of Section 16 of the Exchange Act and not members of the delegated committee, subject to certain limitations and guidelines.</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Persons eligible to participate in our Equity Incentive Plan will be those full or part-time officers, employees, non-employee directors, and consultants of the Combined Entity as selected from time to time by our compensation committee in its discretion. As of the date of this proxy statement/prospectus, following the Closing, approximately individuals will be eligible to participate in the Equity Incentive Plan, which includes</w:t>
      </w:r>
    </w:p>
    <w:p>
      <w:pPr>
        <w:spacing w:after="0" w:line="3"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approximately officers, employees who are not officers, non-employee directors, and consultants.</w:t>
      </w:r>
    </w:p>
    <w:p>
      <w:pPr>
        <w:spacing w:after="0" w:line="34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Equity Incentive Plan permits the granting of both options to purchase Common Stock intended to qualify as incentive stock options under Section 422 of the Code and options that do not so qualify. Options granted under the Equity Incentive Plan will be non-qualified options if they do not qualify as incentive stock options or exceed the annual limit on incentive stock options. Incentive stock options may only be granted to employees of the Combined Entity and its subsidiaries. Non-qualified options may be granted to any persons eligible to awards under the Equity Incentive Plan. The exercise price of each option will be determined by the administrator but may not be less than 100% of the fair market value of the Common Stock on the date of grant or, in the case of an incentive stock option granted to a ten percent stockholder, 110% of such share’s fair market value. The term of each option will be fixed by our administrator and may not exceed ten years from the date of grant. The administrator will determine at what time or times each option may be exercised, including the ability to accelerate the vesting of such options. The exercise price of a stock option may not be reduced after the date of the option grant without stockholder approval, other than to appropriately reflect changes in our capital structure.</w:t>
      </w:r>
    </w:p>
    <w:p>
      <w:pPr>
        <w:spacing w:after="0" w:line="106"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Upon exercise of options, the option exercise price may be paid in cash, by certified or bank check or other instrument acceptable to the administrator or by delivery (or attestation to the ownership) of shares of Common Stock that are beneficially owned by the optionee free of restrictions or were purchased in the open market. Subject to applicable law, the exercise price may also be delivered by a broker pursuant to irrevocable instructions to the broker from the optionee. In addition, non-qualified options may be exercised using a “net exercise” arrangement that reduces the number of shares issued to the optionee by the largest whole number of shares with fair market value that does not exceed the aggregate exercise price.</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compensation committee may award stock appreciation rights subject to such conditions and restrictions as it may determine. Stock appreciation rights entitle the recipient to cash or shares of Common Stock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120"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our Equity Incentive Plan. Unrestricted stock may be granted to participants in recognition of past services or for other valid consideration and may be issued in lieu of cash compensation due to such participant. The administrator may grant dividend equivalent rights to participants that entitle the recipient to receive credits for dividends that would be paid if the recipient had held a specified number of shares of Common Stock.</w:t>
      </w:r>
    </w:p>
    <w:p>
      <w:pPr>
        <w:spacing w:after="0" w:line="107"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Our compensation committee may grant cash bonuses under our Equity Incentive Plan to participants, subject to the achievement of certain performance goals.</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Equity Incentive Plan provides that upon the effectiveness of a “sale event,” as defined in our Equity Incentive Plan, an acquirer or successor entity may assume, continue or substitute outstanding awards under our Equity Incentive Plan. To the extent that awards granted under our Equity Incentive Plan are not assumed or continued or substituted by the successor entity, upon the effective time of the sale event, such awards shall terminate. In such case, except as may</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2" w:name="page143"/>
    <w:bookmarkEnd w:id="1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compensation committee’s discretion or to the extent specified in the relevant award certificate. In the event of such termination, the Combined Entity may make or provide for payment, in cash or in kind, to participants holding options and stock appreciation rights equal to the difference between the per share consideration payable in the sale event and the exercise price of the options or stock appreciation rights (provided that, in the case of an option or stock appreciation right with an exercise price equal to or greater than the per share consideration payable in such sale event, such option or stock appreciation right shall be cancelled for no consideration). The Combined Entity shall also have the option to make or provide for a payment, in cash or in kind, to grantees holding other awards in an amount equal to the per share consideration payable in such sale event multiplied by the number of vested shares under such award.</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Our board of directors may amend or discontinue our Equity Incentive Plan and our compensation committee may amend or cancel outstanding awards for purposes of satisfying changes in law or any other lawful purpose, but no such action may materially and adversely affect rights under an award without the holder’s consent. Certain amendments to our Equity Incentive Plan require the approval of our stockholders.</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 awards may be granted under our Equity Incentive Plan after the date that is ten years from the effective date of our Equity Incentive Plan. No awards under our Equity Incentive Plan have been made prior to the date hereof.</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Following the consummation of the Business Combination, when permitted by SEC rules, we intend to file with the SEC a registration statement on Form S-8 covering the Common Stock issuable under the Equity Incentive Plan.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following is a summary of the principal U.S. federal income tax consequences of certain transactions under the Equity Incentive Plan, which will not become effective until the date immediately preceding the date of the Closing. No awards will be issued under the Equity Incentive Plan prior to the date of Closing.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Equity Incentive Plan. The Equity Incentive Plan is not qualified under the provisions of Section 401(a) of the Code and is not subject to any of the provisions of the Employee Retirement Income Security Act of 1974, as amended. The Combined Entity’s ability to realize the benefit of any tax deductions described below depends on the Combined Entity’s generation of taxable income as well as the requirement of reasonableness, the provisions of Section 162(m) of the Code and the satisfaction of the Combined Entity’s tax reporting obligations.</w:t>
      </w:r>
    </w:p>
    <w:p>
      <w:pPr>
        <w:spacing w:after="0" w:line="12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No taxable income is generally realized by the optionee upon the grant or exercise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incentive stock option. If shares of Common Stock issued to an optionee pursuant to the exercise of an incentive stock option are sold or transferred after two years from the date of grant and after one year from the date of exercise, then generally (i) upon sale of such shares, any amount realized in excess of the option exercise price (the amount paid for the shares) will be taxed to the optionee as a long-term capital gain, and any loss sustained will be a long-term capital loss, and (ii) the Combined Entity will not be entitled to any deduction for federal income tax purposes; provided that such incentive stock option otherwise meets all of the technical requirements of an incentive stock option. The exercise of an incentive stock option will give rise to an item of tax preference that may result in alternative minimum tax liability for the optionee.</w:t>
      </w:r>
    </w:p>
    <w:p>
      <w:pPr>
        <w:spacing w:after="0" w:line="10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shares of Common Stock acquired upon the exercise of an incentive stock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we will be entitled to deduct such amount. Special rules will apply where all or a portion of the exercise price of the incentive stock option is paid by tendering shares of Common Stock.</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3" w:name="page144"/>
    <w:bookmarkEnd w:id="1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an incentive stock option is exercised at a time when it no longer qualifies for the tax treatment described above, the option is treated as a non-qualified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1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Non-Qualified Options. </w:t>
      </w:r>
      <w:r>
        <w:rPr>
          <w:rFonts w:ascii="Times New Roman" w:cs="Times New Roman" w:eastAsia="Times New Roman" w:hAnsi="Times New Roman"/>
          <w:sz w:val="18"/>
          <w:szCs w:val="18"/>
          <w:color w:val="auto"/>
        </w:rPr>
        <w:t>No income is generally realized by the optionee at the time a non-qualified option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Generally (i) at exercise, ordinary income is realized by the optionee in an amount equal to the difference between the option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the Combined Entity generally will be entitled to a tax deduction in connection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under the Equity Incentive Plan in an amount equal to the ordinary income realized by the participant at the time the participant recognizes such income. Participants typically are subject to income tax and recognize such tax at the time that an award is exercised, vests or becomes non-forfeitable, unless the award provides for deferred settlement.</w:t>
      </w:r>
    </w:p>
    <w:p>
      <w:pPr>
        <w:spacing w:after="0" w:line="10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Parachute Payments</w:t>
      </w:r>
      <w:r>
        <w:rPr>
          <w:rFonts w:ascii="Times New Roman" w:cs="Times New Roman" w:eastAsia="Times New Roman" w:hAnsi="Times New Roman"/>
          <w:sz w:val="18"/>
          <w:szCs w:val="18"/>
          <w:color w:val="auto"/>
        </w:rPr>
        <w:t>. The vesting of any portion of an award that is accelerated due to the occurrence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control (such as a sale event) may cause all or a portion of the payments with respect to such accelerated awards to be treated as “parachute payments” as defined in the Code. Any such parachute payments may be non-deductible to the Combined Entity, in whole or in part, and may subject the recipient to a non-deductible 20% federal excise tax on all or a portion of such payment (in addition to other taxes ordinarily payable).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No awards have been previously granted under the Equity Incentive Plan and no awards have been granted under the Equity Incentive Plan subject to stockholder approval of the Equity Incentive Plan. The awards that are to be granted to any participant or group of participants are indeterminable at the date of this proxy statement/prospectus because participation and the types of awards that may be granted under the Equity Incentive Plan are subject to the discretion of the administrator. Consequently, no new plan benefits table is included in this proxy statement/prospectus.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approval of the Incentive Plan Proposal requires the affirmative vote of a majority of the votes cast by the stockholders represented in person or by proxy and entitled to vote thereon at the Special Meeting, voting together as a single class, assuming that a quorum is present. Abstentions will have the same effect as a vote “AGAINST” the Incentive Plan Proposal. Broker non-votes will have no effect with respect to the approval of this proposal.</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Incentive Plan Proposal, the Nasdaq Stock Issuance Proposal, and the Charter Amendment Proposal are conditioned on the approval of the Business Combination Proposal at the Special Meeting.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APPROVAL OF THE INCENTIVE PLAN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Adjournment Proposal, if adopted, will allow the Board to adjourn the Special Meeting to a later date or dates to permit further solicitation of proxies. The Adjournment Proposal will only be presented to FS Development’s stockholders in the event that based upon the tabulated vote at the time of the Special Meeting there are insufficient votes for, or otherwise in connection with, the approval of the Business Combination Proposal, the Nasdaq Stock Issuance Proposal, the Charter Amendment Proposal, or the Incentive Plan Proposal, or we determine that one or more of the closing conditions under the Business Combination is not satisfied or waived. In no event will the Board adjourn the Special Meeting or consummate the Business Combination beyond the date by which it may properly do so under its Current Charter and Delaware law.</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Adjournment Proposal is not approved by FS Development’s stockholders, the Board may not be able to adjourn the Special Meeting to a later date in the event that there are insufficient votes for, or otherwise in connection with, the approval of the Business Combination Proposal or any other proposal.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holders of a majority of the shares of FS Development Common Stock represented in person or by proxy and entitled to vote thereon at the Special Meeting, voting together as a single class. Broker non-votes and abstentions will have no effect with respect to the approval of this proposal.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APPROVAL OF THE ADJOURNMENT PROPOSAL.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FS DEVELOPMENT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is a blank check company incorporated as a Delaware corporation on June 25, 2020. We were formed for the purpose of entering into a merger, share exchange, asset acquisition, stock purchase, recapitalization, reorganization or other similar business combination, which we refer to as a business combination, with one or more businesses or entities.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Significant Activities Since Inception</w:t>
      </w:r>
    </w:p>
    <w:p>
      <w:pPr>
        <w:spacing w:after="0" w:line="162"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color w:val="auto"/>
        </w:rPr>
        <w:t>On August 14, 2020, FS Development consummated the FS Development IPO of 12,075,000 shares of its Class A Common Stock, including the issuance of 1,575,000 shares of FS Development Class A Common Stock as a result of the underwriter’s exercise in full of its over-allotment option. The FS Development Class A Common Stock was sold at a price of $10.00 per share, generating gross proceeds to the Company of $120,750,000.</w:t>
      </w:r>
    </w:p>
    <w:p>
      <w:pPr>
        <w:spacing w:after="0" w:line="33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Substantially concurrently with the closing of the FS Development IPO, FS Development completed the private sale of 441,500 Private Placement Shares at a purchase price of $10.00 per Private Placement Share, to the Sponsor, generating gross proceeds to FS Development of $4,415,000. The Private Placement Shares are identical to the shares of FS Development Class A Common Stock issued in the FS Development IPO, except that, so long as they are held by the Sponsor and its permitted transferees: (i) they may not, subject to certain limited exceptions, be transferred, assigned or sold until 30 days after the completion of a business combination and (ii) they are entitled to registration rights.</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the Sponsor has agreed to waive its redemption rights with respect to the Private Placement Shares in connection with (i) the consummation of FS Development’s initial business combination, or (ii) a stockholder vote to approve an amendment to the Company’s amended and restated certificate of incorporation to modify the substance or timing of FS Development’s obligation to redeem 100% of the shares of FS Development Class A Common Stock sold in the IPO if FS Development has not consummated a business combination within 24 months of the closing of the FS Development IPO or with respect to any other material provisions relating to stockholders’ rights or pre-initial business combination activity.</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total of $120,750,000, comprised of the proceeds from the FS Development IPO and the sale of the Private Placement Shares, were placed in a U.S.-based trust account at JP Morgan Chase Bank, N.A., maintained by Continental Stock Transfer &amp; Trust Company, acting as trustee. Except with respect to interest earned on the funds held in the trust account that may be released to FS Development to pay its taxes, the proceeds from the FS Development IPO will not be released from the trust account until the earliest to occur of: (i) the completion of the FS Development’s initial business combination, (ii) the redemption of the Public Shares if FS Development has not completed its initial business combination by August 14, 2022, subject to applicable law, and (iii) the redemption of the Public Shares properly tendered in connection with a stockholder vote to amend the Current Charter to modify the substance or timing of its obligation to redeem 100% of its Public Shares if FS Development does not complete its initial business combination by August 14, 2022 or with respect to any other provisions relating to stockholders’ rights or pre-initial business combination activity.</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October 15, 2020, FS Development announced that it had entered into the Merger Agreement and certain related agreements. See the section titled “</w:t>
      </w:r>
      <w:r>
        <w:rPr>
          <w:rFonts w:ascii="Times New Roman" w:cs="Times New Roman" w:eastAsia="Times New Roman" w:hAnsi="Times New Roman"/>
          <w:sz w:val="18"/>
          <w:szCs w:val="18"/>
          <w:i w:val="1"/>
          <w:iCs w:val="1"/>
          <w:color w:val="auto"/>
        </w:rPr>
        <w:t>The Business Combination Proposal — The Merger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Effecting a Business Combination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is not presently engaged in, and will not engage in, any operations until after a business combination. FS Development intends to effect a business combination using cash held in the Trust Account and, if needed, funds from any additional private equity financings.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Selection of a Target Business and Structuring of the Initial Business Combination</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Under Nasdaq Listing Rules, an initial business combination must occur with one or more target businesses that together have a fair market value of at least 80% of FS Development’s assets held in the Trust Account (excluding the deferred underwriting commissions and taxes payable on the income earned on the Trust Account) at the time of the agreement to enter into the initial business combination. The fair market value of the target or targets will be determined by the Board based upon one or more standards generally accepted by the financial community, such as discounted cash flow valuation or value of comparable businesses. Subject to this requirement, FS Development’s management has had virtually unrestricted flexibility in identifying and selecting one or more prospective target businesses, although FS Development was not permitted to effectuate an initial business combination with another blank check company or a similar company with nominal operations. In any case, FS Development determined that it would only complete an initial business combination in which it acquired 50% or more of the outstanding voting securities of the target or were otherwise not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Our Board has determined that the Business Combination meets the 80% test.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Redemption Rights for Holders of Public Shares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FS Development is providing its public stockholders with the opportunity to redeem their Public Shares for cash equal to a pro rata share of the aggregate amount then on deposit in the Trust Account, including interest earned on the funds held in the Trust Account and not previously released to it to pay FS Development’s franchise and income taxes, divided by the number of then outstanding Public Shares, upon the Closing, subject to the</w:t>
      </w:r>
    </w:p>
    <w:p>
      <w:pPr>
        <w:spacing w:after="0" w:line="3" w:lineRule="exact"/>
        <w:rPr>
          <w:sz w:val="20"/>
          <w:szCs w:val="20"/>
          <w:color w:val="auto"/>
        </w:rPr>
      </w:pPr>
    </w:p>
    <w:p>
      <w:pPr>
        <w:ind w:left="460"/>
        <w:spacing w:after="0"/>
        <w:tabs>
          <w:tab w:leader="none" w:pos="8380" w:val="left"/>
        </w:tabs>
        <w:rPr>
          <w:sz w:val="20"/>
          <w:szCs w:val="20"/>
          <w:color w:val="auto"/>
        </w:rPr>
      </w:pPr>
      <w:r>
        <w:rPr>
          <w:rFonts w:ascii="Times New Roman" w:cs="Times New Roman" w:eastAsia="Times New Roman" w:hAnsi="Times New Roman"/>
          <w:sz w:val="18"/>
          <w:szCs w:val="18"/>
          <w:color w:val="auto"/>
        </w:rPr>
        <w:t>limitations described herein. For illustrative purposes, based on the balance of the Trust Account of $</w:t>
      </w:r>
      <w:r>
        <w:rPr>
          <w:sz w:val="20"/>
          <w:szCs w:val="20"/>
          <w:color w:val="auto"/>
        </w:rPr>
        <w:tab/>
      </w:r>
      <w:r>
        <w:rPr>
          <w:rFonts w:ascii="Times New Roman" w:cs="Times New Roman" w:eastAsia="Times New Roman" w:hAnsi="Times New Roman"/>
          <w:sz w:val="16"/>
          <w:szCs w:val="16"/>
          <w:color w:val="auto"/>
        </w:rPr>
        <w:t>as</w:t>
      </w:r>
    </w:p>
    <w:p>
      <w:pPr>
        <w:spacing w:after="0" w:line="9" w:lineRule="exact"/>
        <w:rPr>
          <w:sz w:val="20"/>
          <w:szCs w:val="20"/>
          <w:color w:val="auto"/>
        </w:rPr>
      </w:pPr>
    </w:p>
    <w:p>
      <w:pPr>
        <w:ind w:left="460"/>
        <w:spacing w:after="0"/>
        <w:tabs>
          <w:tab w:leader="none" w:pos="8480" w:val="left"/>
        </w:tabs>
        <w:rPr>
          <w:sz w:val="20"/>
          <w:szCs w:val="20"/>
          <w:color w:val="auto"/>
        </w:rPr>
      </w:pPr>
      <w:r>
        <w:rPr>
          <w:rFonts w:ascii="Times New Roman" w:cs="Times New Roman" w:eastAsia="Times New Roman" w:hAnsi="Times New Roman"/>
          <w:sz w:val="18"/>
          <w:szCs w:val="18"/>
          <w:color w:val="auto"/>
        </w:rPr>
        <w:t>of September 30, 2020, the estimated per share redemption price would have been approximately $</w:t>
      </w:r>
      <w:r>
        <w:rPr>
          <w:sz w:val="20"/>
          <w:szCs w:val="20"/>
          <w:color w:val="auto"/>
        </w:rPr>
        <w:tab/>
      </w:r>
      <w:r>
        <w:rPr>
          <w:rFonts w:ascii="Times New Roman" w:cs="Times New Roman" w:eastAsia="Times New Roman" w:hAnsi="Times New Roman"/>
          <w:sz w:val="16"/>
          <w:szCs w:val="16"/>
          <w:color w:val="auto"/>
        </w:rPr>
        <w:t>.</w:t>
      </w:r>
    </w:p>
    <w:p>
      <w:pPr>
        <w:spacing w:after="0" w:line="9"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b w:val="1"/>
          <w:bCs w:val="1"/>
          <w:color w:val="auto"/>
        </w:rPr>
        <w:t>Public stockholders may elect to redeem their shares even if they vote for the Business Combination</w:t>
      </w:r>
      <w:r>
        <w:rPr>
          <w:rFonts w:ascii="Times New Roman" w:cs="Times New Roman" w:eastAsia="Times New Roman" w:hAnsi="Times New Roman"/>
          <w:sz w:val="18"/>
          <w:szCs w:val="18"/>
          <w:color w:val="auto"/>
        </w:rPr>
        <w: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to redeem Public Shares, once made, may be withdrawn at any time until the deadline for exercising redemption 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$170 million. The Sponsor and FS Development’s officers and directors have agreed to waive their redemption rights with respect to the Founders Shares and any Public Shares they may hold in connection with the Closing. The Founders Shares will be excluded from the pro rata calculation used to determine the per-share redemption price.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color w:val="auto"/>
        </w:rPr>
        <w:t>ubmission of Our Initial Business Combination to a Stockholder Vote</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FS Development is providing its public stockholders with redemption rights upon Closing. Public stockholders electing to exercise their redemption rights will be entitled to receive the cash amount specified above, provided that such stockholders follow the specific procedures for redemption set forth in this proxy statement/prospectus relating to the stockholder vote on the Business Combination. FS Development’s public stockholders are not required to vote against the Business Combination in order to exercise their redemption rights. If the Business Combination is not completed, then public stockholders electing to exercise their redemption rights will not be entitled to receive such payments.</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holders of the Founders Shares have agreed to vote such FS Development Common Stock owned by them in favor of the Business Combination. In addition, the Sponsor and FS Development’s officers and directors have agreed to waive their redemption rights with respect to any capital stock they may hold in connection with the Closing.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Redemption Rights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Current Charter provides that a public stockholder, together with any affiliate of such stockholder or any other person with whom such stockholder is acting in concert or as a “group” (as defined under Section 13 of the Exchange Act), will be restricted from seeking redemptions with respect to more than 20% of the shares issued in the FS Development IPO.</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7" w:name="page148"/>
    <w:bookmarkEnd w:id="1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FS Development currently has three executive officers. These individuals are not obligated to devote any specific number of hours to our matters but they intend to devote as much of their time as they deem necessary to FS Development’s affairs until FS Development has completed its initial business combination. The amount of time they devote in any time period varies based on the stage of the business combination process FS Development is in. FS Development does not intend to have any full time employees prior to the consummation of an initial business combination.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FS Development maintains its principal executive offices at 600 Montgomery Street, Suite 4500, San Francisco, CA 94111. FS Development pays the Sponsor $10,000 per month for office space, secretarial and administrative services provided to members of its management team pursuant to the terms of an administrative services agreement between FS Development and the Sponsor. Upon completion of our initial business combination or FS Development’s liquidation, FS Development will cease paying these monthly fees. FS Development considers its current office space adequate for its current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To the knowledge of FS Development’s management, there are no legal proceedings pending against FS Development.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FS DEVELOPMENT</w:t>
      </w:r>
    </w:p>
    <w:p>
      <w:pPr>
        <w:spacing w:after="0" w:line="146" w:lineRule="exact"/>
        <w:rPr>
          <w:sz w:val="20"/>
          <w:szCs w:val="20"/>
          <w:color w:val="auto"/>
        </w:rPr>
      </w:pPr>
    </w:p>
    <w:p>
      <w:pPr>
        <w:jc w:val="both"/>
        <w:ind w:left="460" w:right="459"/>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“we,” “our,” “us” and other similar terms refer to FS Development before the Business Combination</w:t>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directors and executive officers of FS Development are as follows as of the date of this proxy statement/prospectus: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200" w:type="dxa"/>
            <w:vAlign w:val="bottom"/>
          </w:tcPr>
          <w:p>
            <w:pPr>
              <w:ind w:left="23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7"/>
        </w:trPr>
        <w:tc>
          <w:tcPr>
            <w:tcW w:w="2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0" w:type="dxa"/>
            <w:vAlign w:val="bottom"/>
            <w:tcBorders>
              <w:bottom w:val="single" w:sz="8" w:color="auto"/>
            </w:tcBorders>
          </w:tcPr>
          <w:p>
            <w:pPr>
              <w:spacing w:after="0"/>
              <w:rPr>
                <w:sz w:val="4"/>
                <w:szCs w:val="4"/>
                <w:color w:val="auto"/>
              </w:rPr>
            </w:pPr>
          </w:p>
        </w:tc>
      </w:tr>
      <w:tr>
        <w:trPr>
          <w:trHeight w:val="243"/>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Tananbaum</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Ryan</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263"/>
        </w:trPr>
        <w:tc>
          <w:tcPr>
            <w:tcW w:w="2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Rome</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8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and Director</w:t>
            </w:r>
          </w:p>
        </w:tc>
      </w:tr>
      <w:tr>
        <w:trPr>
          <w:trHeight w:val="24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Bajaj</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8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263"/>
        </w:trPr>
        <w:tc>
          <w:tcPr>
            <w:tcW w:w="2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8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Dubin</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243"/>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Deepa Pakianathan</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shd w:val="clear" w:color="auto" w:fill="CCEEFF"/>
          </w:tcPr>
          <w:p>
            <w:pPr>
              <w:spacing w:after="0"/>
              <w:rPr>
                <w:sz w:val="21"/>
                <w:szCs w:val="21"/>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2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0" w:type="dxa"/>
            <w:vAlign w:val="bottom"/>
            <w:shd w:val="clear" w:color="auto" w:fill="CCEEFF"/>
          </w:tcPr>
          <w:p>
            <w:pPr>
              <w:spacing w:after="0"/>
              <w:rPr>
                <w:sz w:val="3"/>
                <w:szCs w:val="3"/>
                <w:color w:val="auto"/>
              </w:rPr>
            </w:pPr>
          </w:p>
        </w:tc>
      </w:tr>
    </w:tbl>
    <w:p>
      <w:pPr>
        <w:spacing w:after="0" w:line="15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Jim Tananbaum </w:t>
      </w:r>
      <w:r>
        <w:rPr>
          <w:rFonts w:ascii="Times New Roman" w:cs="Times New Roman" w:eastAsia="Times New Roman" w:hAnsi="Times New Roman"/>
          <w:sz w:val="18"/>
          <w:szCs w:val="18"/>
          <w:color w:val="auto"/>
        </w:rPr>
        <w:t>has been our President, Chief Executive Officer and a director since June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Tananbaum is also the chief executive officer of Foresite Capital, a U.S.-focused healthcare investment firm, which he founded in 2011. Prior to founding Foresite Capital, Dr. Tananbaum served as Co-Founder and Managing Director of Prospect Venture Partners L.P. II and III, healthcare venture partnerships, from 2000 to 2010. Dr. Tananbaum was also the Founder of GelTex, Inc. in 1991, an intestinal medicine pharmaceutical company acquired by Sanofi-Genzyme, and Theravance, Inc. in 1997 (now Theravance Biopharma, Inc., a diversified biopharmaceutical company focused on organ-selective medicines, and Innoviva, Inc., a respiratory-focused healthcare asset management company partnered with Glaxo Group Limited). Dr. Tananbaum received a B.S. and a B.S.E.E. from Yale University in Applied Math and Computer Science, and an M.D. and an M.B.A. from Harvard University. Dr. Tananbaum’s qualifications to serve on our board of directors include his scientific, financial and strategic business development expertise gained as a physician, founder of two life science companies and venture capital investor focused on life science companies.</w:t>
      </w:r>
    </w:p>
    <w:p>
      <w:pPr>
        <w:spacing w:after="0" w:line="122"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Dennis Ryan </w:t>
      </w:r>
      <w:r>
        <w:rPr>
          <w:rFonts w:ascii="Times New Roman" w:cs="Times New Roman" w:eastAsia="Times New Roman" w:hAnsi="Times New Roman"/>
          <w:sz w:val="18"/>
          <w:szCs w:val="18"/>
          <w:color w:val="auto"/>
        </w:rPr>
        <w:t>has been our Chief Financial Officer since June 2020. Since 2011, Mr. Ryan has also led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Group at Foresite Capital as Chief Financial Officer and Managing Director. Mr. Ryan currently serves as Board President of Whistlestop, a non-profit providing transportation and nutrition services to seniors. He received a B.A. from University of California, Berkeley in Economics, and an M.B.A. from the University of Santa Clara. Mr. Ryan is a licensed certified public accountant in California.</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Michael Rome </w:t>
      </w:r>
      <w:r>
        <w:rPr>
          <w:rFonts w:ascii="Times New Roman" w:cs="Times New Roman" w:eastAsia="Times New Roman" w:hAnsi="Times New Roman"/>
          <w:sz w:val="18"/>
          <w:szCs w:val="18"/>
          <w:color w:val="auto"/>
        </w:rPr>
        <w:t>has been our Vice President and Director since June 2020. Dr. Rome also serves as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at Foresite Capital, where he has held various roles since 2016. From September 2015 to July 2016, he was an Analyst at DAFNA Capital Management, a healthcare hedge fund, where he covered and formulated investment ideas for small/mid-cap biotech companies. Prior to joining DAFNA Capital Management, Dr. Rome worked in early-stage drug development as a Senior Scientist for Vault Pharma, an academic start-up out of the California NanoSystems Institute at UCLA from April 2014 to September 2015. In the past five years, Dr. Rome held a board observer role at Turning Point Therapeutics, Inc., a clinical-stage precision oncology company. Dr. Rome received a B.S. from UCLA in Molecular, Cell and Developmental Biology and a Ph.D. in Biochemistry from Caltech. Dr. Rome’s qualifications to serve on our board of directors include his substantial experience as a research scientist and depth of knowledge of the biotechnology and pharmaceuticals research and development process, as well as his experience investing across diverse therapeutic areas.</w:t>
      </w:r>
    </w:p>
    <w:p>
      <w:pPr>
        <w:spacing w:after="0" w:line="10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Vikram Bajaj </w:t>
      </w:r>
      <w:r>
        <w:rPr>
          <w:rFonts w:ascii="Times New Roman" w:cs="Times New Roman" w:eastAsia="Times New Roman" w:hAnsi="Times New Roman"/>
          <w:sz w:val="18"/>
          <w:szCs w:val="18"/>
          <w:color w:val="auto"/>
        </w:rPr>
        <w:t>has been a director on our board of directors since June 2020. Dr. Bajaj currently serves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 at Foresite Capital, since September 2017 and Chief Executive Officer of Foresite Labs, a healthcare and data science incubator, since October 2019. He is also an Associate Professor of Radiology (Consulting) at the Stanford University School of Medicine, since 2014, and an Affiliate Scientist of the Lawrence Berkeley National Laboratory, since 2011. Prior to joining Foresite Capital, Dr. Bajaj was the Chief Scientific Officer of GRAIL, Inc., a life sciences company developing a multi-cancer early detection test, from September 2016 to September 2017. From April 2013 to September 2016, Dr. Bajaj was the Co-Founder and Chief Scientific Officer of Verily (formerly Google Life Sciences), a research organization devoted to the study of life sciences, and served as Chair of its Scientific Advisory Board from September 2016 to September 2017. He is currently on the advisory board of UC Berkeley, College of Chemistry.</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9" w:name="page150"/>
    <w:bookmarkEnd w:id="1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Dr. Bajaj holds a B.A./M.S. from University of Pennsylvania in Biochemistry and a Ph.D. from the Massachusetts Institute of Technology in Physical Chemistry. Dr. Bajaj’s qualifications to serve on our board of directors include his breadth of scientific and engineering expertise and his network of contacts in the life sciences sector.</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Robert Carey </w:t>
      </w:r>
      <w:r>
        <w:rPr>
          <w:rFonts w:ascii="Times New Roman" w:cs="Times New Roman" w:eastAsia="Times New Roman" w:hAnsi="Times New Roman"/>
          <w:sz w:val="18"/>
          <w:szCs w:val="18"/>
          <w:color w:val="auto"/>
        </w:rPr>
        <w:t>has been a member of our board of directors since August 2020. Mr. Carey served as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and Chief Business Officer for Horizon Therapeutics plc, a biopharmaceutical company, from March 2014 to October 2019. Prior to joining Horizon Therapeutics, he served as Managing Director and Head of the Healthcare Investment Banking Group at JMP Securities LLC, a full-service investment bank, from March 2003 to March 2014. Mr. Carey currently serves on the board of directors of Beyond Air, Inc. (formerly AIT Therapeutics, Inc.) and Sangamo Therapeutics, Inc. Mr. Carey holds a B.S. from the University of Notre Dame in Accounting. Mr. Carey’s qualifications to serve on our board of directors include his experience and knowledge in the healthcare investment banking industry, particularly with financings, global expansion and other strategic transactions by life-science companies, as well as his role in business development for a public biopharmaceutical company.</w:t>
      </w:r>
    </w:p>
    <w:p>
      <w:pPr>
        <w:spacing w:after="0" w:line="11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Dan Dubin </w:t>
      </w:r>
      <w:r>
        <w:rPr>
          <w:rFonts w:ascii="Times New Roman" w:cs="Times New Roman" w:eastAsia="Times New Roman" w:hAnsi="Times New Roman"/>
          <w:sz w:val="18"/>
          <w:szCs w:val="18"/>
          <w:color w:val="auto"/>
        </w:rPr>
        <w:t>has been a member of our board of directors since August 2020. Dr. Dubin is also the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and Head of Biopharma Investment Banking at SVB Leerink, an investment bank specializing in healthcare and life sciences, a role he has held since January 2006. He also sits on the SVB Leerink’s executive committee. Prior to joining SVB Leerink in 1999, Dr. Dubin co-founded MEDACorp, Inc., a provider of insights on the commercial potential of biotherapeutics and medical devices to healthcare companies and investors. Dr. Dubin holds a B.A. from Dartmouth College in Chemistry and an M.D. from Harvard Medical School. Dr. Dubin’s qualifications to serve on our board of directors include his extensive leadership experience as an advisor to life sciences companies and his experience and expertise in the execution of financing, partnership and M&amp;A transactions in the life sciences sector, as well as his medical training.</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Deepa Pakianathan </w:t>
      </w:r>
      <w:r>
        <w:rPr>
          <w:rFonts w:ascii="Times New Roman" w:cs="Times New Roman" w:eastAsia="Times New Roman" w:hAnsi="Times New Roman"/>
          <w:sz w:val="18"/>
          <w:szCs w:val="18"/>
          <w:color w:val="auto"/>
        </w:rPr>
        <w:t>has been a member of our board of directors since August 2020. Since 2001,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Pakianathan has served as a Managing Member at Delphi Ventures, a venture capital firm. She is also the Chief Executive Officer of Redd Pharmaceuticals, Inc., a pharmaceuticals company, since September 2019. She currently serves on the boards of directors of Calithera Biosciences, Inc., Karyopharm Therapeutics, Inc., Mereo Biopharma Group plc (formerly OncoMed Pharmaceuticals, Inc.) and Theravance Biopharma, Inc., and serves as the Executive Vice Chair and Treasurer on the Board of Trustees of the San Francisco Conservatory of Music. In the past five years, she also served on the board of directors of Alder Biopharmaceuticals, Inc. and Alexza Pharmaceuticals, Inc. Dr. Pakianathan holds a B.Sc. from the University of Bombay, India, an M.Sc. from The Cancer Research Institute at the University of Bombay, India and an M.S. and a Ph.D. from Wake Forest University. Dr. Pakianathan’s qualifications to serve on our board of directors include her depth of experience leading a biotechnology investment practice focused on drug discovery and development platform technologies and serving as a director for multiple biotechnology companies.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July 2020, the Sponsor transferred 30,000 Founders Shares to each of Mr. Carey, Dr. Dubin and Dr. Pakianathan. None of our executive officers or directors have received any cash compensation for services rendered to us. Commencing on the date that our securities are first listed on Nasdaq through the earlier of consummation of our initial business combination and our liquidation, we will pay the Sponsor $10,000 per month for office space, secretarial and administrative services provided to members of our management team. In addition, the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the Sponsor, executive officers and directors, or any of their respective affiliates, prior to completion of our initial business combination.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2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Nasdaq listing standards require that a majority of our board of directors be independent within one year of our initial public offering. The Board has determined that Mr. Carey, Dr. Dubin and Dr. Pakianathan are “independent directors” as defined in Nasdaq listing standards and applicable SEC rules and Dr. Bajaj is an “independent director” as defined in Nasdaq listing standards. Our independent directors will have regularly scheduled meetings at which only independent directors are present.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 general, officers and directors of a corporation incorporated under the laws of the State of Delaware are required to present business opportunities to a corporation if:</w:t>
      </w:r>
    </w:p>
    <w:p>
      <w:pPr>
        <w:spacing w:after="0" w:line="94" w:lineRule="exact"/>
        <w:rPr>
          <w:sz w:val="20"/>
          <w:szCs w:val="20"/>
          <w:color w:val="auto"/>
        </w:rPr>
      </w:pPr>
    </w:p>
    <w:p>
      <w:pPr>
        <w:ind w:left="1300" w:hanging="414"/>
        <w:spacing w:after="0"/>
        <w:tabs>
          <w:tab w:leader="none" w:pos="13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could financially undertake the opportunity;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is within the corporation’s line of business; and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not be fair to our company and its stockholders for the opportunity not to be brought to the attention of the corporation.</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The Current Charter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Below is a table summarizing the entities to which our executive officers and directors currently have fiduciary duties or contractual obligations (excluding non-profit and educational organizations with no connection to the biotechnology sector):</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1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Individual</w:t>
            </w:r>
          </w:p>
        </w:tc>
        <w:tc>
          <w:tcPr>
            <w:tcW w:w="80" w:type="dxa"/>
            <w:vAlign w:val="bottom"/>
          </w:tcPr>
          <w:p>
            <w:pPr>
              <w:spacing w:after="0"/>
              <w:rPr>
                <w:sz w:val="20"/>
                <w:szCs w:val="20"/>
                <w:color w:val="auto"/>
              </w:rPr>
            </w:pPr>
          </w:p>
        </w:tc>
        <w:tc>
          <w:tcPr>
            <w:tcW w:w="212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21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Entity’s Business</w:t>
            </w:r>
          </w:p>
        </w:tc>
        <w:tc>
          <w:tcPr>
            <w:tcW w:w="80" w:type="dxa"/>
            <w:vAlign w:val="bottom"/>
          </w:tcPr>
          <w:p>
            <w:pPr>
              <w:spacing w:after="0"/>
              <w:rPr>
                <w:sz w:val="20"/>
                <w:szCs w:val="20"/>
                <w:color w:val="auto"/>
              </w:rPr>
            </w:pPr>
          </w:p>
        </w:tc>
        <w:tc>
          <w:tcPr>
            <w:tcW w:w="23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Affiliation</w:t>
            </w:r>
          </w:p>
        </w:tc>
        <w:tc>
          <w:tcPr>
            <w:tcW w:w="0" w:type="dxa"/>
            <w:vAlign w:val="bottom"/>
          </w:tcPr>
          <w:p>
            <w:pPr>
              <w:spacing w:after="0"/>
              <w:rPr>
                <w:sz w:val="1"/>
                <w:szCs w:val="1"/>
                <w:color w:val="auto"/>
              </w:rPr>
            </w:pPr>
          </w:p>
        </w:tc>
      </w:tr>
      <w:tr>
        <w:trPr>
          <w:trHeight w:val="23"/>
        </w:trPr>
        <w:tc>
          <w:tcPr>
            <w:tcW w:w="13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Jim Tananbaum</w:t>
            </w:r>
          </w:p>
        </w:tc>
        <w:tc>
          <w:tcPr>
            <w:tcW w:w="80" w:type="dxa"/>
            <w:vAlign w:val="bottom"/>
            <w:vMerge w:val="continue"/>
          </w:tcPr>
          <w:p>
            <w:pPr>
              <w:spacing w:after="0"/>
              <w:rPr>
                <w:sz w:val="16"/>
                <w:szCs w:val="16"/>
                <w:color w:val="auto"/>
              </w:rPr>
            </w:pPr>
          </w:p>
        </w:tc>
        <w:tc>
          <w:tcPr>
            <w:tcW w:w="2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Foresite Capital</w:t>
            </w:r>
          </w:p>
        </w:tc>
        <w:tc>
          <w:tcPr>
            <w:tcW w:w="80" w:type="dxa"/>
            <w:vAlign w:val="bottom"/>
            <w:vMerge w:val="continue"/>
          </w:tcPr>
          <w:p>
            <w:pPr>
              <w:spacing w:after="0"/>
              <w:rPr>
                <w:sz w:val="16"/>
                <w:szCs w:val="16"/>
                <w:color w:val="auto"/>
              </w:rPr>
            </w:pPr>
          </w:p>
        </w:tc>
        <w:tc>
          <w:tcPr>
            <w:tcW w:w="2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Venture capital/private</w:t>
            </w:r>
          </w:p>
        </w:tc>
        <w:tc>
          <w:tcPr>
            <w:tcW w:w="80" w:type="dxa"/>
            <w:vAlign w:val="bottom"/>
            <w:vMerge w:val="continue"/>
          </w:tcPr>
          <w:p>
            <w:pPr>
              <w:spacing w:after="0"/>
              <w:rPr>
                <w:sz w:val="16"/>
                <w:szCs w:val="16"/>
                <w:color w:val="auto"/>
              </w:rPr>
            </w:pPr>
          </w:p>
        </w:tc>
        <w:tc>
          <w:tcPr>
            <w:tcW w:w="2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Management V, LLC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DNA Nexus,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Data science cloud platform</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Eikon Therapeutics,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Element Biosciences,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Evonetix, Ltd.</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F-Metabolic,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Fabric Genomics,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Genomics PLC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380" w:type="dxa"/>
            <w:vAlign w:val="bottom"/>
          </w:tcPr>
          <w:p>
            <w:pPr>
              <w:spacing w:after="0"/>
              <w:rPr>
                <w:sz w:val="23"/>
                <w:szCs w:val="23"/>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Healthverity,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Healthcare data 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platform</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Homodeus,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Kinnate Biopharma,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380" w:type="dxa"/>
            <w:vAlign w:val="bottom"/>
          </w:tcPr>
          <w:p>
            <w:pPr>
              <w:spacing w:after="0"/>
              <w:rPr>
                <w:sz w:val="23"/>
                <w:szCs w:val="23"/>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Mindstrong,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Neuropsychiatric healthcare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Sestina, LLC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 incubator</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Dennis Ryan</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 and</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52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Michael Rome</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Kinnate Biopharma,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Pharvaris BV</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Vikram Bajaj</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Labs</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Healthcare and data science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incubator</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Stanford University School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Medical school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Associate Professor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 Medicine</w:t>
            </w:r>
          </w:p>
        </w:tc>
        <w:tc>
          <w:tcPr>
            <w:tcW w:w="2120" w:type="dxa"/>
            <w:vAlign w:val="bottom"/>
          </w:tcPr>
          <w:p>
            <w:pPr>
              <w:spacing w:after="0"/>
              <w:rPr>
                <w:sz w:val="20"/>
                <w:szCs w:val="20"/>
                <w:color w:val="auto"/>
              </w:rPr>
            </w:pP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(Consulting)</w:t>
            </w: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Lawrence Berkeley</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Scientific research</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Affiliate Scientist</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National Laboratory</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4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Sangamo Therapeutics, Inc. 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Beyond Air,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Daniel Dubin</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SVB Leerink</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Investment bank</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Vice Chairman and Head of</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Biopharma Investment Banking</w:t>
            </w: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Olivo Laboratories LLC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6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8"/>
              </w:rPr>
              <w:t>Deepa Pakianathan</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Delphi Ventures</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Redd Pharmaceuticals,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Calithera Biosciences,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380" w:type="dxa"/>
            <w:vAlign w:val="bottom"/>
          </w:tcPr>
          <w:p>
            <w:pPr>
              <w:spacing w:after="0"/>
              <w:rPr>
                <w:sz w:val="23"/>
                <w:szCs w:val="23"/>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Karyopharm Therapeutics,</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Mereo Biopharma Group</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plc</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Theravance Biopharma,</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717"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717" w:gutter="0" w:footer="0" w:header="0"/>
          <w:type w:val="continuous"/>
        </w:sectPr>
      </w:pPr>
    </w:p>
    <w:bookmarkStart w:id="152" w:name="page153"/>
    <w:bookmarkEnd w:id="1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Potential investors should also be aware of the following other potential conflicts of interest:</w:t>
      </w:r>
    </w:p>
    <w:p>
      <w:pPr>
        <w:spacing w:after="0" w:line="158" w:lineRule="exact"/>
        <w:rPr>
          <w:sz w:val="20"/>
          <w:szCs w:val="20"/>
          <w:color w:val="auto"/>
        </w:rPr>
      </w:pPr>
    </w:p>
    <w:p>
      <w:pPr>
        <w:jc w:val="both"/>
        <w:ind w:left="1320" w:right="459" w:hanging="434"/>
        <w:spacing w:after="0" w:line="255" w:lineRule="auto"/>
        <w:tabs>
          <w:tab w:leader="none" w:pos="136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45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Stockholders purchased Founders Shares prior to the date of the IPO and purchased Private Placement Shares in a transaction that closed simultaneously with the IPO. Our Initial Stockholders have entered into agreements with us, pursuant to which they have agreed to waive their redemption rights with respect to their Founders Shares, Private Placement Shares and any Public Shares they hold in connection with the completion of our initial business combination. The other members of our management team have entered into agreements similar to the one entered into by our Initial Stockholders with respect to any Public Shares acquired by them in connection with the Business Combination. Additionally, our Initial Stockholders have agreed to waive their rights to liquidating distributions from the trust account with respect to their Founders Shares and Private Placement Shares if we fail to complete our initial business combination within the prescribed time frame or during any extension period. Furthermore, our Initial Stockholders have agreed not to transfer, assign or sell any of their Founders Shares or Private Placement Shares until the earlier to occur of: (i) one year after the completion of our initial business combination and</w:t>
      </w:r>
    </w:p>
    <w:p>
      <w:pPr>
        <w:spacing w:after="0" w:line="1" w:lineRule="exact"/>
        <w:rPr>
          <w:rFonts w:ascii="Times New Roman" w:cs="Times New Roman" w:eastAsia="Times New Roman" w:hAnsi="Times New Roman"/>
          <w:sz w:val="18"/>
          <w:szCs w:val="18"/>
          <w:color w:val="auto"/>
        </w:rPr>
      </w:pPr>
    </w:p>
    <w:p>
      <w:pPr>
        <w:jc w:val="both"/>
        <w:ind w:left="1320" w:right="459" w:hanging="2"/>
        <w:spacing w:after="0" w:line="251" w:lineRule="auto"/>
        <w:tabs>
          <w:tab w:leader="none" w:pos="1598"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following the completion of our initial business combination 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Founders Shares will be released from the lockup. Because each of our executive officers and director nominees will own common stock directly or indirectly, they may have a conflict of interest in determining whether a particular target business is an appropriate business with which to effectuate our initial business combination.</w:t>
      </w:r>
    </w:p>
    <w:p>
      <w:pPr>
        <w:spacing w:after="0" w:line="111"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4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business combination target that is affiliated with the Sponsor, officers or directors or completing the business combination through a joint venture or other form of shared ownership with the Sponsor, officers or directors. In the event we seek to complete our initial business combination with an business combination target that is affiliated with the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the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pay the Sponsor $10,000 per month for office space, secretarial and administrative services provided to members of our management team.</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cannot assure you that any of the above mentioned conflicts will be resolved in our favor.</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Initial Stockholders have agreed to vote their Founders Shares in favor of the Business Combination.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Current Charter provides that our officers and directors will be indemnified by us to the fullest extent authorized by Delaware law, as it now exists or may in the future be amended. In addition, our amended and restated certificate of incorporation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have entered into agreements with our officers and directors to provide contractual indemnification in addition to the indemnification provided for in our amended and restated certificate of incorporation. The Current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the FS Development IPO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2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directors’ and officers’ liability insurance and the indemnity agreements are necessary to attract and retain talented and experienced officers and directors.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AND OTHER DATA OF FS DEVELOPMENT</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Development’s statement of operations data for the period from June 25, 2020 (inception) through September 30, 2020 and balance sheet data as at September 30, 2020 is derived from FS Development’s unaudited condensed financial statements included elsewhere in this proxy statement/prospectus. FS Development’s unaudited interim condensed financial statements were prepared on a basis consistent with its audited financial statements and include, in management’s opinion, all adjustments, consisting only of normal recurring adjustments, that FS Development considers necessary for a fair presentation of the financial information set forth in those statements included elsewhere in this proxy statement/prospectus. FS Development’s historical results are not necessarily indicative of the results that may be expected in any future period, and interim financial results are not necessarily indicative of the results that may be expected for the full year.</w:t>
      </w:r>
    </w:p>
    <w:p>
      <w:pPr>
        <w:spacing w:after="0" w:line="127" w:lineRule="exact"/>
        <w:rPr>
          <w:sz w:val="20"/>
          <w:szCs w:val="20"/>
          <w:color w:val="auto"/>
        </w:rPr>
      </w:pPr>
    </w:p>
    <w:p>
      <w:pPr>
        <w:jc w:val="both"/>
        <w:ind w:left="460" w:right="479"/>
        <w:spacing w:after="0" w:line="289" w:lineRule="auto"/>
        <w:rPr>
          <w:sz w:val="20"/>
          <w:szCs w:val="20"/>
          <w:color w:val="auto"/>
        </w:rPr>
      </w:pPr>
      <w:r>
        <w:rPr>
          <w:rFonts w:ascii="Times New Roman" w:cs="Times New Roman" w:eastAsia="Times New Roman" w:hAnsi="Times New Roman"/>
          <w:sz w:val="17"/>
          <w:szCs w:val="17"/>
          <w:color w:val="auto"/>
        </w:rPr>
        <w:t>This information is only a summary and should be read in conjunction with FS Development’s financial statements and related notes included elsewhere in this proxy statement/prospectus and the section titled “</w:t>
      </w:r>
      <w:r>
        <w:rPr>
          <w:rFonts w:ascii="Times New Roman" w:cs="Times New Roman" w:eastAsia="Times New Roman" w:hAnsi="Times New Roman"/>
          <w:sz w:val="17"/>
          <w:szCs w:val="17"/>
          <w:i w:val="1"/>
          <w:iCs w:val="1"/>
          <w:color w:val="auto"/>
        </w:rPr>
        <w:t>Management’s Discussion and Analysis of Financial Condition and Results of Operations of FS Development</w:t>
      </w:r>
      <w:r>
        <w:rPr>
          <w:rFonts w:ascii="Times New Roman" w:cs="Times New Roman" w:eastAsia="Times New Roman" w:hAnsi="Times New Roman"/>
          <w:sz w:val="17"/>
          <w:szCs w:val="17"/>
          <w:color w:val="auto"/>
        </w:rPr>
        <w:t>.”</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Period From</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June 25, 2020</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(inception)</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through</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6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6"/>
        </w:trPr>
        <w:tc>
          <w:tcPr>
            <w:tcW w:w="634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452,486</w:t>
            </w:r>
          </w:p>
        </w:tc>
      </w:tr>
      <w:tr>
        <w:trPr>
          <w:trHeight w:val="41"/>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49,914</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(502,400)</w:t>
            </w:r>
          </w:p>
        </w:tc>
      </w:tr>
      <w:tr>
        <w:trPr>
          <w:trHeight w:val="40"/>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interest earned on Trust Account</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1,489</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(500,911)</w:t>
            </w:r>
          </w:p>
        </w:tc>
      </w:tr>
      <w:tr>
        <w:trPr>
          <w:trHeight w:val="40"/>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A common stock</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12,516,500</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A</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B common stock</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3,018,750</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416"/>
        </w:trPr>
        <w:tc>
          <w:tcPr>
            <w:tcW w:w="6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6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634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122,358,987</w:t>
            </w:r>
          </w:p>
        </w:tc>
      </w:tr>
      <w:tr>
        <w:trPr>
          <w:trHeight w:val="40"/>
        </w:trPr>
        <w:tc>
          <w:tcPr>
            <w:tcW w:w="634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4,778,652</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Value of Class A Common Stock subject to possible redemption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112,580,330</w:t>
            </w:r>
          </w:p>
        </w:tc>
      </w:tr>
      <w:tr>
        <w:trPr>
          <w:trHeight w:val="40"/>
        </w:trPr>
        <w:tc>
          <w:tcPr>
            <w:tcW w:w="634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5,000,005</w:t>
            </w:r>
          </w:p>
        </w:tc>
      </w:tr>
      <w:tr>
        <w:trPr>
          <w:trHeight w:val="392"/>
        </w:trPr>
        <w:tc>
          <w:tcPr>
            <w:tcW w:w="6340" w:type="dxa"/>
            <w:vAlign w:val="bottom"/>
            <w:tcBorders>
              <w:bottom w:val="single" w:sz="8" w:color="auto"/>
            </w:tcBorders>
          </w:tcPr>
          <w:p>
            <w:pPr>
              <w:ind w:left="3900"/>
              <w:spacing w:after="0"/>
              <w:rPr>
                <w:sz w:val="20"/>
                <w:szCs w:val="20"/>
                <w:color w:val="auto"/>
              </w:rPr>
            </w:pPr>
            <w:r>
              <w:rPr>
                <w:rFonts w:ascii="Times New Roman" w:cs="Times New Roman" w:eastAsia="Times New Roman" w:hAnsi="Times New Roman"/>
                <w:sz w:val="18"/>
                <w:szCs w:val="18"/>
                <w:color w:val="auto"/>
              </w:rPr>
              <w:t>143</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55" w:name="page156"/>
    <w:bookmarkEnd w:id="1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RESULTS OF FINANCIAL CONDITION AND RESULTS OF OPERATIONS OF FS DEVELOPMENT</w:t>
      </w:r>
    </w:p>
    <w:p>
      <w:pPr>
        <w:spacing w:after="0" w:line="7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FS Development’s financial condition and results of operations should be read in conjunction with FS Development’s financial statements and notes to those statements included in this proxy statement/prospectus. This discussion contains forward-looking statements that involve risks and uncertainties. Please see “Cautionary Note Regarding Forward-Looking Statements” and “Risk Factors” in this proxy statement/prospectus. Unless otherwise indicated or the context otherwise requires, references in this section to “we,” “our,” “us” and other similar terms refer to FS Development before the Business Combination.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are a blank check company incorporated on June 25, 2020 as a Delaware corporation and formed for the purpose of effecting a merger, capital stock exchange, asset acquisition, stock purchase, reorganization or similar business combination with one or more businesses.</w:t>
      </w:r>
    </w:p>
    <w:p>
      <w:pPr>
        <w:spacing w:after="0" w:line="10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color w:val="auto"/>
        </w:rPr>
        <w:t>On August 14, 2020, we consummated the FS Development IPO of 12,075,000 shares of FS Development Class A Common Stock, including the issuance of 1,575,000 shares of FS Development Class A Common Stock as a result of the underwriter’s exercise in full of its over-allotment option. The FS Development Class A Common Stock was sold at a price of $10.00 per share, generating gross proceeds to FS Development of $120,750,000.</w:t>
      </w:r>
    </w:p>
    <w:p>
      <w:pPr>
        <w:spacing w:after="0" w:line="32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Substantially concurrently with the closing of the FS Development IPO, we completed the private sale of the 441,500 Private Placement Shares at a purchase price of $10.00 per Private Placement Share, to the Sponsor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generating gross proceeds to FS Development of $4,415,000. The Private Placement Shares are identical to the shares of FS Development Class A Common Stock issued in the FS Development IPO, except that, so long as they are held by the Sponsor and its permitted transferees: (i) they may not, subject to certain limited exceptions, be transferred, assigned or sold until 30 days after the completion of a business combination and (ii) they are entitled to registration rights.</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the Sponsor has agreed to waive its redemption rights with respect to the Private Placement Shares in connection with (i) the consummation of the FS Development’s initial business combination, or (ii) a stockholder vote to approve an amendment to Current Charter to modify the substance or timing of the FS Development’s obligation to redeem 100% of the shares of FS Development Class A Common Stock issued in the FS Development IPO if the FS Development has not consummated a business combination within 24 months of the closing of the FS Development IPO or with respect to any other material provisions relating to stockholders’ rights or pre-initial business combination activity.</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Upon the closing of the FS Development IPO and the Private Placement, approximately $120.8 million ($10.00 per share) of the net proceeds of the sale of the Public Shares in the FS Development IPO and of the Private Placement Shares in the Private Placement were placed in the Trust Account located in the United States at JP Morgan Chase Bank, N.A. with Continental Stock Transfer &amp; Trust Company acting as trustee, and are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we are unable to complete a business combination within 24 months from the closing of the FS Development IPO, or August 14, 2022 (the “</w:t>
      </w:r>
      <w:r>
        <w:rPr>
          <w:rFonts w:ascii="Times New Roman" w:cs="Times New Roman" w:eastAsia="Times New Roman" w:hAnsi="Times New Roman"/>
          <w:sz w:val="18"/>
          <w:szCs w:val="18"/>
          <w:b w:val="1"/>
          <w:bCs w:val="1"/>
          <w:color w:val="auto"/>
        </w:rPr>
        <w:t>Combination Period</w:t>
      </w:r>
      <w:r>
        <w:rPr>
          <w:rFonts w:ascii="Times New Roman" w:cs="Times New Roman" w:eastAsia="Times New Roman" w:hAnsi="Times New Roman"/>
          <w:sz w:val="18"/>
          <w:szCs w:val="18"/>
          <w:color w:val="auto"/>
        </w:rPr>
        <w:t>”),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our obligations under Delaware law to provide for claims of creditors and the requirements of other applicable law.</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Proposed Business Combination</w:t>
      </w:r>
    </w:p>
    <w:p>
      <w:pPr>
        <w:spacing w:after="0" w:line="14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 xml:space="preserve">On October 15, 2020, we entered into a Merger Agreement by and among FS Development, Merger Sub, Gemini and Shareholders Representative. A copy of the Merger Agreement is attached to this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 The Merger Agreement calls for additional agreements, including, among others, Subscription Agreements, Non-Redemption Letter Agreements, and Gemini Support Agreements. Parent Support Agreements, Registration Rights Agreement, Lock-Up Agreement and Voting Agreement. See the section titled “</w:t>
      </w:r>
      <w:r>
        <w:rPr>
          <w:rFonts w:ascii="Times New Roman" w:cs="Times New Roman" w:eastAsia="Times New Roman" w:hAnsi="Times New Roman"/>
          <w:sz w:val="18"/>
          <w:szCs w:val="18"/>
          <w:i w:val="1"/>
          <w:iCs w:val="1"/>
          <w:color w:val="auto"/>
        </w:rPr>
        <w:t>The Business Combination Proposal — Ancillary Agreements Related to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by and among the FS Development, Merger Sub, Gemini and the Shareholders Representative. The Merger Agreement provides, among other things, that on the terms and subject to the conditions set forth therein, Merger Sub will merge with and into Gemini, with Gemini surviving as a wholly-owned subsidiary of FS Development. Upon the Closing, it is anticipated that FS Development will change its name to “Gemini Therapeutics, Inc.”</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Under the Merger Agreement, FS Development has agreed to acquire all of the outstanding equity interests of Gemini in exchange for up to 21,500,000 shares of FS Development Class A Common Stock, subject to adjustments as described in more detail in the accompanying proxy statement/prospectus under the heading titled “</w:t>
      </w:r>
      <w:r>
        <w:rPr>
          <w:rFonts w:ascii="Times New Roman" w:cs="Times New Roman" w:eastAsia="Times New Roman" w:hAnsi="Times New Roman"/>
          <w:sz w:val="18"/>
          <w:szCs w:val="18"/>
          <w:i w:val="1"/>
          <w:iCs w:val="1"/>
          <w:color w:val="auto"/>
        </w:rPr>
        <w:t>The Business Combination Proposal — Acquisition of Gemini; Merger Consideration</w:t>
      </w:r>
      <w:r>
        <w:rPr>
          <w:rFonts w:ascii="Times New Roman" w:cs="Times New Roman" w:eastAsia="Times New Roman" w:hAnsi="Times New Roman"/>
          <w:sz w:val="18"/>
          <w:szCs w:val="18"/>
          <w:color w:val="auto"/>
        </w:rPr>
        <w:t>” to be paid at the Effective Time.</w:t>
      </w:r>
    </w:p>
    <w:p>
      <w:pPr>
        <w:spacing w:after="0" w:line="10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at or prior to the Effective Time, each option exercisable for Gemini equity that is outstanding immediately prior to the Effective Time shall be assumed by FS Development and continue in full force and effect on the same terms and conditions as are currently applicable to such options, subject to adjustments to exercise price and number of shares of Common Stock issued upon exercise. In addition, the Merger Agreement contemplates that at Closing, FS Development will deliver 2,150,000 shares of FS Development Class A Common Stock to be placed into escrow for indemnification purposes, as further described in the Merger Agreement.</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For additional information and a summary of the terms of the Merger Agreement and the other agreements executed, or to be executed, in connection with the Business Combination, see the section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The Merger Agreement</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148"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Our entire activity since inception through September 30, 2020 related to our formation, the preparation for the FS Development IPO, and since the closing of the FS Development IPO, the search for a prospective initial business combination and activities in connection with the proposed Business Combination with Gemini.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we had net loss of approximately $499,000, which consisted of approximately $451,000 in general and administrative costs and $50,000 of franchise tax expense, which was partially offset by approximately $1,000 gain on the investments held in the Trust Account.</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For the period from June 25, 2020 (inception) through September 30, 2020, we had net loss of approximately $501,000, which consisted of approximately $452,000 in general and administrative costs and $50,000 of franchise tax expense, which was partially offset by approximately $1,000 gain on the investments held in the Trust Account.</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September 30, 2020, we had $1.4 million in our operating bank account, working capital of approximately $1.1 million and cash equivalents held in the Trust Account of approximately $120.8 million. Interest income on the balance in the Trust Account may be used by us to pay franchise and income tax obligations. Through September 30, 2020, we have not withdrawn any interest earned on the Trust Account to pay franchise and income tax obligations. We intend to use substantially all of the funds held in the Trust Account to complete the initial business combination and to pay our expenses relating thereto. To the extent that our capital stock or debt is used, in whole or in part, as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7" w:name="page158"/>
    <w:bookmarkEnd w:id="1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consideration to complete the initial business combination, the remaining proceeds held in the Trust Account will be used as working capital to finance the operations of the target business or businesses, make other acquisitions and pursue our growth strategies.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liquidity needs to date have been satisfied through the $25,000 capital contribution to purchase Founders Shares by our Sponsor, the loan proceeds under the promissory note of $200,000 from our Sponsor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to cover our offering costs in connection with the FS Development IPO, and the net proceeds from the consummation of the Private Placement not held in the Trust Account. The Note was fully repaid on August 14, 2020. In addition, in order to finance transaction costs in connection with a business combination, our Sponsor or an affiliate of our Sponsor, or certain of our officers and directors may, but are not obligated to, provide working capital loans. As of September 30, 2020, there were no amounts outstanding under any working capital loans.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Based on the foregoing, the management believes that we will have sufficient working capital and borrowing capacity from our Sponsor or an affiliate of our Sponsor, or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continue to evaluate the impact of the COVID-19 pandemic and have concluded that the specific impact is not readily determinable as of the date of the balance sheet. The financial statements do not include any adjustments that might result from the outcome of this uncertainty.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do not have any long-term debt obligations, capital lease obligations, operating lease obligations, purchase obligations or long-term liabilities, other than an agreement to pay administrative services agreement fees to our Sponsor that total $10,000 per month for office space, secretarial and administrative services provided to members of our management team. As of September 30, 2020, we paid $20,000 to our Sponsor as part of the administrative services agreement and recognized $20,000 in the statement of operations for the three months ended September 30, 2020 and for the period from June 25, 2020 (inception) through September 30, 2020.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has identified the following as its critical accounting policies: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Class A Common Stock Subject to Possible Redemption</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Class A Common Stock subject to mandatory redemption (if any) is classified as a liability instrument and is measured at fair value. Conditionally redeemable Class A Common Stock (including Class A Common Stock that features redemption rights that are either within the control of the holder or subject to redemption upon the occurrence of uncertain events not solely within FS Development’s control) is classified as temporary equity. At all other times, Class A Common Stock is classified as stockholders’ equity. Our Class A Common Stock features certain redemption rights that are considered to be outside of our control and subject to the occurrence of uncertain future events. Accordingly, at September 30, 2020, 11,258,033 shares of Class A Common Stock subject to possible redemption are presented as temporary equity, outside of the stockholders’ equity section of our unaudited condensed balance sheet.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Net income (loss) per share is computed by dividing net income (loss) by the weighted-average number of common stock outstanding during the periods. Our unaudited condensed statements of operations include a presentation of income (loss) per share for common stock subject to redemption in a manner similar to the two-class method of income (loss) per share. Net income (loss) per common share, basic and diluted for Class A Common Stock is calculated by dividing the interest earned on cash equivalents held in the Trust Account of approximately $1,000 for the three months ended September 30, 2020 and for the period from June 25, 2020 (inception) through September 30, 2020, net of applicable taxes available to be withdrawn from the Trust Account of approximately $1,000 for the three months ended September 30, 2020 and for the period from June 25, 2020 (inception) through September 30, 2020, resulting in net income of $0 for the three months ended September 30, 2020 and for the period from June 25, 2020 (inception) through September 30, 2020, by the weighted average number of Class A Common Stock outstanding for each period. Net loss per share, basic and diluted for Class B Common Stock is calculated by dividing the net loss of approximately $499,000 and $501,000 for the three months ended September 30, 2020 and for the period from June 25, 2020 (inception) through September 30, 2020, respectively, less income attributable to Class A Common Stock of $0 for each period, by the weighted average number of Class B Common Stock outstanding for the period.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Our management does not believe that any recently issued, but not yet effective, accounting standards if currently adopted would have a material effect on the accompanying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of September 30, 2020, we did not have any off-balance sheet arrangements as defined in Item 303(a)(4)(ii) of Regulation S-K.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had a material impact on our business, revenues or operating results during the period presented.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the FS Development IPO or until we are no longer an “emerging growth company,” whichever is earlier.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GEMINI</w:t>
      </w:r>
    </w:p>
    <w:p>
      <w:pPr>
        <w:spacing w:after="0" w:line="146"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“Gemini,” “we,” “us,” and “our” refer to Gemini Therapeutics, Inc. and its subsidiaries prior to the Closing, which will be the business of the Combined Entity and its subsidiaries following the Closing.</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restore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24"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We believe GEM103 is capable of down-regulating hyperactive complement activity while maintaining a healthy environment for the cellular architecture supporting retinal function in patients with AMD. We believe that this differentiated approach to controlling complement dysregulation will allow us to more broadly address AMD pathology and potentially treat AMD. In September 2020, we commenced a Phase 2a clinical trial of GEM103 in patients with dry AMD carrying mutations in the CFH gene. Topline data including safety, tolerability and relevant biomarkers of complement activation from this Phase 2a clinical trial are expected in the first half of 2021.</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Augmenting CFH activity represents a unique approach to address imbalances in the immune system in a broad array of complement-mediated inflammatory diseases. We aspire to lead the next generation of complement therapeutics by focusing on restoring native regulation of complement activation, as opposed to broadly inhibiting complement using engineered molecules. Restoration of terminal complement pathway regulation avoids the unintended consequences of broad complement inhibition, which can result in safety issues and a reduced therapeutic index. Integration of genetic, biological, and clinical information has identified high-risk, genetically defined subpopulations present within the current broadly defined AMD cohort. In particular, loss of function variants in the gene that encodes CFH can reduce complement regulation and/or adversely affect retinal homeostasis, both of which strongly correlate with an increased risk for developing AMD. We can identify, functionally evaluate and characterize the proteins generated by these genetic variants and define their roles in disease pathogenesis using custom genetic assays and functional assays, novel biomarkers, and our CLARITY natural history clinical trials. In the CLARITY natural history studies, we are evaluating clinical stage and extent of retinal disease as measured by precise imaging methods and have incorporated novel biomarker assessments when possible to evaluate the impact of the specific CFH variants in disease pathogenesis and progression.</w:t>
      </w:r>
    </w:p>
    <w:p>
      <w:pPr>
        <w:spacing w:after="0" w:line="12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AMD is a disease primarily affecting the macula, the central portion of the retina responsible for high acuity vision, and is the number one cause of irreversible blindness in the United States and Europe. AMD has generally been characterized as either “wet” or “dry,” definitions driven by clinical presentation rather than underlying biology. In dry AMD, the center of the retina slowly degenerates leading to loss of photoreceptors over time. In wet AMD, choroidal vessels grow aberrantly and invade the retina (referred to as choroidal neovascularization, or CNV) rapidly degrading central vision. There are approximately 16 million AMD patients in the United States, of whom approximately 90%, or approximately 15 million, have dry AMD. Of these, approximately six million carry a variant in the CFH gene which leads to loss of function in the CFH protein. In these patients, CFH protein is generally expressed at normal levels but the genetic mutations result in functional insufficiency in the CFH expressed. For wet AMD, drugs targeting one of the central proteins in CNV pathogenesis, vascular endothelial growth factor (VEGF), have proven effective in its management. No treatment is currently available for the approximately 15 million patients with early, intermediate, or advanced dry AMD.</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GEM103 has been evaluated in a Phase 1 clinical trial of CFH-variant related dry AMD patients. Single rising doses of GEM103, administered intravitreally, maintained supraphysiologic CFH levels for more than 28 days, with no adverse drug reactions and no ocular inflammation. In several subjects, dosing also resulted in reductions in a biomarker of complement activity, consistent with the GEM103 mechanism of action. GEM103 is now being evaluated in a multiple ascending dose Phase 2a clinical trial in similar genetically defined patients to further evaluate safety, tolerability, and effects on relevant complement activation biomarkers.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0" w:name="page161"/>
    <w:bookmarkEnd w:id="1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led by experts with decades of collective experience in drug research, development, manufacturing, commercialization and collaborative alliances. Our board of directors, including Dr. Stephen Squinto and Mr. David Lubner, are leaders in research and development in the complement system. We have assembled a management team, led by our Chief Executive Officer, Mr. Jason Meyenburg, whose members have extensive experience in successfully developing, manufacturing and commercializing transformative therapies at companies including Alexion Pharmaceuticals, Inc., Orchard Therapeutics plc, Merrimack Pharmaceuticals, Inc., Intellia Therapeutics, Inc., Merck &amp; Co., Inc., ViroPharma Incorporated (acquired by Shire plc.), Achillion Pharmaceuticals, Inc. (acquired by Alexion Pharmaceuticals, Inc.) and CSL Behring. Our management team’s wide-ranging expertise in rare diseases, complement therapeutics, immunology, genetics/gene therapy and protein biochemistry provide a singular vision for redefining AMD and linked disorders through precision medicine to address serious unmet medical needs.</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Since our inception, Gemini Therapeutics has raised a total of $78 million in funding, led by leading biotechnology investors including Atlas Venture, Lightstone Ventures, OrbiMed Advisors and Wu Capital.</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summary of our product candidate pipeline as of November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102870</wp:posOffset>
            </wp:positionV>
            <wp:extent cx="4954905" cy="13627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954905"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the table above, IND enabled means we have completed the necessary nonclinical studies, including without limitation ADME and toxicology, as well as formulation and manufacturing development necessary to seek the permission of regulatory authorities to begin human clinical testing.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GEM103</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are developing GEM103 initially for the treatment of dry AMD in patients with loss of function mutations in CFH. As a complement pathway regulatory protein, GEM103 is expected to restore appropriate complement function by ameliorating the detrimental effects of excessive complement activation, including inappropriate cell lysis and exaggerated immune responses, while simultaneously preserving the beneficial roles of CFH, including clearance of extracellular debris and repair of oxidative damage.</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mechanism of action of GEM103 stands in contrast to that of broad complement pathway inhibitors developed to date which indiscriminately block both the detrimental and beneficial effects of complement activation. To our knowledge, GEM103 is the first recombinant, native complement modulator being evaluated in human clinical trials.</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also plan to advance GEM103 through studies in a selected population of patients suffering from wet AMD who have been treated with an anti-VEGF therapy approved by the U.S. Food and Drug Administration (FDA), to evaluate the impact on VEGF-inhibition-related macular atrophy. We plan to update our IND to include a Phase 1/2a clinical trial in this population for alignment with the FDA by the end of 2020 and expect to have topline safety and tolerability data from this trial in the second half of 2021.</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aspire to develop the next generation of complement therapeutics by precisely focusing on genetically defined patient populations through restoration of their physiologic CFH function which cannot be addressed by indiscriminate complement inhibitors.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54" w:lineRule="exact"/>
        <w:rPr>
          <w:sz w:val="20"/>
          <w:szCs w:val="20"/>
          <w:color w:val="auto"/>
        </w:rPr>
      </w:pPr>
    </w:p>
    <w:p>
      <w:pPr>
        <w:jc w:val="both"/>
        <w:ind w:left="1320" w:right="459" w:hanging="434"/>
        <w:spacing w:after="0" w:line="254" w:lineRule="auto"/>
        <w:tabs>
          <w:tab w:leader="none" w:pos="132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Replace current complement inhibition orthodoxy with an approach that leverages knowledge of patient underlying genetic predispositions and normalizes complement hyperactivity while retaining functions that are essential for maintaining retinal tissue homeostasis. </w:t>
      </w:r>
      <w:r>
        <w:rPr>
          <w:rFonts w:ascii="Times New Roman" w:cs="Times New Roman" w:eastAsia="Times New Roman" w:hAnsi="Times New Roman"/>
          <w:sz w:val="18"/>
          <w:szCs w:val="18"/>
          <w:color w:val="auto"/>
        </w:rPr>
        <w:t>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differentiated approach focused on complement regulation through the administration of GEM103 will provide therapeutics that not only address complement dysfunction in AMD but will also address other critical pathological mechanisms like chronic inflammation underlying AMD progression. We believe complement regulation has the potential to yield significant benefits over current development-stage therapies that are focused solely on what is effectively complete inhibition of the different pathways of the complement system.</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7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Redefine AMD as a disease of genetic subtypes that can be addressed by specific therapeutic strategies tailored to the genetic defect. </w:t>
      </w:r>
      <w:r>
        <w:rPr>
          <w:rFonts w:ascii="Times New Roman" w:cs="Times New Roman" w:eastAsia="Times New Roman" w:hAnsi="Times New Roman"/>
          <w:sz w:val="18"/>
          <w:szCs w:val="18"/>
          <w:color w:val="auto"/>
        </w:rPr>
        <w:t>Our philosophy is that the best way to identify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targets is to understand the genetic variants that lead to increased risk of disease. In AMD, we believe that genetic analyses implicate an important role for variants in the gene that encodes for CFH in a large subset of patients. AMD represents a large market opportunity consisting of patients with differentiated genetic subtypes. We are initially focused on treating the approximately six million patients with CFH loss of function mutations.</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47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our lead program, GEM103, through clinical development and if approved, into commercialization to address significant unmet need in dry AMD. </w:t>
      </w:r>
      <w:r>
        <w:rPr>
          <w:rFonts w:ascii="Times New Roman" w:cs="Times New Roman" w:eastAsia="Times New Roman" w:hAnsi="Times New Roman"/>
          <w:sz w:val="18"/>
          <w:szCs w:val="18"/>
          <w:color w:val="auto"/>
        </w:rPr>
        <w:t>Dry AMD, which often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ultimately leads to blindness and for which there are no currently approved treatment options, affects approximately 16 million patients in the United States, of which approximately six million have associated loss of function variants of CFH. GEM103, recombinant CFH, is the first complement pathway modulator under development to potentially regulate complement in patients with dry AMD. GEM103 is now being evaluated in a multiple ascending dose Phase 2a clinical trial in a genetically defined population suffering from dry AMD and carrying mutations in the gene for CFH. We expect top line data on safety, tolerability and effect on complement related biomarkers from this trial in the first half of 2021. The data from this trial will inform dose selection and potential clinical endpoints for an end of Phase 2 meeting with regulatory authorities at which we plan to seek alignment on a pivotal development pathway.</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3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strategic business development opportunities to maximize the value of our discovery and development assets. </w:t>
      </w:r>
      <w:r>
        <w:rPr>
          <w:rFonts w:ascii="Times New Roman" w:cs="Times New Roman" w:eastAsia="Times New Roman" w:hAnsi="Times New Roman"/>
          <w:sz w:val="18"/>
          <w:szCs w:val="18"/>
          <w:color w:val="auto"/>
        </w:rPr>
        <w:t>We believe that our differentiated approach holds the potential to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number of well-characterized genetic mutations across multiple disease areas. We are therefore exploring opportunities to follow complement biology dysregulation and address other unmet disease needs outside the eye. We may seek to selectively enter into strategic business development transactions to leverage complementary capabilities and maximize the long-term value of our research and development portfolio.</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Introduction to AMD</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AMD is a progressive and irreversible disorder of the macula. The macula is the central portion of the retina in the eye and is responsible for both high acuity vision and color perception. AMD may affect vision in one or both eyes and in later stages results in progressive and chronic degeneration of the macula, leading to irreversible vision loss. AMD is a disease associated with advanced age, typically with onset occurring after the age of 50 and slowly progressing over many years. Retinal degeneration from dry AMD is a gradual process characterized by increasing drusen deposition and other extracellular debris accumulation around retinal pigment epithelium (RPE), complement hyperactivity and subsequent loss of photoreceptor cells in the retina in proximity to the degenerated RPE. Eventually, geographic atrophy (GA) occurs when regions of the macula are replaced by scar tissue. Common symptoms of dry AMD include blurry vision, loss of night vision and loss of central vision, making activities of daily living such as reading, driving and even recognizing faces progressively more difficult. With vision being central to independent living, AMD has a large and growing societal impact as the population ages.</w:t>
      </w:r>
    </w:p>
    <w:p>
      <w:pPr>
        <w:spacing w:after="0" w:line="10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Dry AMD, like many complex diseases, results from the interactions between environmental and genetic risk factors. However, unlike many late-onset conditions, approximately 70% of attributable risk for advanced AMD is explained by genetic risk. Factors such as aging, smoking, diet and UV light exposure confer the strongest non-genetic risks. Research over the last decade has uncovered multiple genetic variants which can increase the risk of developing advanced AMD by up to 30-fold, including many of the loci within the complement system. One such genetic locus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2" w:name="page163"/>
    <w:bookmarkEnd w:id="1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that occurs with high frequency and strongly increases the risk of dry AMD is the CFH gene. We are developing GEM103, a recombinant human CFH molecule, to address the dysregulation resulting from loss of function variants in these patients and also to restore retinal homeostasis disrupted by CFH dysfunction.</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Drugs targeting VEGF, one of the key endogenous proteins driving neovascularization, have proven to be successful in the treatment of wet AMD; however, no treatment is currently available for the remaining majority of patients with dry AMD or geographic atrophy (GA). Current standard-of-care for dry AMD is limited to over-the-counter vitamin and antioxidant supplements, and, in the absence of available therapeutic interventions, physicians can only regularly monitor a patient’s progression toward GA, vision loss, and ultimately blindness. There are a number of therapies in development for dry AMD and GA. Zimura, a C5 inhibitor being developed by IVERIC bio, Inc., is in pivotal clinical trials. Apellis Pharmaceuticals, Inc., is developing pegcetacoplan in Phase 3 clinical trials to target complement at the level of C3. Lampalizumab, a complement factor D inhibitor which had been developed by F. Hoffmann-La Roche AG failed to meet its endpoint in its Phase 3 clinical trials. As presented publicly by that sponsor, lampalizumab failed to adequately inhibit factor D and did not have an effect on complement biomarkers of interest as assayed post hoc from in-trial aqueous humor samples. Other approaches for the treatment of dry AMD are under investigation and in earlier stages of development such as programs from Gyroscope Therapeutics Limited and NGM Biopharmaceuticals.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believe that a precision medicine approach exemplified by those applied to treat cancer and cystic fibrosis, where molecular definitions of disease supplant clinical descriptions or pathological diagnoses, can also be applied to AMD. Precision medicine is intended to more accurately diagnose patients and precisely match therapies to the underlying genetic drivers of disease. Our goal is to do the same for AMD by pioneering precision medicine in ophthalmology. Many well-powered and robust studies have demonstrated the significant role that genetics plays in the development of AMD and lay the groundwork for a precision approach in this large population with few options for treatment.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CLARITY Natural History Studies</w:t>
      </w:r>
    </w:p>
    <w:p>
      <w:pPr>
        <w:spacing w:after="0" w:line="14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 xml:space="preserve">In December 2018 we initiated CLARITY, a set of natural history studies designed to observe and help better understand how specific genetic variants affect the development of dry AMD. CLARITY combined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experiments to aid in identification of therapeutic candidates for indications within AMD and linked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diseases. CLARITY was the largest study, to date, that screened dry AMD patients for high-risk genotypes to gain longitudinal clinical information.</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CLARITY studies were designed to identify and characterize disease progression in subjects with non-central GA secondary to dry AMD who are carriers of high-risk genetic variants. This analysis is designed to explore the relationship among genotype, visual function, and disease progression. For this purpose, we have developed a custom genetic test which screens dozens of genetic loci with coverage across all known high-risk genetic variants associated with dry AMD. In CLARITY, we have genetically screened more than 500 patients enabling identification of subjects for our development programs and serving to provide additional information on the impact of genetics on disease progression. Subjects who met genetic variant requirements were invited to consent to longitudinal follow up and 112 are currently being followed. An additional 121 patients with identified CFH variants either did not consent to longitudinal follow up but asked to be considered for interventional studies or failed screening. The studies are collecting data on demographics, medical history, visual function testing, anatomic ocular assessments, multi-modal ocular imaging, quality of life metrics and ocular fluid biomarkers in those who opted for prospective follow up. The study has also further served to confirm the frequency of pathological genotypic mutations of interest in the dry AMD population.</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CLARITY has confirmed previously published results that approximately 40% of patients with dry AMD have a loss of function variant in the CFH gene. The variants result in the expression of a CFH protein which is impaired in its ability to regulate complement in the eye and/or its ability to promote broader retinal health and homeostasis. Within this 40% of the population with loss of function variants in CFH, 90% of those, (or 37% of all patients with dry AMD) carry one common homozygous variant, 402H, while the remaining 3% of all patients have a collection of heterozygous rare and ultra-rare variants in CFH. The latter commonly result in a high risk of atypically early onset of dry AMD including onset in the late 30 and early 40 years of age.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Results from CLARITY screening described above confirm other third-party Genome-Wide Association Studies (GWAS) studies elucidating the role of genetics in AMD. One of the major signals in these GWAS studies is the association of specific gene variants in the general population with the development of dry AMD. Subsequent studies have shown the enrichment of these same variants in patients with dry AMD and have linked them to a substantially increased risk for developing this disease.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CFH, Complement and the Ocular Compartment</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immune system is composed of two distinct responses, innate and adaptive. The complement system, as part of the innate immune system, plays an integral role in maintaining immune-surveillance and homeostasis in the ocular microenvironment. The complement system is the first line of defense against infection and can effectively clear invading microorganisms well before activation of the adaptive immune system. Even apart from this sentinel function, localized complement activation occurs normally within the ocular compartment and is critical to maintaining retinal health, including participating in clearing of cell debris within the retinal cell layers. Complement dysfunction within the ocular compartment results in a diseased eye.</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Complement components constitute a complex network of about 30 circulating or membrane-associated proteins, organized into hierarchal proteolytic cascades. The complement system can be activated by three different pathways: the classical pathway, the lectin pathway, and the alternative pathway. The alternative pathway is constitutively activated and is highly regulated on host cells to limit damage while being amplified on non-host or severely damaged cells to provide protection from pathogens and to help clear unwanted material. CFH provides critical functionality for retinal health. CFH binds to markers on the surface of the body’s own cells to protect these cells from aberrant or excessive complement activity. CFH also facilitates microbial clearance and other critical activities such as phagocytosis and lipid clearance. In the absence of sufficient levels of functional CFH protein, cells may be permanently and terminally damaged.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CFH is a key protein that is responsible for self-surface recognition as well as maintaining a well-balanced immune response by regulating the activation of the complement system. CFH functions physiologically to restore retinal health by both downregulating inappropriate cell lysis and facilitating clearance of extracellular debris and repair of oxidative damage which results from multiple sources. Immunohistochemical analyses have shown that many complement components, including CFH, are molecular constituents of drusen, a type of cell debris which is a clinical hallmark of dry AMD. Continuous control of the alternative pathway by CFH is necessary due to the amplifying properties of the alternative pathway and its potential to provoke unneeded inflammatory response if not properly controlled. This control is best achieved by maintaining regulatory function of the complement system by augmenting CFH activity and thereby inhibiting detrimental effects of the overly active complement system.</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Clinical Development Program</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GEM103</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GEM103 is a full length, recombinantly produced human CFH protein which provides a functional level of active CFH in AMD patients with loss of function mutations in the gene encoding CFH. GEM103 imparts physiologic regulation of the complement pathway driving the complement system toward equilibrium in patients where there is incomplete regulation due to insufficient functional CFH protein. This is a unique approach to address over-activation of the innate immune system.</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Preclinical and Clinical Development</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 series of preclinical studies have been performed to demonstrate the pharmacokinetic and pharmacodynamic performance of GEM103. In preclinical pharmacokinetic studies, we observed that GEM103 was detected in all assayed ocular compartments, including aqueous humor, vitreous humor and the retina. Of note GEM103 was distributed to the retina following intravitreal injection in non-human primate radio-labeled distribution studies. Our study shows that after an intravitreal injection of radio-labelled GEM103, the protein is detected in the aqueous humor as well as into the retina, which is the site of action for the protein, for an extended period of time following a single dose.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Actions of endogenous CFH include inhibition of the complement activation cascade while permitting clearance of foreign material, cellular debris and pathogens in the eye.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cell-based assays, GEM103 was shown to inhibit hyperactive terminal complement activity demonstrating a more potent but comparable maximal ability to inhibit cellular lysis when compared to a broad inhibitor of C3. In addition, we observed the necessary phagocytic activity required to clear lipid and other forms of debris is maintained by GEM103, while it is impaired by a broad inhibitor of C3, a potentially undesirable consequence of current approaches that results in complete suppression of complement activity.</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our Phase 1 clinical trial, single ascending doses of GEM103 were administered via intravitreal injection (IVT) to dry AMD patients enriched for genetic variants of interest with greater than 50% visual acuity loss and central GA. GEM103 was well-tolerated across a range of single doses from 50 to 500 µg/eye in a 50 µL preparation delivered intravitreally, without any dose limiting toxicity or inflammation or anti-drug induced antibody, confirmed by an independent safety review committee. Serial aqueous humor sampling was performed to gather pharmacokinetic and pharmacodynamic data. Administration of GEM103 resulted in dose related increases in CFH concentrations that remained supraphysiological at all dose levels, with patients treated with dose of 100 µg or greater having supraphysiologic levels of CFH over the observation period of at least 28 days.</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an exploratory assessment of pharmacodynamic effect, measurement of complement biomarkers was performed on aqueous humor samples obtained from patients at various timepoints after receiving a single dose of GEM103. In several subjects, GEM103 administration was associated with a subsequent reduction of Ba, a complement biomarker of alternate pathway activation and inflammation as evaluated from serial aqueous humor sampling. These exploratory observations are consistent with the mechanism of action of CFH as a regulator of complement function in the eye.</w:t>
      </w:r>
    </w:p>
    <w:p>
      <w:pPr>
        <w:spacing w:after="0" w:line="10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GEM103 is now being evaluated in a multiple ascending dose Phase 2a clinical trial of a genetically enriched patient population carrying mutation(s) in the gene for CFH and suffering from dry AMD. Safety, tolerability, pharmacokinetics and exploratory biomarker responses based upon serially obtained aqueous humor samples will be obtained. Topline data from this trial is expected in the first half of 2021. The data from this trial will inform dose selection for an end of Phase 2 meeting with regulatory authorities as we plan to seek alignment on a pivotal development pathway.</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Based on the results from our Phase 1 clinical trial, we plan to study both the 250 µg and 500 µg IVT doses, administered monthly in this Phase 2a multiple dose study to inform pivotal dose selection. We believe the following items observed in our Phase 1 clinical trial will be further elucidated with multiple dosing in the Phase 2a clinical trial:</w:t>
      </w:r>
    </w:p>
    <w:p>
      <w:pPr>
        <w:spacing w:after="0" w:line="108" w:lineRule="exact"/>
        <w:rPr>
          <w:sz w:val="20"/>
          <w:szCs w:val="20"/>
          <w:color w:val="auto"/>
        </w:rPr>
      </w:pPr>
    </w:p>
    <w:p>
      <w:pPr>
        <w:jc w:val="both"/>
        <w:ind w:left="1320" w:right="459" w:hanging="434"/>
        <w:spacing w:after="0" w:line="257" w:lineRule="auto"/>
        <w:tabs>
          <w:tab w:leader="none" w:pos="131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Pharmacokinetics: </w:t>
      </w:r>
      <w:r>
        <w:rPr>
          <w:rFonts w:ascii="Times New Roman" w:cs="Times New Roman" w:eastAsia="Times New Roman" w:hAnsi="Times New Roman"/>
          <w:sz w:val="18"/>
          <w:szCs w:val="18"/>
          <w:color w:val="auto"/>
        </w:rPr>
        <w:t>Aqueous humor sampling showed sustained supraphysiological levels of CFH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all doses tested at one week post single dose administration. In addition, there was a dose-dependent increase in CFH concentrations noted at one week post dose, which remained above physiologic CFH levels for at least 28 days for doses at or above 100 µg levels. Monthly IVT doses will be administered in Phase 2a, beginning with 250 µg and escalating to the 500 µg dose level thereafter. Pharmacokinetics will be monitored monthly.</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6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Pharmacodynamics: </w:t>
      </w:r>
      <w:r>
        <w:rPr>
          <w:rFonts w:ascii="Times New Roman" w:cs="Times New Roman" w:eastAsia="Times New Roman" w:hAnsi="Times New Roman"/>
          <w:sz w:val="18"/>
          <w:szCs w:val="18"/>
          <w:color w:val="auto"/>
        </w:rPr>
        <w:t>Aqueous humor samples were tested for specific biomarkers including Ba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marker of the amplification loop) and C3a (a marker of C3 activation and a potent anaphylatoxin contributing to chronic inflammation) to assess the ability of GEM103 to regulate the amplification loop of the alternative pathway (AP) of complement activity. Decreases in Ba levels were measured in several subjects after a single dose. The duration and magnitude of changes in biomarkers and observed PK will be measured in the Phase 2a clinical trial to inform our discussions with regulatory agencies on a pivotal study design.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432"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Clinical effect: </w:t>
      </w:r>
      <w:r>
        <w:rPr>
          <w:rFonts w:ascii="Times New Roman" w:cs="Times New Roman" w:eastAsia="Times New Roman" w:hAnsi="Times New Roman"/>
          <w:sz w:val="18"/>
          <w:szCs w:val="18"/>
          <w:color w:val="auto"/>
        </w:rPr>
        <w:t>Observation of subjects in Phase 1 clinical trial was of short duration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powered for efficacy. In line with tolerability, visual acuity was maintained, there was no ocular inflammation observed and there was no occurrence of CNV. The multiple dose Phase 2a study will be open-label. Data including measures of visual acuity and GA area will be measured at baseline and for the duration of the study in both the study and fellow eyes. Evaluation of clinical efficacy (slowing of the rate of GA progression) is anticipated to require subsequent randomized, controlled clinical trials. Safety and tolerability, including the avoidance of CNV induction, will be assessed in the ongoing Phase 2a clinical trial.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are also advancing GEM103 as add-on therapy in patients suffering from wet AMD who have been treated with anti-VEGF therapy, as development of macular atrophy in that setting has been associated with a relative insufficiency in CFH. We plan to update the GEM103 IND, submitting our Phase 1/2a clinical trial to the FDA in 4Q2020, and anticipate topline data from this trial in the second half of 2021.</w:t>
      </w:r>
    </w:p>
    <w:p>
      <w:pPr>
        <w:spacing w:after="0" w:line="9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AAV-CFH program is complementary to our GEM103 program, as AAV-CFH is a construct that will express GEM103 continuously at a therapeutic level. Our AAV-CFH program is directly informed by GEM103 in terms of patients, genetics, clinical biomarkers and trial design. With our AAV-CFH program we believe we will be able to intervene in specific genetically identified patient populations (intermediate AMD — before geographic atrophy is detectable) with a single dose of AAV-CFH.</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Additional Programs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Factor H Potentiating Antibody</w:t>
      </w:r>
    </w:p>
    <w:p>
      <w:pPr>
        <w:spacing w:after="0" w:line="13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to AMD, there are other systemic conditions that have complement dysregulation as part of the underlying disease pathologies. Many of these conditions affect the renal system and include rare diseases such as atypical Hemolytic Syndrome, C3 Glomerulopathy as well as more common disorders like IgA Nephropathy. Many of these diseases have genetic risk factors that include CFH dysregulation and other complement regulatory proteins like the CFH-related proteins. We have developed a factor H potentiating antibody that enhances the activity of endogenous CFH, effectively increasing the effective functional concentration of CFH. We have pre-clinical data supporting improvement of clinical benefit in animal models mimicking these conditions of complement dysregulation. We are completing pharmacology studies and expect to have a clinical candidate in the second half of 2021.</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3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or commercial quantities of our product candidates. Although we intend to rely on third-party contract manufacturers to produce our product candidates, we have recruited personnel with experience to manage the third-party contract manufacturers producing our product candidates and other product candidates or products that we may develop in the future.</w:t>
      </w:r>
    </w:p>
    <w:p>
      <w:pPr>
        <w:spacing w:after="0" w:line="1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Our lead product candidate, GEM103, is a recombinant version of the endogenous CFH protein that is found most widely in our ‘intent to treat’ population. Specifically, it contains the amino acids V62, Y402 and E936 which are those most frequently found in the Caucasian population.</w:t>
      </w:r>
    </w:p>
    <w:p>
      <w:pPr>
        <w:spacing w:after="0" w:line="8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process for manufacturing GEM103 consists of a cell line, and associated cell culture and purification processes to achieve stringent purity criteria in line with a product candidate dosed intravitreally.</w:t>
      </w:r>
    </w:p>
    <w:p>
      <w:pPr>
        <w:spacing w:after="0" w:line="6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currently engage third-party manufacturers to provide clinical supplies of GEM103 and a different third-party manufacturer to provide fill-finish services for GEM103. We currently have sufficient supplies of GEM103 on hand for our current clinical trial needs.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hold worldwide commercialization rights to each of our product candidates.</w:t>
      </w:r>
    </w:p>
    <w:p>
      <w:pPr>
        <w:spacing w:after="0" w:line="13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plan to build focused capabilities to commercialize development programs for certain indications where we believe that the medical specialists for the indications are sufficiently concentrated to allow us to effectively promote the product with a targeted sales team. In other indications, we may seek to enter into collaborations that we believe may contribute to our ability to advance development and ultimately commercialize our product candidates.</w:t>
      </w:r>
    </w:p>
    <w:p>
      <w:pPr>
        <w:spacing w:after="0" w:line="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may also seek to enter into collaborations where we believe that realizing the full commercial value of our development programs will require access to broader geographic markets or the pursuit of broader patient populations or indications.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April 1, 2017, we entered into a Research Collaboration and License Agreement with Sanquin Blood Supply Foundation (“</w:t>
      </w:r>
      <w:r>
        <w:rPr>
          <w:rFonts w:ascii="Times New Roman" w:cs="Times New Roman" w:eastAsia="Times New Roman" w:hAnsi="Times New Roman"/>
          <w:sz w:val="18"/>
          <w:szCs w:val="18"/>
          <w:b w:val="1"/>
          <w:bCs w:val="1"/>
          <w:color w:val="auto"/>
        </w:rPr>
        <w:t>Sanquin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2017 License Agreement</w:t>
      </w:r>
      <w:r>
        <w:rPr>
          <w:rFonts w:ascii="Times New Roman" w:cs="Times New Roman" w:eastAsia="Times New Roman" w:hAnsi="Times New Roman"/>
          <w:sz w:val="18"/>
          <w:szCs w:val="18"/>
          <w:color w:val="auto"/>
        </w:rPr>
        <w:t>”) to develop antibodies that bind and enhance the activity of CFH. From the effective date of the 2017 License Agreement until the end of April 2019, the parties engaged in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6" w:name="page167"/>
    <w:bookmarkEnd w:id="1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 research program based on an agreed upon research plan. The research program was overseen by a joint steering committee, comprised of two members from each of Gemini and Sanquin, with each party having one vote with respect to decisions within the purview of the joint steering committee. If the joint steering committee was unable to resolve any issues unanimously, then such disputes were subject to a dispute resolution procedures. We funded Sanquin’s research during the term of the research program.</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Following the conclusion of the research program, we have sole responsibility for the development of licensed products for the treatment and prevention of diseases in humans. Sanquin granted us an exclusive royalty-bearing license, with the right to sublicense through multiple tiers, to Sanquin’s patent rights, including patent rights generated during the research program and a non-exclusive license, with the right to sublicense through multiple tiers, to Sanquin’s background know-how and materials, in each case to research, develop, commercialize, make, use, sell, offer for sale and import or otherwise exploit licensed products. We are required to use commercially reasonable efforts to conduct development and commercialization of licensed products in accordance with an agreed upon development plan.</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consideration for the license, we paid Sanquin a one-time, non-refundable upfront payment of $100,000. We are required to make milestone payments to Sanquin upon achievement of certain development and commercial milestones (i.e., once net sales targets exceed certain thresholds) totalling up to an aggregate amount of $29.0 million. We are also required to pay Saquin a low double digit percentage of any non-royalty sublicensing income received and are required to make minimum royalty payments to Sanquin on each anniversary date of the effective date of the 2017 License Agreement. We are required to make royalty payments of between 1.25% and 2.50% of net product sales if commercialization is achieved, subject to offset by minimum royalty payments due and up to 50% reduction for royalty stacking.</w:t>
      </w:r>
    </w:p>
    <w:p>
      <w:pPr>
        <w:spacing w:after="0" w:line="11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2017 License Agreement shall terminate on a country-by-country and licensed product-by-licensed product basis upon the latest of (i) expiration of the last valid claim of a Saquin patent that covers such licensed product,</w:t>
      </w:r>
    </w:p>
    <w:p>
      <w:pPr>
        <w:jc w:val="both"/>
        <w:ind w:left="460" w:right="459" w:hanging="6"/>
        <w:spacing w:after="0" w:line="251" w:lineRule="auto"/>
        <w:tabs>
          <w:tab w:leader="none" w:pos="74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years after the first commercial sale of such licensed product, or (iii) the date on which there is no longer any marketing exclusivity for such licensed product. The 2017 License Agreement may be terminated by either party (i) upon 90 days written notice in the event of the other party’s uncured breach of the 2017 License Agreement, or (ii) the other party files for bankruptcy protection, makes an assignment for the benefit of its creditors, or files a petition for bankruptcy or insolvency that is not dismissed in 90 days. We have the right to terminate the 2017 License Agreement at any time upon 90 days prior written notice, and Sanquin has the right to terminate the 2017 License Agreement if we fail to meet our diligence obligations under the 2017 License Agreement.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technology and intellectual property. To protect our intellectual property rights, we rely on patents, trademarks, copyrights and trade secret laws, confidentiality procedures, and employee disclosure and invention assignment agreements. Our intellectual property is critical to our business and we strive to protect it through a variety of approaches, including by obtaining and maintaining patent protection in the United States and internationally for our product candidates, novel biological discoveries, new targets and applications, and other inventions that are important to our business. For our product candidates, we generally intend to pursue patent protection covering compositions of matter, methods of making and methods of use, including combination therapies. As we continue the development of our product candidates, we intend to identify additional means of obtaining patent protection that would potentially enhance commercial success, including through claims covering additional methods of use and biomarkers and complementary diagnostic and/or companion diagnostic related claims.</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November 30, 2020, we own or exclusively license approximately 43 patents and pending patent applications in the U.S. and foreign jurisdictions, including two granted U.S. and foreign patents, and 39 pending U.S. and foreign patent applications and two pending U.S. provisional patent applications.</w:t>
      </w:r>
    </w:p>
    <w:p>
      <w:pPr>
        <w:spacing w:after="0" w:line="9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patent portfolio relating to GEM103 includes three patent families owned by us, one pending as an application under the Patent Cooperation Treaty, or PCT, and two pending as U.S. provisional patent applications. The PCT application is directed to methods of treating patients who carry certain CFH genetic mutations with GEM103. The statutory expiration for any U.S. and foreign patents issuing from this family is 2040. One provisional patent application is directed to methods of treatment in certain other patient populations with GEM103. Also disclosed in this application are dosage regimens for using GEM103. The statutory expiration for any U.S. and foreign patents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7" w:name="page168"/>
    <w:bookmarkEnd w:id="1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issuing from this family is 2041. The other provisional patent application is directed to the GEM103 composition and methods of manufacturing it. The statutory expiration for any U.S. and foreign patents issuing from this family is 2041.</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patent portfolio relating to our factor H potentiating antibody program includes one patent family owned by us and two patent families that we exclusively license from Sanquin Blood Supply Foundation. The two in-licensed families are directed to antibodies that bind the same region of the factor H protein as our current product candidate. The first in-licensed family includes one granted U.S. patent, one granted European patent, and pending patent applications in Australia, Brazil, Canada, China, Israel, Japan, the Republic of Korea and Mexico. The European patent covers our current product candidate and is expected to expire in 2035. The statutory expiration for any other patents issuing from this family is also 2035. The second in-licensed family is pending in Australia, Brazil, Canada, China, Europe, Israel, Japan, the Republic of Korea, Mexico and the United States. The statutory expiration for any patents issuing from this family is 2039. The patent family owned by us is directed to the specific product candidate currently under development. This family is pending as an application under the Patent Cooperation Treaty, or PCT, and applications in Argentina and Taiwan. The statutory expiration for any patents issuing from this family is 2040.</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to patents, we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such agreements will not be breached, or that these agreements will afford us adequate protection of our intellectual property and proprietary rights. For more information, see “</w:t>
      </w:r>
      <w:r>
        <w:rPr>
          <w:rFonts w:ascii="Times New Roman" w:cs="Times New Roman" w:eastAsia="Times New Roman" w:hAnsi="Times New Roman"/>
          <w:sz w:val="18"/>
          <w:szCs w:val="18"/>
          <w:i w:val="1"/>
          <w:iCs w:val="1"/>
          <w:color w:val="auto"/>
        </w:rPr>
        <w:t>Risk factors — Risks related to our intellectual property</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including the genetic medicines field, are characterized by rapidly changing technologies, competition and a strong emphasis on intellectual property. We are aware of several companies focused on developing precision medicines in various indications as well as several companies developing gene therapies addressing methods for modifying genes and regulating gene expression. We may also face competition from large and specialty pharmaceutical and biotechnology companies, academic research institutions, government agencies and public and private research institutions with genetic medicine and other therapeutic approaches.</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consider our most direct competitors with respect to GEM103 for the treatment of AMD to be Apellis Pharmaceuticals, Inc. which has a fully enrolled phase 3 clinical trial for the study of geographic atrophy for its C3 inhibitor, and IVERIC bio, which is conducting a pivotal study in geographic atrophy for its C5 inhibitor. Other approaches are under investigation and in earlier stages of development.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vendors, collaboration partners, contract research organizations, or CROs, and contract manufacturers, will be required to navigate the various preclinical, clinical, manufacturing and commercial approval requirements of the governing regulatory agencies of the countries in which we wish to conduct studies or seek approval of our product candidate.</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8" w:name="page169"/>
    <w:bookmarkEnd w:id="16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process of obtaining regulatory approvals of drugs and ensuring subsequent compliance with appropriate federal, state, local and foreign statutes and regulations requires the expenditure of substantial time and financial resources.</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the United States, where we are initially focusing our product development, the FDA regulates biologics under the Federal Food, Drug and Cosmetic Act, or FDCA, and the Public Health Service Act, or PHSA, and their implementing regulations. Biologics are also subject to other federal, state and local statutes and regulations. Our product candidates are early-stage and have not been approved by the FDA for marketing in the United States.</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our product candidates are approved for therapeutic indications and may be marketed in the United States generally involves the following:</w:t>
      </w:r>
    </w:p>
    <w:p>
      <w:pPr>
        <w:spacing w:after="0" w:line="81" w:lineRule="exact"/>
        <w:rPr>
          <w:sz w:val="20"/>
          <w:szCs w:val="20"/>
          <w:color w:val="auto"/>
        </w:rPr>
      </w:pPr>
    </w:p>
    <w:p>
      <w:pPr>
        <w:ind w:left="1320" w:right="459" w:hanging="434"/>
        <w:spacing w:after="0" w:line="282" w:lineRule="auto"/>
        <w:tabs>
          <w:tab w:leader="none" w:pos="147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3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clinical trials may begin and must be updated annually or when significant changes are made;</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at each clinical trial site before each trial may be initiated;</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Good Clinical Practice, or GCP requirements and other clinical trial-related regulations to establish the safety, purity and potency of the proposed biological product candidate for its intended purpose;</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0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Biologics License Application, or BLA, after completion of all pivotal trials;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5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product will be produced to assess compliance with current Good Manufacturing Practice requirements, or cGMPs, to assure that the facilities, methods and controls are adequate to preserve the biological product’s continued safety, purity and potency;</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clinical trial sites that generated the data in support of the BLA;</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and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including consideration of the views of any FDA advisory committee, prior to any commercial marketing or sale of the biologic in the United States.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trials for biologics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Before testing any drug or biologic in humans, the product candidate must undergo rigorous preclinical testing. Preclinical studies include laboratory evaluations of chemistry, formulation and stability,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safety and in some cases to establish the rationale for therapeutic use. The conduct of preclinical studies is subject to federal and state regulations and requirements, including GLP requirements for safety and toxicology studies. The results of the preclinical studies, together with manufacturing information and analytical data must be submitted to the FDA as part of an IND. An IND is a request for authorization from the FDA to administer an investigational product to humans, and it must become effective before clinical trials may begin.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Some long-term preclinical testing may continue after the IND is submitted. Accordingly, submission of an IND may or may not result in FDA authorization to begin a trial. A separate submission to an existing</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9" w:name="page170"/>
    <w:bookmarkEnd w:id="16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IND must also be made for each successive clinical trial conducted during product development of a product candidate, and the FDA must grant permission, either explicitly or implicitly by not objecting, before each clinical trial can begin.</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Information about applicable clinical trials, including clinical trials results, must be submitted within specific timeframes for publication on the </w:t>
      </w:r>
      <w:r>
        <w:rPr>
          <w:rFonts w:ascii="Times New Roman" w:cs="Times New Roman" w:eastAsia="Times New Roman" w:hAnsi="Times New Roman"/>
          <w:sz w:val="18"/>
          <w:szCs w:val="18"/>
          <w:i w:val="1"/>
          <w:iCs w:val="1"/>
          <w:color w:val="auto"/>
        </w:rPr>
        <w:t xml:space="preserve">www.clinicaltrials.gov </w:t>
      </w:r>
      <w:r>
        <w:rPr>
          <w:rFonts w:ascii="Times New Roman" w:cs="Times New Roman" w:eastAsia="Times New Roman" w:hAnsi="Times New Roman"/>
          <w:sz w:val="18"/>
          <w:szCs w:val="18"/>
          <w:color w:val="auto"/>
        </w:rPr>
        <w:t>website.</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While we plan to conduct any international clinical trials under foreign equivalents to INDs in the future, a sponsor who wishes to conduct a clinical trial outside of the United States may, but need not, obtain FDA authorization to conduct the clinical trial under an IND.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0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BLAs for marketing approval are typically conducted in three sequential phases, which may overlap.</w:t>
      </w:r>
    </w:p>
    <w:p>
      <w:pPr>
        <w:spacing w:after="0" w:line="92" w:lineRule="exact"/>
        <w:rPr>
          <w:sz w:val="20"/>
          <w:szCs w:val="20"/>
          <w:color w:val="auto"/>
        </w:rPr>
      </w:pPr>
    </w:p>
    <w:p>
      <w:pPr>
        <w:jc w:val="both"/>
        <w:ind w:left="1320" w:right="459" w:hanging="434"/>
        <w:spacing w:after="0" w:line="258" w:lineRule="auto"/>
        <w:tabs>
          <w:tab w:leader="none" w:pos="145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 Phase 1 clinical trials involve initial introduction of the investigational product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healthy human volunteers or patients with the target disease or condition.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2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Phase 2 clinical trials typically involve administration of the investigational product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6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Phase 3 clinical trials typically involve administration of the investigational product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 BLA.</w:t>
      </w:r>
    </w:p>
    <w:p>
      <w:pPr>
        <w:spacing w:after="0" w:line="117"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 BLA.</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among other information, must be submitted at least annually to the FDA and written IND safety reports must be submitted to the FDA and the investigators fifteen days after</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0" w:name="page171"/>
    <w:bookmarkEnd w:id="1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participants exposed to the biologic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biological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 by the FDA</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intend to seek data exclusivity or market exclusivity for our product candidates. 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 BLA requesting approval to market the product for one or more indications. A BLA is a request for approval to market a new biologic for one or more specified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purity and potency of the investigational product to the satisfaction of the FDA. FDA approval of a BLA must be obtained before a biologic may be marketed in the United States.</w:t>
      </w:r>
    </w:p>
    <w:p>
      <w:pPr>
        <w:spacing w:after="0" w:line="10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clinically active component,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FDA reviews all submitted BLAs before it accepts them for filing, and may request additional information rather than accepting the BLA for filing. The FDA must make a decision on accepting a BLA for filing within 60 days of receipt, and such decision could include a refusal to file by the FDA. Once the submission is accepted for filing, the FDA begins an in-depth substantive review of the BLA. The FDA reviews a BLA to determine, among other things, whether the product is safe, pure and potent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an original BLA and respond to the applicant, and six months from the filing date of an original BLA filed for priority review. The FDA does not always meet its PDUFA goal dates for standard or priority BLAs, and the review process is often extended by FDA requests for additional information or clarification.</w:t>
      </w:r>
    </w:p>
    <w:p>
      <w:pPr>
        <w:spacing w:after="0" w:line="12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Further, under PDUFA, as amended, each BLA must be accompanied by a user fee, and the sponsor of an approved BLA is also subject to an annual program fee. FDA adjusts the PDUFA user fees on an annual basis. Fee waivers or reductions may be available in certain circumstances, including a waiver of the application fee for the first application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filed by a small business. Additionally, no user fees are assessed on BLAs for products designated as orphan drugs, unless the product also includes a non-orphan indication.</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FDA may refer an application for a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may inspect one or more clinical trial sites to assure compliance with GCP and other requirements and the integrity of the clinical data submitted to the FDA.</w:t>
      </w:r>
    </w:p>
    <w:p>
      <w:pPr>
        <w:spacing w:after="0" w:line="10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or REMS, as a condition for approving the BLA to ensure that the benefits of the product outweigh its risks. The REMS could include medication guides, physician communication plans, assessment plans, and/or elements to assure safe use, such as restricted distribution methods, patient registries, or other risk-minimization tools.</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will usually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biologics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new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meaning that the FDA may consider for review sections of the BLA on a rolling basis before the complete application is submitted, if the sponsor provides a schedule for the submission of the sections of the BLA, the FDA agrees to accept sections of</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2" w:name="page173"/>
    <w:bookmarkEnd w:id="1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BLA and determines that the schedule is acceptable, and the sponsor pays any required user fees upon submission of the first section of the BLA.</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a new drug or biological product may be eligible for Breakthrough Therapy designation if it is intended to treat a serious or life-threatening disease or condition and preliminary clinical evidence indicates that the biologic, alone or in combination with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and Accelerated Approval. A product is eligible for priority review if it is intended to treat a serious or life-threatening disease or condition, and if approved, would provide a significant improvement in safety or effectiveness. For original BLAs, priority review designation means the FDA’s goal is to take action on the marketing application within six months of the 60-day filing date (compared with ten months under standard review).</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 product intended to treat serious or life-threatening diseases or conditions may receive Accelerated Approval upon a determination that the product has an effect on a surrogate endpoint that is reasonably likely to predict clinical benefit, or on a clinical endpoint that can be measured earlier than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Accelerated Approval is usually contingent on a sponsor’s agreement to conduct additional post-approval studies to verify and describe the product’s clinical benefit. The FDA may withdraw approval of a drug or biologic approved under Accelerated Approval if, for example, the sponsor fails to conduct the confirmatory trials in a timely manner or the confirmatory trial fails to verify the predicted clinical benefit of the product.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 for biologics</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biologics must be submitted to the FDA in conjunction with their first use or first publication. Further, if there are any modifications to the product, including changes in indications, labeling or manufacturing processes or facilities, the applicant may be required to submit and obtain FDA approval of a new BLA or BLA supplement, which may require the development of additional data or preclinical studies and clinical trials.</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3" w:name="page174"/>
    <w:bookmarkEnd w:id="1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 BLA. For example, the FDA may require post-market testing, including Phase 4 clinical trials, and surveillance to further assess and monitor the product’s safety and effectiveness after commercialization.</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drug and biologics manufacturers and their subcontractors involved in the manufacture and distribution of approved products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program fee for any marketed product.</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108" w:lineRule="exact"/>
        <w:rPr>
          <w:sz w:val="20"/>
          <w:szCs w:val="20"/>
          <w:color w:val="auto"/>
        </w:rPr>
      </w:pPr>
    </w:p>
    <w:p>
      <w:pPr>
        <w:ind w:left="1320" w:right="479" w:hanging="434"/>
        <w:spacing w:after="0" w:line="282" w:lineRule="auto"/>
        <w:tabs>
          <w:tab w:leader="none" w:pos="137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 Dear Healthcare Provider letters, press releases or other communications containing warnings or other safety information about the product;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70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issuance of corrective information;</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on clinical trials;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Orphan Designation and Exclusivity</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 BLA. After the FDA grants ODD, the generic identity of the therapeutic agent and its potential orphan use are disclosed publicly by the FDA.</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If a product that has received ODD and subsequently receives the first FDA approval for a particular clinically active component for the disease for which it has such designation, the product is entitled to orphan product exclusivity, which means that the FDA may not approve any other applications, including a full BLA, to market the same biologic</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4" w:name="page175"/>
    <w:bookmarkEnd w:id="1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16"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regulatory interpretation of the BPCIA remain subject to significant uncertainty.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5" w:name="page176"/>
    <w:bookmarkEnd w:id="1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Health Administration, the Environmental Protection Agency and state and local governments and governmental agencies.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November 30, 2020, we had 29 full-time or part-time employees, including three employees with M.D. degrees and eight employees with Ph.D. degrees. None of our employees are represented by labor unions or covered by collective bargaining agreements. We consider the relationship with our employees to be good.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facilities consist of office space of approximately 11,894 square feet in Cambridge, Massachusetts under a lease that expires in lease that expires in May 2023, subject to the right to extend the term for one additional three (3) year term. We believe that our current facilities are sufficient for our current needs.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6" w:name="page177"/>
    <w:bookmarkEnd w:id="1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GEMINI</w:t>
      </w:r>
    </w:p>
    <w:p>
      <w:pPr>
        <w:spacing w:after="0" w:line="146"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“Gemini,” “we,” “us,” and “our” refer to Gemini Therapeutics, Inc.</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directors and executive officers are as follows as of the date of this proxy statement/prospectus: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Age</w:t>
            </w:r>
          </w:p>
        </w:tc>
        <w:tc>
          <w:tcPr>
            <w:tcW w:w="438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6"/>
        </w:trPr>
        <w:tc>
          <w:tcPr>
            <w:tcW w:w="3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r>
      <w:tr>
        <w:trPr>
          <w:trHeight w:val="243"/>
        </w:trPr>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Lauder, Ph.D.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Uknis, M.D.</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41"/>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Hannah Han-Chun Chang, Ph.D., M.D.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George</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Gordon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4"/>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Ong, M.D., MRCOphth</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Rhodes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Phillip R. Reilly, J.D., M.D.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Squinto, Ph.D.</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r>
    </w:tbl>
    <w:p>
      <w:pPr>
        <w:spacing w:after="0" w:line="20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Jason Meyenburg </w:t>
      </w:r>
      <w:r>
        <w:rPr>
          <w:rFonts w:ascii="Times New Roman" w:cs="Times New Roman" w:eastAsia="Times New Roman" w:hAnsi="Times New Roman"/>
          <w:sz w:val="18"/>
          <w:szCs w:val="18"/>
          <w:color w:val="auto"/>
        </w:rPr>
        <w:t>has served as our Chief Executive Officer since September 2019. Previously,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2018 to September 2019, Mr. Meyenburg served as Chief Commercial Officer of Orchard Therapeutics plc, a publicly-traded biotechnology company. Before that, Mr. Meyenburg served as the Chief Commercial Officer of Sucampo Pharmaceuticals, Inc. from April 2017 to March 2018. Prior to that, Mr. Meyenburg served as the Chief Commercial Officer of Vtesse, Inc., which became a wholly-owned subsidiary of Sucampo in April 2017, from December 2016 to April 2017. Additionally, from January 2003 to February 2016, Mr. Meyenburg held roles of increasing responsibility at Alexion Pharmaceuticals, Inc., a publicly-traded biotechnology company, including most recently as the Senior Vice President of Commercial Operations for the Americas. Mr. Meyenburg holds an M.B.A. from Duke University and a B.S. in Biochemistry from University of Maryland. We believe that Mr. Meyenburg is qualified to serve as a member of our board of directors because of his commercial experience in the life sciences industry.</w:t>
      </w:r>
    </w:p>
    <w:p>
      <w:pPr>
        <w:spacing w:after="0" w:line="11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Gregg D. Beloff </w:t>
      </w:r>
      <w:r>
        <w:rPr>
          <w:rFonts w:ascii="Times New Roman" w:cs="Times New Roman" w:eastAsia="Times New Roman" w:hAnsi="Times New Roman"/>
          <w:sz w:val="18"/>
          <w:szCs w:val="18"/>
          <w:color w:val="auto"/>
        </w:rPr>
        <w:t>has served as our Interim Chief Financial Officer since 2020. Mr. Beloff is the co-founder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of Danforth Advisors, a consulting firm specializing in providing financial and strategic support to life sciences companies. In addition to his consulting for clients, Mr. Beloff previously served as the Chief Financial Officer of four public and multiple privately held companies. In these roles, he managed finance, accounting, corporate communications, human resources, information technology, facilities, legal, intellectual property, business development, and manufacturing functions. Mr. Beloff holds an M.B.A. from Carnegie Mellon University, a J.D. from the University of Pittsburgh School of Law, and a B.A. in History from Middlebury College.</w:t>
      </w:r>
    </w:p>
    <w:p>
      <w:pPr>
        <w:spacing w:after="0" w:line="117"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Scott Lauder, Ph.D. </w:t>
      </w:r>
      <w:r>
        <w:rPr>
          <w:rFonts w:ascii="Times New Roman" w:cs="Times New Roman" w:eastAsia="Times New Roman" w:hAnsi="Times New Roman"/>
          <w:sz w:val="18"/>
          <w:szCs w:val="18"/>
          <w:color w:val="auto"/>
        </w:rPr>
        <w:t>has served as our Chief Technology Officer since November 2017. Previously,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2016 to October 2017, Dr. Lauder served as our Senior Vice President of Process Development and Manufacturing. Prior to that, from July 2013 to October 2016, Dr. Lauder served as the Vice President of Process Sciences and Clinical Manufacturing for Merrimack Pharmaceuticals, Inc., a publicly-traded pharmaceutical company. Dr. Lauder holds a Ph.D. in Biochemistry from Northwestern University and a B.Sc. in Microbiology from the University of Manitoba.</w:t>
      </w:r>
    </w:p>
    <w:p>
      <w:pPr>
        <w:spacing w:after="0" w:line="11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Marc Uknis, M.D. </w:t>
      </w:r>
      <w:r>
        <w:rPr>
          <w:rFonts w:ascii="Times New Roman" w:cs="Times New Roman" w:eastAsia="Times New Roman" w:hAnsi="Times New Roman"/>
          <w:sz w:val="18"/>
          <w:szCs w:val="18"/>
          <w:color w:val="auto"/>
        </w:rPr>
        <w:t>has served as our Chief Medical Officer since March 2020. Previously, in 2020, Dr. Uknis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Vice President and Head of Clinical Development, Safety and Pharmacoviligance/Risk Management at Alexion Pharmaceuticals, Inc., a publicly-traded biotechnology company. Prior to that, Dr. Uknis served as Vice President and Head of Clinical Development, Safety and Pharmacoviligance/Risk Management at Achillion Pharmaceuticals, Inc., a publicly-traded biotechnology company, from June 2018 until its acquisition by Alexion Pharmaceuticals, Inc. in January 2020. Prior to that, Dr. Uknis served as Senior Director, Therapeutic Area Lead, Solid Organ and Cellular Transplant Research and Development at CSL Behring from October 2015 to June 2018. Prior to that, Dr. Uknis served as Director, Clinical Development: Global Lead, Transplant Medicine R&amp;D at ViroPharma Incorporated from October 2007 to October 2015. Dr. Uknis holds a M.D. from Temple University and a B.A. in Biology from Temple University.</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7" w:name="page178"/>
    <w:bookmarkEnd w:id="1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Hannah Han-Chun Chang, Ph.D., M.D. </w:t>
      </w:r>
      <w:r>
        <w:rPr>
          <w:rFonts w:ascii="Times New Roman" w:cs="Times New Roman" w:eastAsia="Times New Roman" w:hAnsi="Times New Roman"/>
          <w:sz w:val="18"/>
          <w:szCs w:val="18"/>
          <w:color w:val="auto"/>
        </w:rPr>
        <w:t>has served as a member of our Board since September 2019.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2020, Dr. Chang has been a Managing Director at Wu Capital, a global single family office. Previously, Dr. Chang served as an Investment Director at Wu Capital from July 2017 to July 2020. Prior to that, from June 2014 to June 2017, Dr. Chang served as an associate at 5AM Ventures, a life sciences venture capital fund. Dr. Chang holds an M.D. from Harvard Medical School, a Ph.D. in biophysics from the Harvard University and a B.A. in chemistry from Princeton University. We believe that Dr. Chang is qualified to serve on our board of directors due to her scientific expertise and experience in venture capital and the life science industry.</w:t>
      </w:r>
    </w:p>
    <w:p>
      <w:pPr>
        <w:spacing w:after="0" w:line="11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Jean George </w:t>
      </w:r>
      <w:r>
        <w:rPr>
          <w:rFonts w:ascii="Times New Roman" w:cs="Times New Roman" w:eastAsia="Times New Roman" w:hAnsi="Times New Roman"/>
          <w:sz w:val="18"/>
          <w:szCs w:val="18"/>
          <w:color w:val="auto"/>
        </w:rPr>
        <w:t>has served as a member of our Board since April 2016. Since February 2002, she has been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at Advanced Technology Ventures, a venture capital fund, where she currently serves as the East Coast lead partner for healthcare investments. Since March 2012, Ms. George has served as Managing Director at Lightstone Ventures, a venture capital firm. Ms. George currently serves as a member of the board of directors of the public company, Calithera Biosciences. During the past five years, Ms. George served as a member of the board of directors of Zeltiq Aesthetics from 2005 to 2015,] Catabasis Pharma from 2010 to 2018 and Acceleron Pharma from 2005 to 2020. Ms. George holds an M.B.A. from Simmons College Graduate School of Management and a B.S. in biology from the University of Maine. We believe that Ms. George is qualified to serve on our board of directors due to her extensive investment and financial experience.</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Carl L. Gordon, Ph.D., CFA </w:t>
      </w:r>
      <w:r>
        <w:rPr>
          <w:rFonts w:ascii="Times New Roman" w:cs="Times New Roman" w:eastAsia="Times New Roman" w:hAnsi="Times New Roman"/>
          <w:sz w:val="18"/>
          <w:szCs w:val="18"/>
          <w:color w:val="auto"/>
        </w:rPr>
        <w:t>has served as a member of our board of directors since April 2016. Dr. Gordon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founding member, Managing Partner, and Co-Head of Global Private Equity at OrbiMed Advisors LLC, an investment firm. Dr. Gordon currently serves on the boards of directors of Adicet Bio, Inc., Keros Therapeutics Inc., ORIC Pharmaceuticals Inc., Turning Point Therapeutics, Inc., and Prevail Therapeutics, Inc., as well as several private companies. Dr. Gordon previously served on the boards of directors of several biopharmaceutical companies, including Alector Inc., Arsanis, Inc. (which merged with X4 Pharmaceuticals, Inc.), Acceleron Pharma Inc., ARMO Biosciences, Inc., Intellia Therapeutics, Inc., Passage Bio Inc., Selecta Biosciences, Inc., and SpringWorks Therapeutics Inc. Dr. Gordon received a B.A. in chemistry from Harvard College, a Ph.D. in molecular biology from the Massachusetts Institute of Technology, and he was a Fellow at The Rockefeller University. We believe that Dr. Gordon is qualified to serve on our board of directors due to his scientific expertise, extensive business experience, and experience in venture capital and the life science industry.</w:t>
      </w:r>
    </w:p>
    <w:p>
      <w:pPr>
        <w:spacing w:after="0" w:line="10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David C. Lubner </w:t>
      </w:r>
      <w:r>
        <w:rPr>
          <w:rFonts w:ascii="Times New Roman" w:cs="Times New Roman" w:eastAsia="Times New Roman" w:hAnsi="Times New Roman"/>
          <w:sz w:val="18"/>
          <w:szCs w:val="18"/>
          <w:color w:val="auto"/>
        </w:rPr>
        <w:t>has been a member of our Board since April 2020. From January 2016, until its acquisition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UCB S.A. in April 2020, Mr. Lubner served as the Executive Vice President and Chief Financial Officer of Ra Pharmaceuticals, Inc., a publicly-traded biotechnology company. Before that, Mr. Lubner served as a member of the senior management team of Tetraphase Pharmaceuticals, Inc, from 2006 through 2015. From 2010 to 2015, Mr. Lubner served as Senior Vice President and the Chief Financial Officer of Tetraphase, where he led financial operations and was responsible for corporate finance activities. From 1999 to 2005, he served as the Chief Financial Officer of PharMetrics Inc., a pharmacy and medical claims data informatics company, which was acquired by IMS Health in 2015. Prior to joining PharMetrics, Mr. Lubner served as Vice President and Chief Financial Officer of ProScript, Inc. where Velcade® (bortezomib), a therapy widely used for treatment of the blood cancer, multiple myeloma, was discovered, from 1996 to 1999. Mr. Lubner is also a member of the board of directors of Dyne Therapeutics, Inc., a biotechnology company, Therapeutics Acquisition Corporation (d/b/a as Research Alliance Corp. I.), a blank check company focused on the healthcare industry. Mr. Lubner also serves on the boards of directors of several private companies and was previously a member of the board of directors of Nightstar Therapeutics plc, (formerly Nasdaq: NITE), focused on the development of one-time retinal gene therapies for patients suffering from rare inherited retinal diseases, acquired by Biogen in June 2019. Mr. Lubner is a member of the American Institute of CPAs and a Certified Public Accountant in the Commonwealth of Massachusetts. Mr. Lubner received his B.S. in business administration from Northeastern University and M.S. in taxation from Bentley University. We believe that Mr. Lubner is qualified to serve on our board of directors based on his extensive senior executive experience and his biotechnology company board experience.</w:t>
      </w:r>
    </w:p>
    <w:p>
      <w:pPr>
        <w:spacing w:after="0" w:line="12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Tuyen Ong, M.D., MRCOphth</w:t>
      </w:r>
      <w:r>
        <w:rPr>
          <w:rFonts w:ascii="Times New Roman" w:cs="Times New Roman" w:eastAsia="Times New Roman" w:hAnsi="Times New Roman"/>
          <w:sz w:val="18"/>
          <w:szCs w:val="18"/>
          <w:color w:val="auto"/>
        </w:rPr>
        <w:t>., has served as a member of our Board since August 2020. Dr. Ong is a board-certified ophthalmologist and biotechnology/pharmaceutical industry management executive. He currently serves as Senior Vice President and Head of Biogen Ophthalmology Franchise at Biogen. Dr. Ong served as Chief Development Officer at Nightstar Therapeutics up until its acquisition by Biogen in June 2019. During which time he was involved with the company’s public listing on the Nasdaq, corporate and gene therapy strategy, investor and M&amp;A activities. Dr. Ong brings over 20 years of clinical and drug development experience from both large pharma and biotech, working in the fields of ophthalmology, genetic and rare disease at PTC Therapeutics Inc., Bausch and Lomb Inc. (acquired by Valeant Pharmaceuticals International, Inc.), and Pfizer. Dr. Ong holds an M.D. from the University</w:t>
      </w:r>
    </w:p>
    <w:p>
      <w:pPr>
        <w:sectPr>
          <w:pgSz w:w="11900" w:h="16838" w:orient="portrait"/>
          <w:cols w:equalWidth="0" w:num="1">
            <w:col w:w="9019"/>
          </w:cols>
          <w:pgMar w:left="1440" w:top="270" w:right="1440"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8" w:name="page179"/>
    <w:bookmarkEnd w:id="1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College London and an M.B.A. from New York University Stern School of Business. He is a member of the Royal College of Ophthalmologists and a Churchill Fellow.</w:t>
      </w:r>
    </w:p>
    <w:p>
      <w:pPr>
        <w:spacing w:after="0" w:line="9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Philip R. Reilly, M.D. </w:t>
      </w:r>
      <w:r>
        <w:rPr>
          <w:rFonts w:ascii="Times New Roman" w:cs="Times New Roman" w:eastAsia="Times New Roman" w:hAnsi="Times New Roman"/>
          <w:sz w:val="18"/>
          <w:szCs w:val="18"/>
          <w:color w:val="auto"/>
        </w:rPr>
        <w:t>has served as a member of our board of directors since June 2016. Since 2008, Dr. Reilly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a Venture Partner at Third Rock Ventures LLC, an investment firm. Dr. Reilly holds a B.A. in Government from Cornell University, an M.D. from Yale University, and a J.D. from Columbia University. We believe that Dr. Reilly is qualified to serve on our board of directors due to his scientific expertise, extensive business experience, and experience in venture capital and the life science industry.</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Jason Rhodes </w:t>
      </w:r>
      <w:r>
        <w:rPr>
          <w:rFonts w:ascii="Times New Roman" w:cs="Times New Roman" w:eastAsia="Times New Roman" w:hAnsi="Times New Roman"/>
          <w:sz w:val="18"/>
          <w:szCs w:val="18"/>
          <w:color w:val="auto"/>
        </w:rPr>
        <w:t>has been a member of our Board since April 2016 and a partner at Atlas Ventures since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Rhodes also served as the founding President and Chief Executive Officer of Dyne Therapeutics, Inc. from December 2017 to November 2018. From 2010 to 2014, Mr. Rhodes was employed at Epizyme, Inc., a biotechnology company, where he most recently served as President and Chief Financial Officer. Mr. Rhodes serves as a member of the board of directors of Dyne Therapeutics, Inc., Replimune Group, Inc., Generation Bio Co. and several private companies, and previously served as a director at Bicycle Therapeutics, Inc. from 2016 to 2020. Mr. Rhodes earned a B.A. in history from Yale University and an M.B.A. from the Wharton School of the University of Pennsylvania. We believe that Mr. Rhodes is qualified to serve on our board of directors based on his extensive leadership experience, his biotechnology company board experience and his experience investing in life science companies.</w:t>
      </w:r>
    </w:p>
    <w:p>
      <w:pPr>
        <w:spacing w:after="0" w:line="10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Stephen Squinto, Ph.D.</w:t>
      </w:r>
      <w:r>
        <w:rPr>
          <w:rFonts w:ascii="Times New Roman" w:cs="Times New Roman" w:eastAsia="Times New Roman" w:hAnsi="Times New Roman"/>
          <w:sz w:val="18"/>
          <w:szCs w:val="18"/>
          <w:color w:val="auto"/>
        </w:rPr>
        <w:t>, has served as a member of our Board since April 2016. Dr. Squinto has been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Partner at OrbiMed Advisors LLC since January 2015. Previously, Dr. Squinto co-founded Alexion Pharmaceuticals, Inc. and served as its Executive Vice President and Chief Global Operations Officer from 2012 to January 2015 and as its Global Head of Research and Development from 2007 to 2012. Dr. Squinto has served as Acting Head of Research and Development of Passage Bio, Inc. since January 2020, and prior to that served as interim Chief Executive Officer of Passage Bio from September 2018 to January 2020. Dr. Squinto also has served as a member of Passage’s board of directors since September 2018. Dr. Squinto also previously served as a member of the board of directors of Arvinas, Inc. from October 2015 to September 2018 and Audentes Therapeutics, Inc. from April 2015 to January 2018. Dr. Squinto holds a Ph.D. in biochemistry and biophysics and a B.A. in chemistry from Loyola University of Chicago. We believe that Dr. Squinto is qualified to serve on our board of directors based on his experience in the biopharmaceutical industry, including his operational experience in drug discovery and development.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OF GEMINI</w:t>
      </w:r>
    </w:p>
    <w:p>
      <w:pPr>
        <w:spacing w:after="0" w:line="146"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“Gemini,” “we,” “us,” and “our” refer to Gemini Therapeutics, Inc.</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compensation overview</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Historically, our executive compensation program has reflected our growth and development-oriented corporate culture. To date, the compensation of our Chief Executive Officer and President and our other executive officers identified in the 2019 Summary Compensation Table below, who we refer to as the named executive officers, has consisted of a combination of base salary, bonuses and long-term incentive compensation in the form of restricted common stock awards and incentive stock options. Our named executive officers who are full-time employees, like all other full-time employees, are eligible to participate in our retirement and health and welfare benefit plans. As we transition from a private company to a publicly traded company, we will evaluate our compensation values and philosophy and compensation plans and arrangements as circumstances merit. At a minimum, we expect to review executive compensation annually with input from a compensation consultant. As part of this review process, we expect the board of directors and the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9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Gemini’s named executive officers are Jason Meyenburg, its President and Chief Executive Officer, and Scott Lauder, its Chief Technology Officer, each of whom will become an executive officer of the Combined Entity. The following table presents information regarding the total compensation awarded to, earned by, and paid to our named executive officers for services rendered to us in all capacities for the years indicated.</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Incentive Plan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5"/>
        </w:trPr>
        <w:tc>
          <w:tcPr>
            <w:tcW w:w="1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00" w:type="dxa"/>
            <w:vAlign w:val="bottom"/>
          </w:tcPr>
          <w:p>
            <w:pPr>
              <w:spacing w:after="0"/>
              <w:rPr>
                <w:sz w:val="3"/>
                <w:szCs w:val="3"/>
                <w:color w:val="auto"/>
              </w:rPr>
            </w:pP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0" w:type="dxa"/>
            <w:vAlign w:val="bottom"/>
            <w:vMerge w:val="restart"/>
          </w:tcPr>
          <w:p>
            <w:pPr>
              <w:spacing w:after="0"/>
              <w:rPr>
                <w:sz w:val="3"/>
                <w:szCs w:val="3"/>
                <w:color w:val="auto"/>
              </w:rPr>
            </w:pPr>
          </w:p>
        </w:tc>
        <w:tc>
          <w:tcPr>
            <w:tcW w:w="66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3"/>
                <w:szCs w:val="3"/>
                <w:color w:val="auto"/>
              </w:rPr>
            </w:pPr>
          </w:p>
        </w:tc>
        <w:tc>
          <w:tcPr>
            <w:tcW w:w="640" w:type="dxa"/>
            <w:vAlign w:val="bottom"/>
            <w:vMerge w:val="restart"/>
          </w:tcPr>
          <w:p>
            <w:pPr>
              <w:jc w:val="right"/>
              <w:ind w:right="166"/>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3"/>
                <w:szCs w:val="3"/>
                <w:color w:val="auto"/>
              </w:rPr>
            </w:pPr>
          </w:p>
        </w:tc>
        <w:tc>
          <w:tcPr>
            <w:tcW w:w="640" w:type="dxa"/>
            <w:vAlign w:val="bottom"/>
            <w:vMerge w:val="restart"/>
          </w:tcPr>
          <w:p>
            <w:pPr>
              <w:jc w:val="center"/>
              <w:spacing w:after="0" w:line="259" w:lineRule="exact"/>
              <w:rPr>
                <w:sz w:val="20"/>
                <w:szCs w:val="20"/>
                <w:color w:val="auto"/>
              </w:rPr>
            </w:pPr>
            <w:r>
              <w:rPr>
                <w:rFonts w:ascii="Times New Roman" w:cs="Times New Roman" w:eastAsia="Times New Roman" w:hAnsi="Times New Roman"/>
                <w:sz w:val="30"/>
                <w:szCs w:val="30"/>
                <w:b w:val="1"/>
                <w:bCs w:val="1"/>
                <w:color w:val="auto"/>
                <w:w w:val="88"/>
                <w:vertAlign w:val="subscript"/>
              </w:rPr>
              <w:t>($)</w:t>
            </w:r>
            <w:r>
              <w:rPr>
                <w:rFonts w:ascii="Times New Roman" w:cs="Times New Roman" w:eastAsia="Times New Roman" w:hAnsi="Times New Roman"/>
                <w:sz w:val="9"/>
                <w:szCs w:val="9"/>
                <w:b w:val="1"/>
                <w:bCs w:val="1"/>
                <w:color w:val="auto"/>
                <w:w w:val="88"/>
              </w:rPr>
              <w:t>(1)</w:t>
            </w:r>
          </w:p>
        </w:tc>
        <w:tc>
          <w:tcPr>
            <w:tcW w:w="100" w:type="dxa"/>
            <w:vAlign w:val="bottom"/>
          </w:tcPr>
          <w:p>
            <w:pPr>
              <w:spacing w:after="0"/>
              <w:rPr>
                <w:sz w:val="3"/>
                <w:szCs w:val="3"/>
                <w:color w:val="auto"/>
              </w:rPr>
            </w:pPr>
          </w:p>
        </w:tc>
        <w:tc>
          <w:tcPr>
            <w:tcW w:w="1020" w:type="dxa"/>
            <w:vAlign w:val="bottom"/>
            <w:vMerge w:val="restart"/>
          </w:tcPr>
          <w:p>
            <w:pPr>
              <w:jc w:val="center"/>
              <w:spacing w:after="0" w:line="259" w:lineRule="exact"/>
              <w:rPr>
                <w:sz w:val="20"/>
                <w:szCs w:val="20"/>
                <w:color w:val="auto"/>
              </w:rPr>
            </w:pPr>
            <w:r>
              <w:rPr>
                <w:rFonts w:ascii="Times New Roman" w:cs="Times New Roman" w:eastAsia="Times New Roman" w:hAnsi="Times New Roman"/>
                <w:sz w:val="30"/>
                <w:szCs w:val="30"/>
                <w:b w:val="1"/>
                <w:bCs w:val="1"/>
                <w:color w:val="auto"/>
                <w:w w:val="88"/>
                <w:vertAlign w:val="subscript"/>
              </w:rPr>
              <w:t>($)</w:t>
            </w:r>
            <w:r>
              <w:rPr>
                <w:rFonts w:ascii="Times New Roman" w:cs="Times New Roman" w:eastAsia="Times New Roman" w:hAnsi="Times New Roman"/>
                <w:sz w:val="9"/>
                <w:szCs w:val="9"/>
                <w:b w:val="1"/>
                <w:bCs w:val="1"/>
                <w:color w:val="auto"/>
                <w:w w:val="88"/>
              </w:rPr>
              <w:t>(2)</w:t>
            </w:r>
          </w:p>
        </w:tc>
        <w:tc>
          <w:tcPr>
            <w:tcW w:w="100" w:type="dxa"/>
            <w:vAlign w:val="bottom"/>
          </w:tcPr>
          <w:p>
            <w:pPr>
              <w:spacing w:after="0"/>
              <w:rPr>
                <w:sz w:val="3"/>
                <w:szCs w:val="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2"/>
        </w:trPr>
        <w:tc>
          <w:tcPr>
            <w:tcW w:w="1980" w:type="dxa"/>
            <w:vAlign w:val="bottom"/>
            <w:shd w:val="clear" w:color="auto" w:fill="CCEEFF"/>
          </w:tcPr>
          <w:p>
            <w:pPr>
              <w:ind w:left="1260"/>
              <w:spacing w:after="0" w:line="102" w:lineRule="exact"/>
              <w:rPr>
                <w:sz w:val="20"/>
                <w:szCs w:val="20"/>
                <w:color w:val="auto"/>
              </w:rPr>
            </w:pPr>
            <w:r>
              <w:rPr>
                <w:rFonts w:ascii="Times New Roman" w:cs="Times New Roman" w:eastAsia="Times New Roman" w:hAnsi="Times New Roman"/>
                <w:sz w:val="10"/>
                <w:szCs w:val="10"/>
                <w:color w:val="auto"/>
              </w:rPr>
              <w:t>(3)</w:t>
            </w:r>
          </w:p>
        </w:tc>
        <w:tc>
          <w:tcPr>
            <w:tcW w:w="560" w:type="dxa"/>
            <w:vAlign w:val="bottom"/>
            <w:gridSpan w:val="2"/>
            <w:vMerge w:val="restart"/>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2019</w:t>
            </w:r>
          </w:p>
        </w:tc>
        <w:tc>
          <w:tcPr>
            <w:tcW w:w="10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116,058</w:t>
            </w:r>
          </w:p>
        </w:tc>
        <w:tc>
          <w:tcPr>
            <w:tcW w:w="640" w:type="dxa"/>
            <w:vAlign w:val="bottom"/>
            <w:vMerge w:val="restart"/>
            <w:shd w:val="clear" w:color="auto" w:fill="CCEEFF"/>
          </w:tcPr>
          <w:p>
            <w:pPr>
              <w:jc w:val="right"/>
              <w:ind w:right="66"/>
              <w:spacing w:after="0" w:line="129" w:lineRule="exact"/>
              <w:rPr>
                <w:sz w:val="20"/>
                <w:szCs w:val="20"/>
                <w:color w:val="auto"/>
              </w:rPr>
            </w:pPr>
            <w:r>
              <w:rPr>
                <w:rFonts w:ascii="Times New Roman" w:cs="Times New Roman" w:eastAsia="Times New Roman" w:hAnsi="Times New Roman"/>
                <w:sz w:val="13"/>
                <w:szCs w:val="13"/>
                <w:color w:val="auto"/>
              </w:rPr>
              <w:t>25,000</w:t>
            </w:r>
          </w:p>
        </w:tc>
        <w:tc>
          <w:tcPr>
            <w:tcW w:w="8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831,732</w:t>
            </w:r>
          </w:p>
        </w:tc>
        <w:tc>
          <w:tcPr>
            <w:tcW w:w="1120" w:type="dxa"/>
            <w:vAlign w:val="bottom"/>
            <w:gridSpan w:val="2"/>
            <w:vMerge w:val="restart"/>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42,500</w:t>
            </w:r>
          </w:p>
        </w:tc>
        <w:tc>
          <w:tcPr>
            <w:tcW w:w="1040" w:type="dxa"/>
            <w:vAlign w:val="bottom"/>
            <w:vMerge w:val="restart"/>
            <w:shd w:val="clear" w:color="auto" w:fill="CCEEFF"/>
          </w:tcPr>
          <w:p>
            <w:pPr>
              <w:jc w:val="right"/>
              <w:ind w:right="65"/>
              <w:spacing w:after="0" w:line="129" w:lineRule="exact"/>
              <w:rPr>
                <w:sz w:val="20"/>
                <w:szCs w:val="20"/>
                <w:color w:val="auto"/>
              </w:rPr>
            </w:pPr>
            <w:r>
              <w:rPr>
                <w:rFonts w:ascii="Times New Roman" w:cs="Times New Roman" w:eastAsia="Times New Roman" w:hAnsi="Times New Roman"/>
                <w:sz w:val="13"/>
                <w:szCs w:val="13"/>
                <w:color w:val="auto"/>
              </w:rPr>
              <w:t>12,665</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1,027,955</w:t>
            </w:r>
          </w:p>
        </w:tc>
        <w:tc>
          <w:tcPr>
            <w:tcW w:w="0" w:type="dxa"/>
            <w:vAlign w:val="bottom"/>
          </w:tcPr>
          <w:p>
            <w:pPr>
              <w:spacing w:after="0"/>
              <w:rPr>
                <w:sz w:val="1"/>
                <w:szCs w:val="1"/>
                <w:color w:val="auto"/>
              </w:rPr>
            </w:pPr>
          </w:p>
        </w:tc>
      </w:tr>
      <w:tr>
        <w:trPr>
          <w:trHeight w:val="27"/>
        </w:trPr>
        <w:tc>
          <w:tcPr>
            <w:tcW w:w="1980" w:type="dxa"/>
            <w:vAlign w:val="bottom"/>
            <w:shd w:val="clear" w:color="auto" w:fill="CCEEFF"/>
          </w:tcPr>
          <w:p>
            <w:pPr>
              <w:spacing w:after="0" w:line="27" w:lineRule="exact"/>
              <w:rPr>
                <w:sz w:val="20"/>
                <w:szCs w:val="20"/>
                <w:color w:val="auto"/>
              </w:rPr>
            </w:pPr>
            <w:r>
              <w:rPr>
                <w:rFonts w:ascii="Times New Roman" w:cs="Times New Roman" w:eastAsia="Times New Roman" w:hAnsi="Times New Roman"/>
                <w:sz w:val="3"/>
                <w:szCs w:val="3"/>
                <w:color w:val="auto"/>
              </w:rPr>
              <w:t>Jason Meyenburg</w:t>
            </w:r>
          </w:p>
        </w:tc>
        <w:tc>
          <w:tcPr>
            <w:tcW w:w="560" w:type="dxa"/>
            <w:vAlign w:val="bottom"/>
            <w:gridSpan w:val="2"/>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gridSpan w:val="2"/>
            <w:vMerge w:val="continue"/>
            <w:shd w:val="clear" w:color="auto" w:fill="CCEEFF"/>
          </w:tcPr>
          <w:p>
            <w:pPr>
              <w:spacing w:after="0"/>
              <w:rPr>
                <w:sz w:val="2"/>
                <w:szCs w:val="2"/>
                <w:color w:val="auto"/>
              </w:rPr>
            </w:pPr>
          </w:p>
        </w:tc>
        <w:tc>
          <w:tcPr>
            <w:tcW w:w="640" w:type="dxa"/>
            <w:vAlign w:val="bottom"/>
            <w:vMerge w:val="continue"/>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gridSpan w:val="2"/>
            <w:vMerge w:val="continue"/>
            <w:shd w:val="clear" w:color="auto" w:fill="CCEEFF"/>
          </w:tcPr>
          <w:p>
            <w:pPr>
              <w:spacing w:after="0"/>
              <w:rPr>
                <w:sz w:val="2"/>
                <w:szCs w:val="2"/>
                <w:color w:val="auto"/>
              </w:rPr>
            </w:pPr>
          </w:p>
        </w:tc>
        <w:tc>
          <w:tcPr>
            <w:tcW w:w="1120" w:type="dxa"/>
            <w:vAlign w:val="bottom"/>
            <w:gridSpan w:val="2"/>
            <w:vMerge w:val="continue"/>
            <w:shd w:val="clear" w:color="auto" w:fill="CCEEFF"/>
          </w:tcPr>
          <w:p>
            <w:pPr>
              <w:spacing w:after="0"/>
              <w:rPr>
                <w:sz w:val="2"/>
                <w:szCs w:val="2"/>
                <w:color w:val="auto"/>
              </w:rPr>
            </w:pPr>
          </w:p>
        </w:tc>
        <w:tc>
          <w:tcPr>
            <w:tcW w:w="1040" w:type="dxa"/>
            <w:vAlign w:val="bottom"/>
            <w:vMerge w:val="continue"/>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President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Scott Lauder</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320,500</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117,800</w:t>
            </w:r>
          </w:p>
        </w:tc>
        <w:tc>
          <w:tcPr>
            <w:tcW w:w="1040" w:type="dxa"/>
            <w:vAlign w:val="bottom"/>
          </w:tcPr>
          <w:p>
            <w:pPr>
              <w:jc w:val="right"/>
              <w:ind w:right="65"/>
              <w:spacing w:after="0"/>
              <w:rPr>
                <w:sz w:val="20"/>
                <w:szCs w:val="20"/>
                <w:color w:val="auto"/>
              </w:rPr>
            </w:pPr>
            <w:r>
              <w:rPr>
                <w:rFonts w:ascii="Times New Roman" w:cs="Times New Roman" w:eastAsia="Times New Roman" w:hAnsi="Times New Roman"/>
                <w:sz w:val="18"/>
                <w:szCs w:val="18"/>
                <w:color w:val="auto"/>
              </w:rPr>
              <w:t>3,439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441,739</w:t>
            </w:r>
          </w:p>
        </w:tc>
        <w:tc>
          <w:tcPr>
            <w:tcW w:w="0" w:type="dxa"/>
            <w:vAlign w:val="bottom"/>
          </w:tcPr>
          <w:p>
            <w:pPr>
              <w:spacing w:after="0"/>
              <w:rPr>
                <w:sz w:val="1"/>
                <w:szCs w:val="1"/>
                <w:color w:val="auto"/>
              </w:rPr>
            </w:pPr>
          </w:p>
        </w:tc>
      </w:tr>
      <w:tr>
        <w:trPr>
          <w:trHeight w:val="238"/>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Technology</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6" w:lineRule="auto"/>
        <w:tabs>
          <w:tab w:leader="none" w:pos="972"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“Option Awards” column reflect the aggregate grant date fair value of stock options awarded during 2019 computed in accordance with the provisions of Financial Accounting Standards Board Accounting Standards Codification Topic 718. See Note 9 to our financial statements appearing elsewhere in this proxy statement/prospectus regarding assumptions underlying the valuation of equity awards.</w:t>
      </w:r>
    </w:p>
    <w:p>
      <w:pPr>
        <w:spacing w:after="0" w:line="2"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972"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annual payments made to our named executive officers in cash in March 2020 for performance in 2019.</w:t>
      </w:r>
    </w:p>
    <w:p>
      <w:pPr>
        <w:ind w:left="880" w:right="459" w:hanging="426"/>
        <w:spacing w:after="0" w:line="264" w:lineRule="auto"/>
        <w:tabs>
          <w:tab w:leader="none" w:pos="961"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Meyenburg was appointed our Chief Executive Officer and President effective as of September 23, 2019. His annualized base salary for 2019 was $425,000.</w:t>
      </w:r>
    </w:p>
    <w:p>
      <w:pPr>
        <w:jc w:val="both"/>
        <w:ind w:left="880" w:right="479" w:hanging="426"/>
        <w:spacing w:after="0" w:line="264" w:lineRule="auto"/>
        <w:tabs>
          <w:tab w:leader="none" w:pos="941"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one-time signing bonus payable to Mr. Meyenburg pursuant to the terms of his offer letter agreement with Gemini. Such sign-on bonus was subject to repayment in full in the event that Mr. Meyenburg’s employment with us was terminated by him other than for good reason (as defined in his offer letter agreement) or by us for cause (as defined in his offer letter agreement) within twelve months of his start date.</w:t>
      </w:r>
    </w:p>
    <w:p>
      <w:pPr>
        <w:ind w:left="880" w:right="479" w:hanging="426"/>
        <w:spacing w:after="0" w:line="288" w:lineRule="auto"/>
        <w:tabs>
          <w:tab w:leader="none" w:pos="1105"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payment of $12,498 for a living expense allowance to facilitate Mr. Meyenburg’s relocation to Cambridge, Massachusetts pursuant to the term of his offer letter agreement with Gemini.</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3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0" w:name="page181"/>
    <w:bookmarkEnd w:id="1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account individual responsibilities, performance and experience. For the year ended December 31, 2019, the annual base salaries for each of Mr. Meyenburg and Dr. Lauder were $425,000 and $320,500,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Bonuses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pay cash bonuses to reward our executives for their performance over the fiscal year, based on goals established by our board of directors. For 2019, the target bonus for Mr. Meyenburg was equal to 40% percent of his base salary with any bonus payable prorated from his start date. The target bonus for Dr. Lauder for 2019 was 35% percent of his base salary.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Although we do not yet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During the year ended December 31, 2019, we granted options to purchase shares of our common stock to Mr. Meyenburg, as described in more detail in the “Outstanding equity awards at 2019 fiscal year-end” table.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arrangements and severance agreements with our named executive officers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entered into offer letter agreements with each of our named executive officers in connection with the commencement of their employment with us, the material terms of which summarized below.</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Mr. Meyenburg</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entered into an offer letter agreement with Mr. Meyenburg, dated August 27, 2019, pursuant to which we employ Mr. Meyenburg as our President and Chief Executive Officer. The offer letter agreement also provides for Mr. Meyenburg to serve as a member of our board of directors for as long as he is employed as our Chief Executive Officer. The employment of Mr. Meyenburg is “at will” and the agreement endures until terminated by either party.</w:t>
      </w:r>
    </w:p>
    <w:p>
      <w:pPr>
        <w:spacing w:after="0" w:line="10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Mr. Meyenburg’s current annual base salary is $437,800, which is subject to periodic review and adjustment. Pursuant to the offer letter agreement, Mr. Meyenburg is eligible to receive to an annual bonus targeted at 40% of his annual base salary, which amount may be adjusted by Gemini at its sole discretion. The actual amount of the bonus is determined by the board of directors based on its assessment of the performance of Mr. Meyenburg and that of the Company against pre-established goals determined by our board of directors. Under the offer letter agreement, we also paid Mr. Meyenburg a signing bonus of $25,000, which was subject to repayment in full in the event that Mr. Meyenburg resigned without “good reason” (as such term is defined in his offer letter agreement) or we terminated Mr. Meyenburg’s employment for “cause” (as such term is defined in his offer letter agreement) in either case within one year of his start date. Mr. Meyenburg was required relocate his primary residence to Cambridge, Massachusetts within one year of his start date. To facilitate such relocation and transition, we provided Mr. Meyenburg with a living expense allowance equal to $4,166 per month until he was able to relocate to Cambridge Massachusetts for up to a maximum of twelve months following his start date.</w:t>
      </w:r>
    </w:p>
    <w:p>
      <w:pPr>
        <w:spacing w:after="0" w:line="12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7"/>
          <w:szCs w:val="17"/>
          <w:color w:val="auto"/>
        </w:rPr>
        <w:t>In the event Mr. Meyenburg’s employment is terminated without cause or he resigns for good reason, in either event within the twelve month period immediate following a “sale event” (as such term is defined in the 2017 Plan), any then outstanding time-based equity awards shall accelerate and become fully vested as of the date of termination. In addition, in the event Mr. Meyenburg’s employment is terminated without cause or he resigns for good reason at any time, subject to his execution and non-revocation of a separation agreement, including a general release of claims in our favor (and, in Gemini’s sole discretion, a one-year post-employment noncompetition agreement), Mr. Meyenburg is entitled to the following termination payments: (a) continuation of base salary for twelve months, which we refer to as the Salary Continuation Period (provided, that in the event that Mr. Meyenburg is entitled to any payments pursuant to his Employee Confidentiality, Assignment and Noncompetition Agreement with us, such base salary continuation payments in any calendar year will be reduced by the amount that Mr. Meyenburg is paid in the same calendar year pursuant to the restrictive covenant agreement); and (b) if Mr. Meyenburg elects to continue his health benefits through COBRA, continued group health benefits with the cost of monthly COBRA premiums shared in the same relative proportion as in effect on his termination date until the earlier of: (i) the end of the Salary Continuation Period; or (ii) the date Mr. Meyenburg becomes eligible for health insurance through another employer or otherwise becomes</w:t>
      </w:r>
    </w:p>
    <w:p>
      <w:pPr>
        <w:sectPr>
          <w:pgSz w:w="11900" w:h="16838" w:orient="portrait"/>
          <w:cols w:equalWidth="0" w:num="1">
            <w:col w:w="9019"/>
          </w:cols>
          <w:pgMar w:left="1440" w:top="270" w:right="1440"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1" w:name="page182"/>
    <w:bookmarkEnd w:id="1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ineligible for COBRA. Payment of the severance payments under the offer letter agreement shall cease in the event that Mr. Meyenburg breaches his obligations under the Employee Confidentiality, Assignment and Noncompetition Agreement entered into with us.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Mr. Meyenburg has also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Dr. Lauder</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entered into an offer letter agreement with Dr. Lauder dated September 12, 2016. The employment of Dr. Lauder is “at will” and the agreement endures until terminated by either party. Dr. Lauder’s current annual base salary is $355,000, which is subject to periodic review and adjustment. Under the terms of the offer letter agreement, Dr. Lauder is eligible to participate in any annual bonus programs as may be established from time to time by our board of directors. Under such bonus programs, Dr. Lauder is eligible to receive an annual bonus targeted at 35% of his annual base salary.</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the event Dr. Lauder’s employment is terminated without “cause” (as such term is defined in his offer letter agreement) or he resigns for “good reason” (as such term is defined in his offer letter agreement) or his employment terminates due to his death or “disability” (as such term is defined in his offer letter agreement), subject to his execution and non-revocation of a general release of claims in our favor, Dr. Lauder is entitled to the following: (a) continuation of base salary for twelve months, which we refer to as the Salary Continuation Period; and (b) monthly COBRA premiums paid by us until the earlier of: (i) the end of the Salary Continuation Period; or (ii) the date Dr. Lauder becomes eligible for health insurance through another employer.</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Dr. Lauder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Outstanding equity awards at 2019 fiscal year-end</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our named executive officers as of December 31, 2019. Unless otherwise noted, all equity awards set forth in the table below were granted under our 2017 Plan.</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47"/>
        </w:trPr>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Market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of shares</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or units</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shares or</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of stock</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units of</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that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 that</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Vesting</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commencement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options (#)</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expiration</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vested</w:t>
            </w:r>
          </w:p>
        </w:tc>
        <w:tc>
          <w:tcPr>
            <w:tcW w:w="0" w:type="dxa"/>
            <w:vAlign w:val="bottom"/>
          </w:tcPr>
          <w:p>
            <w:pPr>
              <w:spacing w:after="0"/>
              <w:rPr>
                <w:sz w:val="1"/>
                <w:szCs w:val="1"/>
                <w:color w:val="auto"/>
              </w:rPr>
            </w:pPr>
          </w:p>
        </w:tc>
      </w:tr>
      <w:tr>
        <w:trPr>
          <w:trHeight w:val="255"/>
        </w:trPr>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2"/>
                <w:szCs w:val="22"/>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8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9/23/2019</w:t>
            </w:r>
            <w:r>
              <w:rPr>
                <w:rFonts w:ascii="Times New Roman" w:cs="Times New Roman" w:eastAsia="Times New Roman" w:hAnsi="Times New Roman"/>
                <w:sz w:val="20"/>
                <w:szCs w:val="20"/>
                <w:color w:val="auto"/>
                <w:vertAlign w:val="superscript"/>
              </w:rPr>
              <w:t>(2)</w:t>
            </w: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2,690,239</w:t>
            </w: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11/12/2029</w:t>
            </w:r>
          </w:p>
        </w:tc>
        <w:tc>
          <w:tcPr>
            <w:tcW w:w="80" w:type="dxa"/>
            <w:vAlign w:val="bottom"/>
            <w:tcBorders>
              <w:top w:val="single" w:sz="8" w:color="CCEEFF"/>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Lauder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11/5/2017</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156,806</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156,800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8/28/2028</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166,250</w:t>
            </w:r>
            <w:r>
              <w:rPr>
                <w:rFonts w:ascii="Times New Roman" w:cs="Times New Roman" w:eastAsia="Times New Roman" w:hAnsi="Times New Roman"/>
                <w:sz w:val="20"/>
                <w:szCs w:val="20"/>
                <w:color w:val="auto"/>
                <w:vertAlign w:val="superscript"/>
              </w:rPr>
              <w:t>(4)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78,138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901"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fair market value of our common stock as of December 31, 2019 of $0.47 as determined by the Gemini board of directors, after consideration of relevant factors, including third-party valuation report.</w:t>
      </w:r>
    </w:p>
    <w:p>
      <w:pPr>
        <w:jc w:val="both"/>
        <w:ind w:left="880" w:right="459" w:hanging="426"/>
        <w:spacing w:after="0" w:line="264" w:lineRule="auto"/>
        <w:tabs>
          <w:tab w:leader="none" w:pos="886"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this stock option vest over four years with 25% of the shares vesting on the first anniversary of the vesting commencement date, and the remaining shares vesting in 36 equal monthly installments thereafter, subject to Mr. Meyenburg’s continued service. In the event that Mr. Meyenburg’s employment is terminated without cause or he resigns for good reason within 12 months following a “sale event” (as such term is defined in the 2017 Plan), the vesting of this stock option will fully accelerate.</w:t>
      </w:r>
    </w:p>
    <w:p>
      <w:pPr>
        <w:ind w:left="880" w:right="479" w:hanging="426"/>
        <w:spacing w:after="0" w:line="264" w:lineRule="auto"/>
        <w:tabs>
          <w:tab w:leader="none" w:pos="919"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this stock option vest in 16 equal quarterly installments over the four years following vesting commencement date, subject to Dr. Lauder’s continued service, subject to full acceleration on a change of control.</w:t>
      </w:r>
    </w:p>
    <w:p>
      <w:pPr>
        <w:jc w:val="both"/>
        <w:ind w:left="880" w:right="479" w:hanging="426"/>
        <w:spacing w:after="0" w:line="276" w:lineRule="auto"/>
        <w:tabs>
          <w:tab w:leader="none" w:pos="932"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restricted stock award granted on October 26, 2016 for a total of 480,000 shares under our 2015 Plan. The remaining unvested shares vest in four quarterly installments of 6,875 shares through October 10, 2020 and six quarterly installments of 23,125 thereafter through May 16, 2021, subject to full acceleration on a change of control.</w:t>
      </w:r>
    </w:p>
    <w:p>
      <w:pPr>
        <w:sectPr>
          <w:pgSz w:w="11900" w:h="16838" w:orient="portrait"/>
          <w:cols w:equalWidth="0" w:num="1">
            <w:col w:w="9019"/>
          </w:cols>
          <w:pgMar w:left="1440" w:top="270" w:right="1440"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2" w:name="page183"/>
    <w:bookmarkEnd w:id="1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 benefit and equity compensation plans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2017 Stock Option and Grant Plan</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2017 Plan, which as noted in this summary, will terminate at or prior to the Effective Time and contingent on the Closing and no further awards will be granted under our 2017 Plan.</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2017 Plan was initially approved by our board of directors and our stockholders on May 24, 2017 and most recently amended in September 2019 to increase the number of shares available for issuance under the 2017 Plan. Under our 2017 Plan, we have reserved for issuance an aggregate of 11,834,347 shares of our common stock, which number is subject to adjustment in the event of a reorganization, recapitalization, stock dividend, stock split or other similar change in our capital stock.</w:t>
      </w:r>
    </w:p>
    <w:p>
      <w:pPr>
        <w:spacing w:after="0" w:line="116"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shares we issue under our 2017 Plan are authorized but unissued shares or shares we reacquire. The shares of common stock underlying any awards under the 2017 Plan and the 2015 Plan that are forfeited, cancelled, reacquired by us prior to vesting, satisfied without the issuance of common stock or otherwise terminated (other than by exercise) and shares of common stock withheld upon exercise or settlement of an award to cover the exercise price or tax withholding under our 2017 Plan and our 2015 Plan are added back to the shares of common stock available for issuance under our 2017 Plan.</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board of directors has acted as administrator of our 2017 Plan. The administrator has full power to select, from among the individuals eligible for awards, the individuals to whom awards will be granted, and to determine the specific terms and conditions of each award, subject to the provisions of our 2017 Plan. Persons eligible to participate in our 2017 Plan are our full or part time officers, employees, directors, consultants and other key persons as selected from time to time by the administrator in its discretion.</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2017 Plan permits the granting of (1) options to purchase common stock intended to qualify as incentive stock options under Section 422 of the Code and (2) options that do not so qualify. The exercise price of each option is determined by the administrator but may not be less than 100% of the fair market value of the common stock on the date of grant. The term of each option is fixed by the administrator and may not exceed ten years from the date of grant. The administrator determines at what time or times each option may be exercised. In addition, our 2017 Plan permits the granting of restricted shares of common stock, restricted stock units and unrestricted stock.</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Our 2017 Plan provides that upon the occurrence of a “sale event,” as defined in our 2017 Plan, all outstanding stock options will terminate at the effective time of such sale event, unless the parties to the sale event agree that such awards will be assumed or continued by the successor entity. In the event of a termination of our 2017 Plan and all options issued thereunder in connection with a sale event, optionees will be provided an opportunity to exercise options that are then exercisable or will become exercisable as of the effective time of the sale event prior to the consummation of the sale event. In addition, we have the right to provide for cash payment to holders of options, in exchange for the cancellation thereof, in an amount per share equal to the difference between the value of the consideration payable per share of common stock in the sale event and the per share exercise price of such options. In the event of and subject to the consummation of a sale event, restricted stock and restricted stock units (other than those becoming vested as a result of the sale event) will be forfeited immediately prior to the effective time of a sale event unless such awards are assumed or continued by the successor entity. In the event that shares of restricted stock are forfeited in connection with a sale event, such shares of restricted stock shall be repurchased at a price per share equal to the original per share purchase price of such shares. We have the right to provide for cash payment to holders of restricted stock or restricted stock units, in exchange for the cancellation thereof, in an amount per share equal to the value of the consideration payable per share of common stock in the sale event.</w:t>
      </w:r>
    </w:p>
    <w:p>
      <w:pPr>
        <w:spacing w:after="0" w:line="11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board of directors may amend or discontinue the 2017 Plan at any time, subject to stockholder approval where such approval is required by applicable law. The administrator of the 2017 Plan may also amend or cancel any outstanding award, provided that no such amendment or cancellation of an award may adversely affect a participant’s rights without his or her consent. The administrator of the 2017 Plan is specifically authorized to exercise its discretion to reduce the exercise price of outstanding stock options or effect the repricing of such awards through cancellation and re-grants.</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No awards may be granted under our 2017 Plan after the date that is ten years from the date our 2017 Plan was adopted by the board of directors. As of September 30, 2020, options to purchase shares of common stock were outstanding under the 2017 Plan. Our 2017 Plan will terminate at or prior to the Effective Time and contingent on the Closing.</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3" w:name="page184"/>
    <w:bookmarkEnd w:id="1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2015 Employee, Director and Consultant Stock Option Plan</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2015 Plan, which as noted in this summary, will terminate at or prior to the Effective Time and contingent on the Closing and no further awards will be granted under our 2015 Plan.</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2015 Plan, was approved and adopted by our board of directors and stockholders in August 2015. Under the 2015 Plan, we have reserved for issuance an aggregate of 1,350,000 shares of our common stock for the issuance. This number of shares of common stock reserved for issuance is subject to adjustment in the event of a stock split, stock dividend or other change in our capitalization. As of September 30, 2020, options to purchase 905,000 shares of common stock were outstanding under the 2015 Plan. Following the adoption of the 2017 Stock Plan no further awards were made under the 2015 Plan. All outstanding awards under the 2015 Plan continue to be governed by the 2015 Plan.</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2015 Plan are added back to the shares of common stock available for issuance under the 2017 Plan.</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board of directors has acted as administrator of the 2015 Plan. The administrator had full power to select, from among the individuals eligible for awards, the individuals to whom awards will be granted, to make any combination of awards to participants, and to determine the specific terms and conditions of each award, subject to the provisions of our 2015 Plan. Persons eligible to participate in our 2015 Plan were those full or part-time officers, employees, non-employee directors, and consultants as selected from time to time by the administrator in its discretion.</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2015 Plan permitted the granting of both options to purchase common stock intended to qualify as incentive stock options under Section 422 of the Code and options that do not so qualify. The option exercise price of each option was determined by our board of directors but could not be less than 100% of the fair market value of our common stock on the date of grant. The term of each option was fixed by our board of directors and could not exceed ten years from the date of grant. Our board of directors determined at what time or times each option could be exercised. In addition, our 2015 Plan permitted awards of common stock and stock rights, in each case subject to such conditions and restrictions as determined by our board of directors in its discretion. These conditions and restrictions could have included the achievement of certain performance goals and/or continued employment with us through a specified vesting period.</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2015 Plan provides that upon the effectiveness of a “corporate transaction” (as defined in our 2015 Plan), the board of directors shall: (i) make appropriate provision for the continuation of stock options by substituting on an equitable basis for the shares then subject to such options either the consideration payable with respect to the outstanding shares of common stock in connection with the corporate transaction or securities of any successor or acquiring entity; (ii) upon written notice to the participants, provide that stock options must be exercised (either (A) to the extent then exercisable or, (B) at the discretion of the board of directors, in full or in part), within a specified number of days of the date of such notice, at the end of which period such options that have not been exercised shall terminate; or (iii) terminate options in exchange for payment of an amount equal to the consideration payable upon consummation of such corporate transaction to a holder of the number of shares of common stock for which such option was exercisable (either (A) to the extent then exercisable or, (B) at the discretion of the Administrator, in full or in part) less the aggregate exercise price thereof.</w:t>
      </w:r>
    </w:p>
    <w:p>
      <w:pPr>
        <w:spacing w:after="0" w:line="111"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Our board of directors or stockholders may amend our 2015 Plan and, our board of directors may discontinue the 2015 Plan. Our board of directors may amend outstanding award agreements under the 2015 Plan , but no such action may adversely affect a participant’s rights under an award without his or her consent. Our board of directors is specifically authorized to exercise its discretion to reduce the exercise price of outstanding stock options under the 2015 Plan. Certain amendments to our 2015 Plan require the approval of our stockholders.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Our 2015 Plan provides that no awards may be granted under our 2015 Plan after the date that is ten years from the date the board approved our 2015 Plan. However, following adoption of the 2017 Stock Plan, our board of directors determined not to make any further awards under our 2015 Plan.</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Our 2015 Plan will terminate at or prior to the Effective Time and contingent on the Closing and no further awards will be granted under our 2015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maintain a tax-qualified retirement plan, or the 401(k) Plan, that provides eligible U.S. employees with an opportunity to save for retirement on a tax advantaged basis.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During the fiscal year ended December 31, 2019, we did not pay any compensation, make any equity awards to, or pay any other compensation to any of the non-employee members of our board of directors who will serve as a director of the Combined Entity following the business combination and, accordingly, we have omitted the 2019 Director Compensation Table. Jason Meyenburg, our President and Chief Executive Officer, did not receive any compensation for his service as a member of our board of directors during 2019. Mr. Meyenburg’s compensation for service as an employee for fiscal year 2019 is presented in “Executive compensation — 2019 Summary compensation table.” We reimburse non-employee members of our board of directors for reasonable travel expenses.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Prior to the Closing, our board of directors plans to adopt a non-employee director compensation policy, that is designed to enable us to attract and retain, on a long-term basis, highly qualified non-employee directors. Under the policy, each director who is not an employee will be paid cash compensation following the Closing, as set forth below:</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Annual</w:t>
            </w:r>
          </w:p>
        </w:tc>
      </w:tr>
      <w:tr>
        <w:trPr>
          <w:trHeight w:val="212"/>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Retainer</w:t>
            </w:r>
          </w:p>
        </w:tc>
      </w:tr>
      <w:tr>
        <w:trPr>
          <w:trHeight w:val="46"/>
        </w:trPr>
        <w:tc>
          <w:tcPr>
            <w:tcW w:w="68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Chair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41"/>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19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each non-employee elected or appointed to our board of directors following the closing of the Business Combination will be granted a one-time stock option award to purchase a number of shares of Common Stock equal to 0.8% of the total shares outstanding on the date of such director’s election or appointment to the board of directors, which will vest in equal monthly installments over three years, subject to continued service through such vesting dates (such grants will be made no earlier than following the effectiveness of the filing with the SEC of a registration statement on Form S-8 covering the Common Stock). On the date of each annual meeting of stockholders of our company, each non-employee director will be granted an annual stock option award to purchase a number of shares of Common Stock equal to 0.4% of the total shares outstanding, which will vest in full of the earlier to occur of the first anniversary of the date of grant or the next annual meeting, subject to continued service as a director through such vesting date.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AFTER THE BUSINESS COMBINATION</w:t>
      </w:r>
    </w:p>
    <w:p>
      <w:pPr>
        <w:spacing w:after="0" w:line="227" w:lineRule="exact"/>
        <w:rPr>
          <w:sz w:val="20"/>
          <w:szCs w:val="20"/>
          <w:color w:val="auto"/>
        </w:rPr>
      </w:pPr>
    </w:p>
    <w:p>
      <w:pPr>
        <w:jc w:val="both"/>
        <w:ind w:left="460" w:right="459"/>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to “we”, “us” and “our” generally refer to FS Development in the present tense or the Combined Entity from and after the Business Combination</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following persons are expected to serve as executive officers and directors following the Business Combination. For biographical information concerning the Gemini executive officers and Gemini designees to the board of directors, see “</w:t>
      </w:r>
      <w:r>
        <w:rPr>
          <w:rFonts w:ascii="Times New Roman" w:cs="Times New Roman" w:eastAsia="Times New Roman" w:hAnsi="Times New Roman"/>
          <w:sz w:val="18"/>
          <w:szCs w:val="18"/>
          <w:i w:val="1"/>
          <w:iCs w:val="1"/>
          <w:color w:val="auto"/>
        </w:rPr>
        <w:t>Executive Officers and Directors of Gemini</w:t>
      </w:r>
      <w:r>
        <w:rPr>
          <w:rFonts w:ascii="Times New Roman" w:cs="Times New Roman" w:eastAsia="Times New Roman" w:hAnsi="Times New Roman"/>
          <w:sz w:val="18"/>
          <w:szCs w:val="18"/>
          <w:color w:val="auto"/>
        </w:rPr>
        <w:t>.” For biographical information concerning the FS Development designee to the board of directors see “</w:t>
      </w:r>
      <w:r>
        <w:rPr>
          <w:rFonts w:ascii="Times New Roman" w:cs="Times New Roman" w:eastAsia="Times New Roman" w:hAnsi="Times New Roman"/>
          <w:sz w:val="18"/>
          <w:szCs w:val="18"/>
          <w:i w:val="1"/>
          <w:iCs w:val="1"/>
          <w:color w:val="auto"/>
        </w:rPr>
        <w:t>Executive Officers and Directors of FS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w:t>
      </w:r>
      <w:r>
        <w:rPr>
          <w:rFonts w:ascii="Times New Roman" w:cs="Times New Roman" w:eastAsia="Times New Roman" w:hAnsi="Times New Roman"/>
          <w:sz w:val="18"/>
          <w:szCs w:val="18"/>
          <w:color w:val="auto"/>
        </w:rPr>
        <w:t>.”</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00" w:type="dxa"/>
            <w:vAlign w:val="bottom"/>
          </w:tcPr>
          <w:p>
            <w:pPr>
              <w:spacing w:after="0"/>
              <w:rPr>
                <w:sz w:val="20"/>
                <w:szCs w:val="20"/>
                <w:color w:val="auto"/>
              </w:rPr>
            </w:pPr>
          </w:p>
        </w:tc>
        <w:tc>
          <w:tcPr>
            <w:tcW w:w="442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4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1"/>
        </w:trPr>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63"/>
        </w:trPr>
        <w:tc>
          <w:tcPr>
            <w:tcW w:w="3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Lauder, Ph.D.</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5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4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Uknis, M.D.</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40"/>
        </w:trPr>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8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George</w:t>
            </w:r>
            <w:r>
              <w:rPr>
                <w:rFonts w:ascii="Times New Roman" w:cs="Times New Roman" w:eastAsia="Times New Roman" w:hAnsi="Times New Roman"/>
                <w:sz w:val="20"/>
                <w:szCs w:val="20"/>
                <w:color w:val="auto"/>
                <w:vertAlign w:val="superscript"/>
              </w:rPr>
              <w:t>(1)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Gordon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8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Lubner</w:t>
            </w:r>
            <w:r>
              <w:rPr>
                <w:rFonts w:ascii="Times New Roman" w:cs="Times New Roman" w:eastAsia="Times New Roman" w:hAnsi="Times New Roman"/>
                <w:sz w:val="20"/>
                <w:szCs w:val="20"/>
                <w:color w:val="auto"/>
                <w:vertAlign w:val="superscript"/>
              </w:rPr>
              <w:t>(1)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Tuyen Ong, M.D., MRCOphth</w:t>
            </w:r>
            <w:r>
              <w:rPr>
                <w:rFonts w:ascii="Times New Roman" w:cs="Times New Roman" w:eastAsia="Times New Roman" w:hAnsi="Times New Roman"/>
                <w:sz w:val="20"/>
                <w:szCs w:val="20"/>
                <w:color w:val="auto"/>
                <w:vertAlign w:val="superscript"/>
              </w:rPr>
              <w:t>(1)</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Rhodes</w:t>
            </w:r>
            <w:r>
              <w:rPr>
                <w:rFonts w:ascii="Times New Roman" w:cs="Times New Roman" w:eastAsia="Times New Roman" w:hAnsi="Times New Roman"/>
                <w:sz w:val="20"/>
                <w:szCs w:val="20"/>
                <w:color w:val="auto"/>
                <w:vertAlign w:val="superscript"/>
              </w:rPr>
              <w:t>(1)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91"/>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Tananbaum</w:t>
            </w:r>
            <w:r>
              <w:rPr>
                <w:rFonts w:ascii="Times New Roman" w:cs="Times New Roman" w:eastAsia="Times New Roman" w:hAnsi="Times New Roman"/>
                <w:sz w:val="20"/>
                <w:szCs w:val="20"/>
                <w:color w:val="auto"/>
                <w:vertAlign w:val="superscript"/>
              </w:rPr>
              <w:t>(2)</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Designee</w:t>
      </w:r>
    </w:p>
    <w:p>
      <w:pPr>
        <w:spacing w:after="0" w:line="26"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Designee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Combined Entity’s board of directors will consist of seven members upon the closing of the Business Combination.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89"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Class I directors will be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their terms will expire at the annual meeting</w:t>
            </w:r>
          </w:p>
        </w:tc>
      </w:tr>
      <w:tr>
        <w:trPr>
          <w:trHeight w:val="234"/>
        </w:trPr>
        <w:tc>
          <w:tcPr>
            <w:tcW w:w="240" w:type="dxa"/>
            <w:vAlign w:val="bottom"/>
          </w:tcPr>
          <w:p>
            <w:pPr>
              <w:spacing w:after="0"/>
              <w:rPr>
                <w:sz w:val="20"/>
                <w:szCs w:val="20"/>
                <w:color w:val="auto"/>
              </w:rPr>
            </w:pPr>
          </w:p>
        </w:tc>
        <w:tc>
          <w:tcPr>
            <w:tcW w:w="27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of stockholders to be held in 2021;</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33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Class II directors will be</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and , and their terms will expire at the annual meeting of</w:t>
            </w:r>
          </w:p>
        </w:tc>
      </w:tr>
      <w:tr>
        <w:trPr>
          <w:trHeight w:val="234"/>
        </w:trPr>
        <w:tc>
          <w:tcPr>
            <w:tcW w:w="240" w:type="dxa"/>
            <w:vAlign w:val="bottom"/>
          </w:tcPr>
          <w:p>
            <w:pPr>
              <w:spacing w:after="0"/>
              <w:rPr>
                <w:sz w:val="20"/>
                <w:szCs w:val="20"/>
                <w:color w:val="auto"/>
              </w:rPr>
            </w:pPr>
          </w:p>
        </w:tc>
        <w:tc>
          <w:tcPr>
            <w:tcW w:w="3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stockholders to be held in 2022; and</w:t>
            </w:r>
          </w:p>
        </w:tc>
        <w:tc>
          <w:tcPr>
            <w:tcW w:w="92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31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Class III directors will be ,</w:t>
            </w:r>
          </w:p>
        </w:tc>
        <w:tc>
          <w:tcPr>
            <w:tcW w:w="300" w:type="dxa"/>
            <w:vAlign w:val="bottom"/>
          </w:tcPr>
          <w:p>
            <w:pPr>
              <w:spacing w:after="0"/>
              <w:rPr>
                <w:sz w:val="24"/>
                <w:szCs w:val="24"/>
                <w:color w:val="auto"/>
              </w:rPr>
            </w:pPr>
          </w:p>
        </w:tc>
        <w:tc>
          <w:tcPr>
            <w:tcW w:w="4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and , and their terms will expire at the annual meeting of</w:t>
            </w:r>
          </w:p>
        </w:tc>
      </w:tr>
      <w:tr>
        <w:trPr>
          <w:trHeight w:val="234"/>
        </w:trPr>
        <w:tc>
          <w:tcPr>
            <w:tcW w:w="240" w:type="dxa"/>
            <w:vAlign w:val="bottom"/>
          </w:tcPr>
          <w:p>
            <w:pPr>
              <w:spacing w:after="0"/>
              <w:rPr>
                <w:sz w:val="20"/>
                <w:szCs w:val="20"/>
                <w:color w:val="auto"/>
              </w:rPr>
            </w:pPr>
          </w:p>
        </w:tc>
        <w:tc>
          <w:tcPr>
            <w:tcW w:w="2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 to be held in 2023.</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500" w:type="dxa"/>
            <w:vAlign w:val="bottom"/>
          </w:tcPr>
          <w:p>
            <w:pPr>
              <w:spacing w:after="0"/>
              <w:rPr>
                <w:sz w:val="20"/>
                <w:szCs w:val="20"/>
                <w:color w:val="auto"/>
              </w:rPr>
            </w:pPr>
          </w:p>
        </w:tc>
      </w:tr>
    </w:tbl>
    <w:p>
      <w:pPr>
        <w:spacing w:after="0" w:line="13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the board of directors into three classes with staggered three-year terms may delay or prevent a change of our management or a change in control.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Combined Entity’s board of directors will have the authority to appoint committees to perform certain management and administration functions. FS Development’s current board of directors has established an audit committee, a compensation committee, and a nominating and corporate governance committee. The composition and responsibilities of each committee are described below. Members will serve on these committees until their resignation or until otherwise determined by the board of directors. Following the Closing, the charters for each of these committees will be available on Gemini’s website at </w:t>
      </w:r>
      <w:r>
        <w:rPr>
          <w:rFonts w:ascii="Times New Roman" w:cs="Times New Roman" w:eastAsia="Times New Roman" w:hAnsi="Times New Roman"/>
          <w:sz w:val="18"/>
          <w:szCs w:val="18"/>
          <w:i w:val="1"/>
          <w:iCs w:val="1"/>
          <w:color w:val="auto"/>
        </w:rPr>
        <w:t>www.geminitherapeutics.com</w:t>
      </w:r>
      <w:r>
        <w:rPr>
          <w:rFonts w:ascii="Times New Roman" w:cs="Times New Roman" w:eastAsia="Times New Roman" w:hAnsi="Times New Roman"/>
          <w:sz w:val="18"/>
          <w:szCs w:val="18"/>
          <w:color w:val="auto"/>
        </w:rPr>
        <w:t>. Information contained on or accessible through Gemini’s website is not a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proxy statement/prospectus, and the inclusion of such website address in this proxy statement/prospectus is an inactive textual reference only.</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6" w:name="page187"/>
    <w:bookmarkEnd w:id="1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48" w:lineRule="exact"/>
        <w:rPr>
          <w:sz w:val="20"/>
          <w:szCs w:val="20"/>
          <w:color w:val="auto"/>
        </w:rPr>
      </w:pPr>
    </w:p>
    <w:p>
      <w:pPr>
        <w:ind w:left="460"/>
        <w:spacing w:after="0"/>
        <w:tabs>
          <w:tab w:leader="none" w:pos="5820" w:val="left"/>
          <w:tab w:leader="none" w:pos="6520" w:val="left"/>
          <w:tab w:leader="none" w:pos="7360" w:val="left"/>
        </w:tabs>
        <w:rPr>
          <w:sz w:val="20"/>
          <w:szCs w:val="20"/>
          <w:color w:val="auto"/>
        </w:rPr>
      </w:pPr>
      <w:r>
        <w:rPr>
          <w:rFonts w:ascii="Times New Roman" w:cs="Times New Roman" w:eastAsia="Times New Roman" w:hAnsi="Times New Roman"/>
          <w:sz w:val="18"/>
          <w:szCs w:val="18"/>
          <w:color w:val="auto"/>
        </w:rPr>
        <w:t>The Combined Entity’s audit committee is expected to consist of</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 The Board has</w:t>
      </w:r>
    </w:p>
    <w:p>
      <w:pPr>
        <w:spacing w:after="0" w:line="2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determined each proposed member is independent under the listing standards and Rule 10A-3(b)(1) of the Exchange Act. The chairperson of the audit committee is expected to be David Lubner. The Board has determined that David Lubner is an “audit committee financial expert” within the meaning of SEC regulations. The Board has also determined that each member of the proposed audit committee has the requisite financial expertise required under the applicable requirements of the Nasdaq Stock Market. In arriving at this determination, the board of directors has examined each audit committee member’s scope of experience and the nature of their employment in the corporate finance sector.</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the board of directors with respect to our accounting, financial, and other reporting and internal control practices and to oversee our independent registered accounting firm. Specific responsibilities of our audit committee include:</w:t>
      </w:r>
    </w:p>
    <w:p>
      <w:pPr>
        <w:spacing w:after="0" w:line="108" w:lineRule="exact"/>
        <w:rPr>
          <w:sz w:val="20"/>
          <w:szCs w:val="20"/>
          <w:color w:val="auto"/>
        </w:rPr>
      </w:pPr>
    </w:p>
    <w:p>
      <w:pPr>
        <w:ind w:left="1320" w:right="479" w:hanging="434"/>
        <w:spacing w:after="0" w:line="282" w:lineRule="auto"/>
        <w:tabs>
          <w:tab w:leader="none" w:pos="136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the Combined Entity’s financial statements;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2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risk assessment and risk management;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8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the Combined Entity’s internal quality-control procedures, any material issues with such procedures, and any steps taken to deal with such issues when required by applicable law; and</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ind w:left="460"/>
        <w:spacing w:after="0"/>
        <w:tabs>
          <w:tab w:leader="none" w:pos="5020" w:val="left"/>
          <w:tab w:leader="none" w:pos="5680" w:val="left"/>
          <w:tab w:leader="none" w:pos="6520" w:val="left"/>
        </w:tabs>
        <w:rPr>
          <w:sz w:val="20"/>
          <w:szCs w:val="20"/>
          <w:color w:val="auto"/>
        </w:rPr>
      </w:pPr>
      <w:r>
        <w:rPr>
          <w:rFonts w:ascii="Times New Roman" w:cs="Times New Roman" w:eastAsia="Times New Roman" w:hAnsi="Times New Roman"/>
          <w:sz w:val="18"/>
          <w:szCs w:val="18"/>
          <w:color w:val="auto"/>
        </w:rPr>
        <w:t>The compensation committee is expected to consist of</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 The Board has determined</w:t>
      </w:r>
    </w:p>
    <w:p>
      <w:pPr>
        <w:spacing w:after="0" w:line="27" w:lineRule="exact"/>
        <w:rPr>
          <w:sz w:val="20"/>
          <w:szCs w:val="20"/>
          <w:color w:val="auto"/>
        </w:rPr>
      </w:pPr>
    </w:p>
    <w:p>
      <w:pPr>
        <w:jc w:val="both"/>
        <w:ind w:left="460" w:right="479"/>
        <w:spacing w:after="0" w:line="265" w:lineRule="auto"/>
        <w:rPr>
          <w:sz w:val="20"/>
          <w:szCs w:val="20"/>
          <w:color w:val="auto"/>
        </w:rPr>
      </w:pPr>
      <w:r>
        <w:rPr>
          <w:rFonts w:ascii="Times New Roman" w:cs="Times New Roman" w:eastAsia="Times New Roman" w:hAnsi="Times New Roman"/>
          <w:sz w:val="17"/>
          <w:szCs w:val="17"/>
          <w:color w:val="auto"/>
        </w:rPr>
        <w:t>each proposed member is a “non-employee director” as defined in Rule 16b-3 promulgated under the Exchange Act and an “outside director” as that term is defined in Section 162(m) of the Internal Revenue Code of 1986, as</w:t>
      </w: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amended, or the Code. The chairperson of the compensation committee is expected to be . The primary purpose of the compensation committee is to discharge the responsibilities of the board of directors to oversee its compensation policies, plans and programs and to review and determine the compensation to be paid to its executive officers, directors and other senior management, as appropriate.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responsibilities of the compensation committee will include:</w:t>
      </w:r>
    </w:p>
    <w:p>
      <w:pPr>
        <w:spacing w:after="0" w:line="144" w:lineRule="exact"/>
        <w:rPr>
          <w:sz w:val="20"/>
          <w:szCs w:val="20"/>
          <w:color w:val="auto"/>
        </w:rPr>
      </w:pPr>
    </w:p>
    <w:p>
      <w:pPr>
        <w:ind w:left="1320" w:right="479" w:hanging="434"/>
        <w:spacing w:after="0" w:line="282" w:lineRule="auto"/>
        <w:tabs>
          <w:tab w:leader="none" w:pos="137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of our executive officers;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terms of compensatory arrangements with our executive officers;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7" w:name="page188"/>
    <w:bookmarkEnd w:id="1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6" w:lineRule="auto"/>
        <w:tabs>
          <w:tab w:leader="none" w:pos="163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48" w:lineRule="exact"/>
        <w:rPr>
          <w:sz w:val="20"/>
          <w:szCs w:val="20"/>
          <w:color w:val="auto"/>
        </w:rPr>
      </w:pPr>
    </w:p>
    <w:p>
      <w:pPr>
        <w:ind w:left="460"/>
        <w:spacing w:after="0"/>
        <w:tabs>
          <w:tab w:leader="none" w:pos="6700" w:val="left"/>
          <w:tab w:leader="none" w:pos="7340" w:val="left"/>
          <w:tab w:leader="none" w:pos="8160" w:val="left"/>
        </w:tabs>
        <w:rPr>
          <w:sz w:val="20"/>
          <w:szCs w:val="20"/>
          <w:color w:val="auto"/>
        </w:rPr>
      </w:pPr>
      <w:r>
        <w:rPr>
          <w:rFonts w:ascii="Times New Roman" w:cs="Times New Roman" w:eastAsia="Times New Roman" w:hAnsi="Times New Roman"/>
          <w:sz w:val="18"/>
          <w:szCs w:val="18"/>
          <w:color w:val="auto"/>
        </w:rPr>
        <w:t>Our nominating and corporate governance committee is expected to consist of</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7"/>
          <w:szCs w:val="17"/>
          <w:color w:val="auto"/>
        </w:rPr>
        <w:t>.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has determined each proposed member is independent under the listing standards. The chairperson of our</w:t>
      </w:r>
    </w:p>
    <w:p>
      <w:pPr>
        <w:spacing w:after="0" w:line="9" w:lineRule="exact"/>
        <w:rPr>
          <w:sz w:val="20"/>
          <w:szCs w:val="20"/>
          <w:color w:val="auto"/>
        </w:rPr>
      </w:pPr>
    </w:p>
    <w:p>
      <w:pPr>
        <w:ind w:left="460"/>
        <w:spacing w:after="0"/>
        <w:tabs>
          <w:tab w:leader="none" w:pos="5700" w:val="left"/>
        </w:tabs>
        <w:rPr>
          <w:sz w:val="20"/>
          <w:szCs w:val="20"/>
          <w:color w:val="auto"/>
        </w:rPr>
      </w:pPr>
      <w:r>
        <w:rPr>
          <w:rFonts w:ascii="Times New Roman" w:cs="Times New Roman" w:eastAsia="Times New Roman" w:hAnsi="Times New Roman"/>
          <w:sz w:val="18"/>
          <w:szCs w:val="18"/>
          <w:color w:val="auto"/>
        </w:rPr>
        <w:t>nominating and corporate governance committee is expected to be</w:t>
      </w:r>
      <w:r>
        <w:rPr>
          <w:sz w:val="20"/>
          <w:szCs w:val="20"/>
          <w:color w:val="auto"/>
        </w:rPr>
        <w:tab/>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58" w:lineRule="exact"/>
        <w:rPr>
          <w:sz w:val="20"/>
          <w:szCs w:val="20"/>
          <w:color w:val="auto"/>
        </w:rPr>
      </w:pPr>
    </w:p>
    <w:p>
      <w:pPr>
        <w:ind w:left="1320" w:right="479" w:hanging="434"/>
        <w:spacing w:after="0" w:line="282" w:lineRule="auto"/>
        <w:tabs>
          <w:tab w:leader="none" w:pos="158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 succession plans;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Combined Entity will adopt a Code of Business Conduct and Ethics that applies to all of its employees, officers and directors, including those officers responsible for financial reporting. Following the Closing of the Business Combination, the Code of Business Conduct and Ethics will be available on Gemini’s website at </w:t>
      </w:r>
      <w:r>
        <w:rPr>
          <w:rFonts w:ascii="Times New Roman" w:cs="Times New Roman" w:eastAsia="Times New Roman" w:hAnsi="Times New Roman"/>
          <w:sz w:val="18"/>
          <w:szCs w:val="18"/>
          <w:i w:val="1"/>
          <w:iCs w:val="1"/>
          <w:color w:val="auto"/>
        </w:rPr>
        <w:t>www.geminitherapeutics.com</w:t>
      </w:r>
      <w:r>
        <w:rPr>
          <w:rFonts w:ascii="Times New Roman" w:cs="Times New Roman" w:eastAsia="Times New Roman" w:hAnsi="Times New Roman"/>
          <w:sz w:val="18"/>
          <w:szCs w:val="18"/>
          <w:color w:val="auto"/>
        </w:rPr>
        <w:t>. Information contained on or accessible through such website is not a part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statement/prospectus, and the inclusion of the website address in this proxy statement/prospectus is an inactive textual reference only. The Combined Entity intends to disclose any amendments to the Code of Business Conduct and Ethics, or any waivers of its requirements, on its website to the extent required by the applicable rules and exchange requirements.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 member of the Combined Entity’s compensation committee has ever been an officer or employee of either company. None of the Combined Entity’s expected executive officers serve, or have served during the last year, as a member of the board of directors, compensation committee, or other board committee performing equivalent functions of any other entity that has one or more executive officers serving as one of our directors or on either company’s compensation committee.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AND OTHER DATA OF GEMINI</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following tables summarize Gemini’s financial and other data. Gemini has derived the selected statements of operations data for the years ended December 31, 2018 and 2019 and the selected balance sheet data as of December 31, 2019 from its audited financial statements included elsewhere in this proxy statement/prospectus. The selected statements of operations data for the six months ended September 30, 2019 and 2020 and the selected balance sheet data as of September 30, 2020 are derived from Gemini’s unaudited interim condensed financial statements included elsewhere in this proxy statement/prospectus. Gemini’s unaudited interim condensed financial statements were prepared on a basis consistent with its audited financial statements and include, in management’s opinion, all adjustments, consisting only of normal recurring adjustments, that Gemini considers necessary for a fair presentation of the financial information set forth in those statements included elsewhere in this proxy statement/prospectus. Gemini’s historical results are not necessarily indicative of the results that may be expected in any future period, and interim financial results are not necessarily indicative of the results that may be expected for the full year.</w:t>
      </w:r>
    </w:p>
    <w:p>
      <w:pPr>
        <w:spacing w:after="0" w:line="12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You should read this data together with Gemini’s financial statements and related notes included elsewhere in this proxy statement/prospectus and the section titled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of Gemini</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Statements of Operations and Comprehensive Loss Data:</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6"/>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8"/>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8"/>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38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8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14,651</w:t>
            </w:r>
          </w:p>
        </w:tc>
        <w:tc>
          <w:tcPr>
            <w:tcW w:w="260" w:type="dxa"/>
            <w:vAlign w:val="bottom"/>
            <w:gridSpan w:val="3"/>
          </w:tcPr>
          <w:p>
            <w:pPr>
              <w:jc w:val="center"/>
              <w:ind w:lef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ind w:right="61"/>
              <w:spacing w:after="0"/>
              <w:rPr>
                <w:sz w:val="20"/>
                <w:szCs w:val="20"/>
                <w:color w:val="auto"/>
              </w:rPr>
            </w:pPr>
            <w:r>
              <w:rPr>
                <w:rFonts w:ascii="Times New Roman" w:cs="Times New Roman" w:eastAsia="Times New Roman" w:hAnsi="Times New Roman"/>
                <w:sz w:val="18"/>
                <w:szCs w:val="18"/>
                <w:color w:val="auto"/>
              </w:rPr>
              <w:t>34,472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26,673</w:t>
            </w:r>
          </w:p>
        </w:tc>
        <w:tc>
          <w:tcPr>
            <w:tcW w:w="10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20,472</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5,540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5"/>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5"/>
          </w:tcPr>
          <w:p>
            <w:pPr>
              <w:jc w:val="right"/>
              <w:ind w:right="61"/>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24,246</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8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38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80" w:type="dxa"/>
            <w:vAlign w:val="bottom"/>
            <w:vMerge w:val="continue"/>
          </w:tcPr>
          <w:p>
            <w:pPr>
              <w:spacing w:after="0"/>
              <w:rPr>
                <w:sz w:val="24"/>
                <w:szCs w:val="24"/>
                <w:color w:val="auto"/>
              </w:rPr>
            </w:pPr>
          </w:p>
        </w:tc>
        <w:tc>
          <w:tcPr>
            <w:tcW w:w="140" w:type="dxa"/>
            <w:vAlign w:val="bottom"/>
            <w:gridSpan w:val="2"/>
          </w:tcPr>
          <w:p>
            <w:pPr>
              <w:spacing w:after="0"/>
              <w:rPr>
                <w:sz w:val="24"/>
                <w:szCs w:val="24"/>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00" w:type="dxa"/>
            <w:vAlign w:val="bottom"/>
            <w:vMerge w:val="continue"/>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gridSpan w:val="3"/>
          </w:tcPr>
          <w:p>
            <w:pPr>
              <w:jc w:val="center"/>
              <w:ind w:lef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52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w w:val="96"/>
              </w:rPr>
              <w:t>(8.01)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9"/>
              </w:rPr>
              <w:t>4,811,641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5"/>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9"/>
              </w:rPr>
              <w:t>5,171,537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5,133,773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5,507,900</w:t>
            </w:r>
          </w:p>
        </w:tc>
        <w:tc>
          <w:tcPr>
            <w:tcW w:w="0" w:type="dxa"/>
            <w:vAlign w:val="bottom"/>
          </w:tcPr>
          <w:p>
            <w:pPr>
              <w:spacing w:after="0"/>
              <w:rPr>
                <w:sz w:val="1"/>
                <w:szCs w:val="1"/>
                <w:color w:val="auto"/>
              </w:rPr>
            </w:pPr>
          </w:p>
        </w:tc>
      </w:tr>
      <w:tr>
        <w:trPr>
          <w:trHeight w:val="392"/>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Balance Sheet Data:</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5"/>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3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4"/>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8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4"/>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21,608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carrying value</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Term loan, current portion</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current portion and discount</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16,576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4"/>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60,365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(71,984)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(98,506)</w:t>
            </w: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5"/>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(88,727)</w:t>
            </w:r>
          </w:p>
        </w:tc>
        <w:tc>
          <w:tcPr>
            <w:tcW w:w="0" w:type="dxa"/>
            <w:vAlign w:val="bottom"/>
          </w:tcPr>
          <w:p>
            <w:pPr>
              <w:spacing w:after="0"/>
              <w:rPr>
                <w:sz w:val="1"/>
                <w:szCs w:val="1"/>
                <w:color w:val="auto"/>
              </w:rPr>
            </w:pPr>
          </w:p>
        </w:tc>
      </w:tr>
      <w:tr>
        <w:trPr>
          <w:trHeight w:val="41"/>
        </w:trPr>
        <w:tc>
          <w:tcPr>
            <w:tcW w:w="3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9" w:name="page190"/>
    <w:bookmarkEnd w:id="1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GEMINI</w:t>
      </w:r>
    </w:p>
    <w:p>
      <w:pPr>
        <w:spacing w:after="0" w:line="7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Gemini’s financial condition and results of operations should be read in conjunction with its financial statements and related notes that appear elsewhere in this proxy statement/prospectus. In addition to historical financial information, the following discussion contains forward-looking statements that reflect Gemini’s plans, estimates and beliefs. Gemini’s actual results could differ materially from those discussed in the forward-looking statements. Factors that could cause or contribute to these differences include those discussed below and elsewhere particularly in the sections titled “Risk Factors” and “</w:t>
      </w:r>
      <w:r>
        <w:rPr>
          <w:rFonts w:ascii="Times New Roman" w:cs="Times New Roman" w:eastAsia="Times New Roman" w:hAnsi="Times New Roman"/>
          <w:sz w:val="18"/>
          <w:szCs w:val="18"/>
          <w:u w:val="single" w:color="auto"/>
          <w:color w:val="auto"/>
        </w:rPr>
        <w:t>Cautionary Note Regarding Forward-Looking Statements</w:t>
      </w:r>
      <w:r>
        <w:rPr>
          <w:rFonts w:ascii="Times New Roman" w:cs="Times New Roman" w:eastAsia="Times New Roman" w:hAnsi="Times New Roman"/>
          <w:sz w:val="18"/>
          <w:szCs w:val="18"/>
          <w:i w:val="1"/>
          <w:iCs w:val="1"/>
          <w:color w:val="auto"/>
        </w:rPr>
        <w:t>” included elsewhere in this proxy statement/prospectus.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is a clinical-stage precision medicine company developing novel therapeutic compounds to treat genetically defined, age-related macular degeneration (AMD). Gemini’s lead product candidate, GEM103, is a recombinant form of the human complement factor H protein (CFH) and is designed to address complement hyperactivity and restore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9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seeking to complete a merger with FS Development, which would result in FS Development acquiring 100% of the Company’s issued and outstanding securities. Together with FS Development’s cash resources, additional funding for Gemini’s operations would be provided through a Private Investment in Public Equity (“PIPE”) offering to be completed concurrently with the merger. In the event a merger is not consummated, Gemini may be required to obtain additional funding whether through future collaboration agreements, private or public offerings, debt or a combination thereof and such additional funding may not be available on terms Gemini finds acceptable or favorable. There is inherent uncertainty associated with these fundraising activities and they are not considered probable. If Gemini is unable to obtain sufficient capital to continue to advance its programs, Gemini would be forced to delay, reduce or eliminate its research and development programs and any future commercialization efforts. Accordingly, substantial doubt is deemed to exist about Gemini’s ability to continue as a going concern within 12 months following the date its audited financial statements for December 31, 2019 were issued.</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Since inception in 2015, Gemini has devoted substantially all its efforts and financial resources to organizing and staffing its company, business planning, raising capital, discovering product candidates and securing related intellectual property rights and conducting research and development activities for its product candidates. Gemini does not have any products approved for sale and it has not generated any revenue from product sales. Gemini may never be able to develop or commercialize a marketable product.</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Gemini’s lead product candidate, GEM103, is in Phase 2a clinical development and its other product candidates and its research initiatives are in preclinical or earlier stages of development. Gemini’s ability to generate revenue from product sales sufficient to achieve profitability will depend heavily on the successful development and eventual commercialization of one or more of its product candidates. Gemini has not yet successfully completed any pivotal clinical trials, nor has it obtained any regulatory approvals, manufactured a commercial-scale drug, or conducted sales and marketing activities. Through September 30, 2020, Gemini had received gross proceeds of $76.0 million from the sale of its preferred stock, gross proceeds of $16.9 million from borrowings under convertible promissory notes and $10.0 million from its term loan facility with Silicon Valley Bank, or SVB.</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expects to continue to incur net losses for the foreseeable future, and it expects its research and development expenses, and general and administrative expenses to continue to increase. Gemini has incurred significant operating losses since inception. Gemini’s net losses were $20.2 million and $41.4 million for the years ended December 31, 2018 and 2019, respectively. Gemini’s net losses were $31.7 million and $26.5 million for the nine months ended September 30, 2019 and 2020, respectively. As of December 31, 2019 and September 30, 2020, Gemini had an accumulated deficit of $72.0 million and $98.5 million, respectively. Gemini expects that its expenses and capital requirements will increase substantially in connection with its ongoing development activities, particularly if and as it:</w:t>
      </w:r>
    </w:p>
    <w:p>
      <w:pPr>
        <w:spacing w:after="0" w:line="97" w:lineRule="exact"/>
        <w:rPr>
          <w:sz w:val="20"/>
          <w:szCs w:val="20"/>
          <w:color w:val="auto"/>
        </w:rPr>
      </w:pPr>
    </w:p>
    <w:p>
      <w:pPr>
        <w:ind w:left="1320" w:right="479" w:hanging="434"/>
        <w:spacing w:after="0" w:line="282" w:lineRule="auto"/>
        <w:tabs>
          <w:tab w:leader="none" w:pos="133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preclinical studies and continues existing and initiates new clinical trials for GEM103, its lead product candidate being tested in AMD;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0" w:name="page191"/>
    <w:bookmarkEnd w:id="1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6" w:lineRule="auto"/>
        <w:tabs>
          <w:tab w:leader="none" w:pos="139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the development of its product candidate pipeline of other product candidates, including through business development efforts to invest in or in-license other technologies or product candidates;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maintains, expands and protects its intellectual property portfolio;</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hires additional clinical, quality control, medical, scientific and other technical personnel to support Gemini’s clinical operations;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regulatory approvals for any product candidates that successfully complete clinical trials;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5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any pre-commercialization activities to establish sales, marketing and distribution capabilities for any product candidates for which Gemini may receive regulatory approval;</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its infrastructure and facilities to accommodate its growing employee base; and</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operational, financial and management information systems and personnel, including personnel to support its research and development programs, any future commercialization efforts and its transition to operating as a public company following the Closing.</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Furthermore, upon the Closing, Gemini expects to incur additional costs associated with operating as a public company, including significant legal, accounting, investor relations and other expenses that it did not incur as a private company.</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a result, Gemini will need substantial additional funding to support its continuing operations and pursue its growth strategy. Until such time as it can generate significant revenue from product sales, if ever, Gemini expects to finance its operations through a combination of private and public equity offerings, debt financings or other capital sources, which may include collaborations with other companies or other strategic transactions. To the extent that Gemini raises additional capital through the sale of private or public equity or convertible debt securities, existing ownership interests will be diluted, and the terms of these securities may include liquidation or other preferences that adversely affect the rights of Gemini Equityholders. Debt financing and preferred equity financing, if available, may involve agreements that include covenants limiting or restricting Gemini’s ability to take specific actions, such as incurring additional debt, making acquisitions or capital expenditures or declaring dividends. If Gemini raises additional funds through collaborations or other strategic transactions with third parties, Gemini may have to relinquish valuable rights to its technologies, future revenue streams, research programs or drug candidates, or grant licenses on terms that may not be favorable to Gemini. Gemini may be unable to raise additional funds or enter into such other agreements or arrangements when needed on favorable terms, or at all. If it fails to raise capital or enter into such agreements as and when needed, Gemini may have to significantly delay, scale back or discontinue the development and commercialization of one or more of its product candidates or delay its pursuit of potential in-licenses or acquisitions.</w:t>
      </w:r>
    </w:p>
    <w:p>
      <w:pPr>
        <w:spacing w:after="0" w:line="11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Gemini is unable to predict the timing or amount of increased expenses or when or if it will be able to achieve or maintain profitability. Even if Gemini is able to generate product sales, it may not become profitable. If it fails to become profitable or is unable to sustain profitability on a continuing basis, Gemini may be unable to continue its operations at planned levels and be forced to reduce or terminate its operations.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Gemini has incurred significant operating losses since its inception and as of September 30, 2020, had an accumulated deficit of $98.5 million and had not yet generated revenues. In addition, Gemini expects to continue to incur significant and increasing expenses and operating losses for the foreseeable future. These factors raise substantial doubt about its ability to continue as a going concern. Management believes that its cash resources will not be sufficient to allow Gemini to fund current planned operations beyond the next twelve months from the date of this proxy statement/prospectus without additional capital. Gemini believes, however, that the net proceeds from the Business Combination and the PIPE Investment, together with its available resources and existing cash and cash equivalents, will enable it to fund its operating expenses and capital expenditure requirements into 2022. Gemini has based this estimate on assumptions that may prove to be wrong, and it could exhaust its available capital resources sooner than it expects. See “—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Gemini’s future viability beyond that point is dependent on its ability to raise additional capital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its operations.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1" w:name="page192"/>
    <w:bookmarkEnd w:id="1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March 2020, the WHO declared the COVID-19 outbreak a pandemic. To date, Gemini’s financial condition and operations have not been significantly impacted by the COVID-19 pandemic. However, Gemini cannot at this time predict the specific extent, duration, or full impact that the COVID-19 pandemic will have on its financial condition and operations, including ongoing and planned clinical trials and other operations required to support those clinical trials and research and development activities to advance Gemini’s pipeline. The impact of the COVID-19 pandemic on its financial performance will depend on future developments, including the duration and spread of the outbreak and related governmental advisories and restrictions. These developments and the impact of the COVID-19 pandemic on the financial markets and the overall economy are highly uncertain and cannot be predicted. If the financial markets and/or the overall economy are impacted for an extended period, Gemini’s results may be materially adversely affected.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August 21, 2020, Gemini entered into a purchase agreement with existing investors to issue $14,000,000 in convertible promissory notes, or the Notes. The Notes accrue simple interest at 8% per annum and mature on February 21, 2021. If the Notes remain outstanding at the maturity date, the principal and unpaid interest of the Notes will automatically be converted into Series B Preferred Stock at $1.3513 per share on the maturity date. The Notes served as a bridge loan prior to PIPE Investment in connection with the proposed merger of Gemini and FS Development.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Proposed Business Combination Transaction</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October 15, 2020, FS Development executed a definitive merger agreement among it, Merger Sub, Gemini and the Shareholders Representative. As a result of the proposed Business Combination, FS Development will be renamed to Gemini Therapeutics, Inc., or the Combined Entity, and Gemini will become a wholly-owned subsidiary of the Combined Entity. In connection with the Business Combination, the stockholders of Gemini will exchange their interests in Gemini for shares of FS Development Class A Common Stock. In addition, Gemini’s existing equity incentive plan will be terminated; awards issued under Gemini’s existing equity incentive plan will be exchanged for awards issued under a new equity incentive plan to be adopted by the Combined Entity. Lastly, in connection with the Business Combination, certain investors have agreed to subscribe for and purchase an aggregate of $95,060,000 of FS Development Class A Common Stock. The Combined Entity is expected to receive net proceeds of approximately $191.2 million at the Closing (assuming no redemptions are effected by stockholders of FS Development) and will continue to operate under the Gemini management team, led by chief executive officer Jason Meyenburg. The boards of directors of both FS Development and Gemini have approved the proposed transaction. Completion of the transaction, which is expected by the first quarter of 2021, is subject to approval of FS Development stockholders and the satisfaction or waiver of certain other customary closing conditions.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Components of Gemini’s Operating Results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Gemini has not generated any revenue since inception and does not expect to generate any revenue from the sale of products in the near future, if at all. If Gemini’s development efforts are successful and it commercializes it’s products, or if it enters into collaboration or license agreements with third parties, it may generate revenue in the future from product sales, as well as upfront, milestone and royalty payments from such collaboration or license agreements, or a combination thereof.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2" w:name="page193"/>
    <w:bookmarkEnd w:id="1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research activities, including drug discovery efforts and the development of Gemini’s product candidates. Gemini expenses research and development costs as incurred, which include:</w:t>
      </w:r>
    </w:p>
    <w:p>
      <w:pPr>
        <w:spacing w:after="0" w:line="108" w:lineRule="exact"/>
        <w:rPr>
          <w:sz w:val="20"/>
          <w:szCs w:val="20"/>
          <w:color w:val="auto"/>
        </w:rPr>
      </w:pPr>
    </w:p>
    <w:p>
      <w:pPr>
        <w:ind w:left="1320" w:right="479" w:hanging="434"/>
        <w:spacing w:after="0" w:line="282" w:lineRule="auto"/>
        <w:tabs>
          <w:tab w:leader="none" w:pos="137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preclinical studies and clinical trials required to obtain regulatory approval;</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44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that are primarily engaged in the oversight and conduct of its drug discovery efforts and preclinical studies, clinical trials and CMOs that are primarily engaged to provide preclinical and clinical drug substance and product for its research and development programs;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7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related to acquiring and manufacturing materials in connection with its drug discovery efforts and preclinical studies and clinical trial materials, including manufacturing validation batches, as well as investigative sites and consultants that conduct its clinical trials, preclinical studies and other scientific development services;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cash or equity securities under third-party licensing, acquisition and option agreements;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3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benefits, travel and stock-based compensation expense for employees engaged in research and development functions;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facilities-related costs, depreciation and other expenses, which include rent and utilities.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recognizes external development costs as incurred. Any advance payments that Gemini makes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Gemini estimates and accrues for the value of goods and services received from CROs and other third parties each reporting period based on an evaluation of the progress to completion of specific tasks using information provided to it by its service providers. This process involves reviewing open contracts and purchase orders, communicating with its personnel to identify services that have been performed on its behalf and estimating the level of service performed and the associated cost incurred for the service when Gemini has not yet been invoiced or otherwise notified of actual costs.</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does not track its research and development expenses on a program-by-program basis. Its direct external research and development expenses consist primarily of external costs, such as fees paid to outside consultants, CROs, CMOs and research laboratories in connection with its preclinical development, process development, manufacturing and clinical development activities. Gemini does not allocate employee costs, costs associated with its discovery efforts, laboratory supplies, and facilities, including depreciation or other indirect costs, to specific programs because these costs are deployed across multiple programs and, as such, are not separately classified. Gemini uses internal resources primarily to conduct its research and discovery as well as for managing its preclinical development, process development, manufacturing and clinical development activities. These employees work across multiple programs and, therefore, it does not track their costs by program.</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Gemini’s business model. Product candidates in later stages of clinical development generally have higher development costs than those in earlier stages of clinical development, primarily due to the increased size and duration of later-stage clinical trials. As a result, Gemini expects that its research and development expenses will increase substantially over the next several years as it continues its existing, and commences additional, planned clinical trials for GEM103, as well as conduct other preclinical and clinical development, including submitting regulatory filings for its other product candidates. Gemini also expects its discovery research efforts and its related personnel costs will increase and, as a result, it expects its research and development expenses, including costs associated with stock-based compensation, will increase above historical levels. In addition, it may incur additional expenses related to milestone and royalty payments payable to third parties with whom it may enter into license, acquisition and option agreements to acquire the rights to future product candidates.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3" w:name="page194"/>
    <w:bookmarkEnd w:id="1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this time, Gemini cannot reasonably estimate or know the nature, timing and costs of the efforts that will be necessary to complete the preclinical and clinical development of any of its product candidates or when, if ever, material net cash inflows may commence from any of its product candidates. The successful development and commercialization of its product candidates is highly uncertain. This uncertainty is due to the numerous risks and uncertainties associated with product development and commercialization, including the uncertainty of the following:</w:t>
      </w:r>
    </w:p>
    <w:p>
      <w:pPr>
        <w:spacing w:after="0" w:line="120" w:lineRule="exact"/>
        <w:rPr>
          <w:sz w:val="20"/>
          <w:szCs w:val="20"/>
          <w:color w:val="auto"/>
        </w:rPr>
      </w:pPr>
    </w:p>
    <w:p>
      <w:pPr>
        <w:ind w:left="1320" w:right="479" w:hanging="434"/>
        <w:spacing w:after="0" w:line="282" w:lineRule="auto"/>
        <w:tabs>
          <w:tab w:leader="none" w:pos="139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its preclinical development activities, clinical trials and other research and development activities;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and efficacy profile with IND enabling studies;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5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 including the FDA and non-U.S. regulators;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6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clinical and commercial manufacturing capabilities or making arrangements with third-party manufacturers in order to ensure that it or its third-party manufacturers are able to make product successfully;</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clinical-grade and commercial-grade drug formulations that can be used in its clinical trials and for commercial launch;</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1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its product candidates, if and when approved, whether alone or in collaboration with others;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its product candidates following approval, if any, of its product candidates.</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its product candidates in preclinical and clinical development could mean a significant change in the costs and timing associated with the development of these product candidates. For example, if the FDA or another regulatory authority were to delay its planned start of clinical trials or require it to conduct clinical trials or other testing beyond those that it currently expects or if it experiences significant delays in enrollment in any of its planned clinical trials, it could be required to expend significant additional financial resources and time on the completion of clinical development of that product candidate.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direct and allocated facility-related costs as well as insurance costs and professional fees for legal, patent, consulting, investor and public relations, accounting and audit services. Gemini expenses general and administrative costs as incurred.</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anticipates that its general and administrative expenses will increase in the future as it increases its headcount to support the continued development of its product candidates. Gemini also anticipates that it will incur significantly increased accounting, audit, legal, regulatory, compliance and director and officer insurance costs as well as investor and public relations expenses associated with operating as a public company. Additionally, if and when it believes a regulatory approval of a product candidate appears likely, it anticipates an increase in payroll and other employee-related expenses as a result of its preparation for commercial operations, especially as it relates to the sales and marketing of that product candidate.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4" w:name="page195"/>
    <w:bookmarkEnd w:id="1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accrued on Gemini’s term loan entered into on February 8, 2019 and its convertible notes entered into on August 21, 2020.</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income earned on its cash, cash equivalents and restricted cash.</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February 2019, in conjunction with its term loan, Gemini issued warrants to purchase 70,000 shares of its Series A preferred stock. It accounts for, and classifies, these warrants as a liability on its balance sheet because the warrants are freestanding financial instruments. Gemini remeasured this liability to fair value at each reporting date and recognized changes in the fair value of the warrant liability in its statements of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has not recorded any significant amounts related to income tax expense, it has not recognized any reserves related to uncertain tax positions, nor has Gemini recorded any income tax benefits for the majority of its net losses it has incurred to date or for its research and development tax credits.</w:t>
      </w:r>
    </w:p>
    <w:p>
      <w:pPr>
        <w:spacing w:after="0" w:line="108"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Gemini accounts for income taxes using the asset and liability method, which requires the recognition of deferred tax assets and liabilities for the expected future tax consequences of events that have been included in the financial statements or its tax returns. Deferred tax assets and liabilities are determined based on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its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As of December 31, 2019 and September 30, 2020, Gemini continues to maintain a full valuation allowance against all of its deferred tax assets based on its evaluation of all available evidence. Gemini files income tax returns in the U.S. federal tax jurisdiction and state jurisdictions and may become subject to income tax audit and adjustments by related tax authorities. Its tax return period for U.S. federal income taxes for the tax years since 2015 remain open to examination under the statute of limitations by the Internal Revenue Service and state jurisdictions. Gemini records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Gemini in its tax filings or positions is more likely than not to be realized following the resolution of any potential contingencies related to the tax benefit. Gemini develops its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its provision for income taxes. To date, no amounts are being presented as an uncertain tax position.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5" w:name="page196"/>
    <w:bookmarkEnd w:id="1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2019 and 2020</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Gemini’s results of operations for the nine months ended September 30, 2019 and 2020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7"/>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7"/>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26,673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20,472</w:t>
            </w:r>
          </w:p>
        </w:tc>
        <w:tc>
          <w:tcPr>
            <w:tcW w:w="100" w:type="dxa"/>
            <w:vAlign w:val="bottom"/>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(6,201)</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24,246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40" w:type="dxa"/>
            <w:vAlign w:val="bottom"/>
            <w:vMerge w:val="continue"/>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$26.7 million for the nine months ended September 30, 2019, compared to $20.5 million for the nine months ended September 30, 2020. The decrease of $6.2 million was primarily due to a decrease in external research and development costs because of Gemini’s strategic decision to focus its drug development efforts on its GEM103 product candidate. In addition, Gemini slowed its research and development spending due to the impact of COVID-19 and reduced employee headcount period over period. Gemini does not currently track expenses on a program-by-program basis.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$5.0 million for the nine months ended September 30, 2019, compared to $3.8 million for the nine months ended September 30, 2020. The decrease of $1.2 million was primarily because of a reduction in employee headcount period over period and related expenses such as travel and benefits due to the impact of COVID-19.</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Interest expense was $0.2 million for the nine months ended September 30, 2019, compared to $2.3 million for the nine months ended September 30, 2020. The increase of $2.1 million is primarily due to the interest expense recognized on the $14.0 million Notes, which includes $1.8 million from the accretion of the beneficial conversion feature discount recognized on the issuance date of the Notes.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Interest income was $0.2 million for the nine months ended September 30, 2019, compared to less than $0.1 million for the nine months ended September 30, 2020. The decrease in interest income primarily relates to lower cash balances during the nine months ended September 30, 2020 compared to the same period in the prior year.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58"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color w:val="auto"/>
        </w:rPr>
        <w:t xml:space="preserve">The change in fair value of warrant liability reflects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reduction of the fair value of the Series A preferred stock warrant.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6" w:name="page197"/>
    <w:bookmarkEnd w:id="1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2019</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Gemini’s results of operations for the years ended December 31, 2018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2019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14,651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34,472</w:t>
            </w:r>
          </w:p>
        </w:tc>
        <w:tc>
          <w:tcPr>
            <w:tcW w:w="100" w:type="dxa"/>
            <w:vAlign w:val="bottom"/>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19,821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20,191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40" w:type="dxa"/>
            <w:vAlign w:val="bottom"/>
            <w:vMerge w:val="continue"/>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(21,233</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$14.7 million for the year ended December 31, 2018, compared to $34.5 million for the year ended December 31, 2019. The increase of $19.8 million was the result of increased external research and development costs related to the preclinical and Phase 1 clinical trial activities of its lead product candidate, GEM103, offset by reduced research and development expenses resulting from the conclusion of activities for Gemini’s CLARITY Natural History study. R&amp;D personnel costs were higher period over period due to increased headcount in our research and development function to support the advancement of GEM103 and other pipeline programs. Gemini does not currently track expenses on a program-by-program basis.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$5.5 million for the year ended December 31, 2018, compared to $6.8 million for the year ended December 31, 2019. The increase of $1.3 million was primarily a result of higher personnel-related costs in support of organizational growth, and higher legal and other professional fees incurred in connection with financing activities.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Interest expense was zero for the year ended December 31, 2018, compared to $0.4 million for the year ended December 31, 2019. The increase was due to the new term loan entered into in February 2019.</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Interest income was less than $0.1 million for the year ended December 31, 2018, compared to $0.2 million for the year ended December 31, 2019. The increase of $0.2 million was due to higher cash balances in 2019 led by Gemini’s $19.5 million Series A preferred stock issuance in November 2018 and 2019 borrowings from its term loan.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liabilities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liability was zero for the year ended December 31, 2018, compared to less than $0.1 million for the year ended December 31, 2019. The warrants were issued in February 2019.</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 and capital</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Since inception, Gemini has not generated any revenue from any product sales or any other sources, and has incurred significant operating losses and negative cash flows from its operations. It has not yet commercialized any of its product candidates and it does not expect to generate revenue from sales of any product candidates for several years, if at all. Gemini has funded its operations to date primarily with proceeds from the sale of preferred stock, borrowings under convertible promissory notes and borrowings under loan agreements. Through September 30, 2020, Gemini had received gross cash proceeds of $76.0 million from sales of its preferred stock, gross cash proceeds of $16.9 million from borrowings under convertible promissory notes and $10.0 million of cash proceeds from its term loan with SVB.</w:t>
      </w:r>
    </w:p>
    <w:p>
      <w:pPr>
        <w:spacing w:after="0" w:line="12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As of September 30, 2020, Gemini had cash and cash equivalents of $13.2 million. Gemini has incurred operating losses and experienced negative operating cash flows since inception, and it anticipates that it will continue to incur losses for at least the foreseeable future. Its net losses totaled $31.7 million and $26.5 million for the nine months ended September 30, 2019 and 2020, respectively. Its net losses totaled $20.2 million and $41.4 million for the years ended December 31, 2018 and 2019, respectively. As of September 30, 2020, Gemini had an accumulated deficit of $98.5 million.</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Until required for use in its business, Gemini typically invests its cash in investments that are highly liquid, readily convertible to cash with original maturities of 90 days or less at the date of purchase. Gemini attempts to minimize the risks related to its cash and cash equivalents by maintaining balances in accounts only with accredited financial institutions and, consequently, it does not believe it is subject to unusual credit risk beyond the normal credit risk associated with ordinary commercial banking relationships.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Gemini’s cash flows for each of the periods presented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7"/>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6"/>
        </w:trPr>
        <w:tc>
          <w:tcPr>
            <w:tcW w:w="32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0"/>
        </w:trPr>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r>
      <w:tr>
        <w:trPr>
          <w:trHeight w:val="47"/>
        </w:trPr>
        <w:tc>
          <w:tcPr>
            <w:tcW w:w="3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(23,855)</w:t>
            </w:r>
          </w:p>
        </w:tc>
      </w:tr>
      <w:tr>
        <w:trPr>
          <w:trHeight w:val="24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40"/>
        </w:trPr>
        <w:tc>
          <w:tcPr>
            <w:tcW w:w="3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30,497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23,221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19,626</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34,106</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178"/>
        </w:trPr>
        <w:tc>
          <w:tcPr>
            <w:tcW w:w="32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Net increase (decrease) in cash, cash</w:t>
            </w: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55"/>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11,728</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(15,542)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(7,750)</w:t>
            </w:r>
          </w:p>
        </w:tc>
        <w:tc>
          <w:tcPr>
            <w:tcW w:w="100" w:type="dxa"/>
            <w:vAlign w:val="bottom"/>
          </w:tcPr>
          <w:p>
            <w:pPr>
              <w:spacing w:after="0"/>
              <w:rPr>
                <w:sz w:val="22"/>
                <w:szCs w:val="22"/>
                <w:color w:val="auto"/>
              </w:rPr>
            </w:pP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40" w:type="dxa"/>
            <w:vAlign w:val="bottom"/>
          </w:tcPr>
          <w:p>
            <w:pPr>
              <w:spacing w:after="0"/>
              <w:rPr>
                <w:sz w:val="22"/>
                <w:szCs w:val="22"/>
                <w:color w:val="auto"/>
              </w:rPr>
            </w:pPr>
          </w:p>
        </w:tc>
      </w:tr>
      <w:tr>
        <w:trPr>
          <w:trHeight w:val="20"/>
        </w:trPr>
        <w:tc>
          <w:tcPr>
            <w:tcW w:w="3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Gemini used cash in operating activities of $18.3 million, primarily resulting from its net loss of $20.2 million, partially offset by an increase in accounts payable and accrued expenses.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Gemini used cash in operating activities of $38.5 million, primarily resulting from its net loss of $41.4 million, partially offset by an increase in accounts payable and accrued expenses.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Gemini used cash in operating activities of $27.2 million, primarily resulting from its net loss of $31.7 million, partially offset by increases in accounts payable and accrued expenses and other liabilities.</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Gemini used cash in operating activities of $23.9 million, primarily resulting from its net loss of $26.5 million and a decrease in accounts payable, partially offset by a decrease in prepaid expenses and other assets.</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Changes in accounts payable and accrued expenses in all periods were generally due to growth in its business, the advancement of its product candidates, and the timing of vendor invoicing and payments.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8" w:name="page199"/>
    <w:bookmarkEnd w:id="19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Gemini used cash in investing activities of $0.4 million, consisting primarily of purchases of laboratory equipment.</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Gemini used cash in investing activities of $0.2 million, consisting primarily of purchases of laboratory equipment.</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Gemini used cash in investing activities of $0.2 million, consisting primarily of purchases of laboratory equipment.</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Gemini used cash in investing activities of less than $0.1 million, consisting of purchases of laboratory equipment.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net cash provided by financing activities was $30.5 million, consisting primarily of proceeds from the issuance of Gemini’s Series A preferred stock.</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net cash provided by financing activities was $23.2 million, consisting primarily of $13.3 million of proceeds from the issuance of Gemini’s Series B preferred stock and $10.0 million of gross proceeds from its term loan.</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net cash provided by financing activities was $19.6 million, consisting primarily of $12.2 million of proceeds from the issuance of Gemini’s Series B preferred stock and $7.5 million of gross proceeds from its term loan.</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net cash provided by financing activities was $34.1 million, consisting primarily of $20.1 million of proceeds from the issuance of Gemini’s Series B preferred stock and $14.0 million of proceeds from the issuance of its convertible promissory notes.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Gemini’s primary use of cash is to fund operating expenses, primarily related to its research and development activities. Cash used to fund operating expenses is impacted by the timing of when Gemini pays these expenses, as reflected in the change in its outstanding accounts payable, accrued expenses and prepaid expenses.</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 expects its expenses to increase substantially in connection with its ongoing activities, particularly as it advances the preclinical activities and clinical trials of its product candidates. In addition, upon the Closing and concurrent PIPE Investment, Gemini expects to incur additional costs associated with operating as a public company, including significant legal, accounting, investor relations and other expenses that it did not incur as a private company. The timing and amount of its operating expenditures will depend largely on its ability to:</w:t>
      </w:r>
    </w:p>
    <w:p>
      <w:pPr>
        <w:spacing w:after="0" w:line="116" w:lineRule="exact"/>
        <w:rPr>
          <w:sz w:val="20"/>
          <w:szCs w:val="20"/>
          <w:color w:val="auto"/>
        </w:rPr>
      </w:pPr>
    </w:p>
    <w:p>
      <w:pPr>
        <w:ind w:left="1320" w:right="479" w:hanging="434"/>
        <w:spacing w:after="0" w:line="282" w:lineRule="auto"/>
        <w:tabs>
          <w:tab w:leader="none" w:pos="155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preclinical development of its early-stage programs and clinical trials of its product candidates;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8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on its behalf, its preclinical and clinical drug material and develop processes for late stage and commercial manufacturing;</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4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 candidates for which it may obtain marketing approval and intend to commercialize on its own;</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6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its operational, financial and management systems and increase personnel, including personnel to support its clinical development, manufacturing and commercialization efforts and its operations as a public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9" w:name="page200"/>
    <w:bookmarkEnd w:id="19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its intellectual property portfolio;</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2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costs of preparing, filing and prosecuting patent applications, maintaining and protecting its intellectual property rights, including enforcing and defending intellectual property related claims; and</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costs of operating as a public company.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has incurred significant operating losses since its inception and, as of September 30, 2020, had an accumulated deficit of $98.5 million and has not yet generated any revenues. In addition, as discussed above, Gemini expects to continue to incur significant and increasing expenses and operating losses for the foreseeable future. These factors raise substantial doubt about its ability to continue as a going concern. Management believes that its existing cash resources will not be sufficient to allow it to fund current planned operations beyond the next twelve months from the date of this proxy statement/prospectus without additional capital, This evaluation does not take into consideration the effect of potential mitigating plans of management that have not been fully implemented as of the date of this proxy statement/prospectus.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seeking to complete a proposed business combination transaction with FS Development and the PIPE Investment, described above and Note 16, Subsequent Events, to its financial statements included elsewhere in this proxy statement/prospectus. The completion of the proposed Business Combination is conditioned on the satisfaction of certain closing conditions. Upon the completion of the proposed Business Combination transaction, the stockholders of Gemini will exchange their equity interests in Gemini, which include the conversion prior to the Closing of the principal and interest of the outstanding Notes into Series B Preferred Stock at a per share conversion price of $1.3513, for shares of FS Development Class A Common Stock. In connection with the Business Combination, certain investors have agreed to subscribe for and purchase an aggregate of $95,060,000 of FS Development Class A Common Stock in the PIPE Investment. The Combined Company is expected to receive net proceeds of approximately $191.2 million at the closing of the transaction (assuming no redemptions are affected by stockholders of FS Development). The Combined Entity may also pursue additional cash resources through public or private equity or debt financings.</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Gemini, and Gemini may need to seek additional funds sooner than planned. If adequate funds are not available to Gemini on a timely basis, it may be required to delay, limit, reduce or terminate certain of its research, product development or future commercialization efforts, obtain funds through arrangements with collaborators on terms unfavorable to Gemini, or pursue other merger or acquisition strategies, all of which could adversely affect the holdings or the rights of the Gemini’s stockholders. If additional capital is raised through debt financing, Gemini may be subject to covenants limiting or restricting its ability to take specific actions, such as incurring additional debt, making capital expenditures or declaring dividends. Any failure to raise capital as and when needed could have a negative impact on Gemini’s financial condition and on its ability to pursue business plans and strategies. If Gemini is unable to raise capital, it may need to delay, reduce or terminate planned activities to reduce costs.</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Gemini raises additional funds through governmental funding, collaborations, strategic partnerships and alliances or marketing, distribution or licensing arrangements with third parties, it may have to relinquish valuable rights to its technologies, future revenue streams, research programs or product candidates or grant licenses on terms that may not be favorable to it. If Gemini is unable to raise additional funds through equity or debt financings or other arrangements when needed, it may be required to delay, limit, reduce or terminate its research, product development or future commercialization efforts or grant rights to develop and market product candidates that it would otherwise prefer to develop and market by itself.</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For additional information on risks associated with Gemini’s substantial capital requirements, please read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in this proxy statement/prospectus.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0" w:name="page201"/>
    <w:bookmarkEnd w:id="20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 product candidates, Gemini is unable to estimate the exact amount of its working capital requirements. Its future funding requirements will depend on and could increase significantly as a result of many factors, including:</w:t>
      </w:r>
    </w:p>
    <w:p>
      <w:pPr>
        <w:spacing w:after="0" w:line="112" w:lineRule="exact"/>
        <w:rPr>
          <w:sz w:val="20"/>
          <w:szCs w:val="20"/>
          <w:color w:val="auto"/>
        </w:rPr>
      </w:pPr>
    </w:p>
    <w:p>
      <w:pPr>
        <w:ind w:left="1320" w:right="459" w:hanging="434"/>
        <w:spacing w:after="0" w:line="282" w:lineRule="auto"/>
        <w:tabs>
          <w:tab w:leader="none" w:pos="145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its product candidates, and conducting preclinical and clinical trials;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its product candidates;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5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ability to manufacture its product candidates to supply its clinical and preclinical development efforts and its clinical trials;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of its product candidates for which it receives marketing approval;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7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commercial-grade product and necessary inventory to support commercial launch;</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27"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additional non-dilutive funding, including grants from organizations and foundations;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27"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its products, should any of its product candidates receive marketing approval;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expanding and enforcing its intellectual property rights and defending intellectual property-related claims;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establish and maintain collaborations on favorable terms, if at all;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it acquires or in-licenses other product candidates and technologies.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Gemini’s contractual obligations as of September 30, 2020 and the effects that such obligations are expected to have on Gemini’s liquidity and cash flows in future periods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7"/>
              </w:rPr>
              <w:t>Less than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1 to 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4 to 5</w:t>
            </w:r>
          </w:p>
        </w:tc>
        <w:tc>
          <w:tcPr>
            <w:tcW w:w="1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More than</w:t>
            </w:r>
          </w:p>
        </w:tc>
      </w:tr>
      <w:tr>
        <w:trPr>
          <w:trHeight w:val="212"/>
        </w:trPr>
        <w:tc>
          <w:tcPr>
            <w:tcW w:w="2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5 years</w:t>
            </w:r>
          </w:p>
        </w:tc>
      </w:tr>
      <w:tr>
        <w:trPr>
          <w:trHeight w:val="47"/>
        </w:trPr>
        <w:tc>
          <w:tcPr>
            <w:tcW w:w="226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w:t>
            </w:r>
          </w:p>
        </w:tc>
        <w:tc>
          <w:tcPr>
            <w:tcW w:w="66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3"/>
              </w:rPr>
              <w:t>(i)</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40"/>
        </w:trPr>
        <w:tc>
          <w:tcPr>
            <w:tcW w:w="2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4"/>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fee obligations</w:t>
            </w:r>
          </w:p>
        </w:tc>
        <w:tc>
          <w:tcPr>
            <w:tcW w:w="86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(iii)</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8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2"/>
              </w:rPr>
              <w:t>(iv)</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2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28,184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6" w:lineRule="auto"/>
        <w:tabs>
          <w:tab w:leader="none" w:pos="871"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has borrowed $10.0 million under its term loan facility with SVB. The term loan matures on January 1, 2023 and accrues interest at a floating rate per annum equal to the greater of 3.75% or the prime rate minus 1.5%. In addition, Gemini issued $14.0 million of convertible promissory notes that mature in February 2021. Gemini accrues simple interest at 8% per annum.</w:t>
      </w:r>
    </w:p>
    <w:p>
      <w:pPr>
        <w:spacing w:after="0" w:line="2"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has an operating lease agreement for its office and laboratory space.</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902"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is required to make license fee payments to its licensors. See Financial Statements, Note 13, Commitments and Contingencies for additional details regarding its payment obligations to these licensors</w:t>
      </w:r>
    </w:p>
    <w:p>
      <w:pPr>
        <w:ind w:left="880" w:right="459" w:hanging="426"/>
        <w:spacing w:after="0" w:line="288" w:lineRule="auto"/>
        <w:tabs>
          <w:tab w:leader="none" w:pos="857"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end of the SVB loan term, Gemini is required to pay a final end of term charge to SVB in the amount of 4.0% of the aggregate original principal amount borrowed.</w:t>
      </w:r>
    </w:p>
    <w:p>
      <w:pPr>
        <w:spacing w:after="0" w:line="8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enters into contracts in the normal course of business with CMOs, CROs and other third parties for the manufacture of its product candidates and to support clinical trials and preclinical research studies and testing. These contracts are generally cancelable at any time by Gemini following a certain period after notice. Payments due upon cancellation consist only of payments for services provided or expenses incurred, including noncancelable obligations of its service providers, up to the date of cancellation. These payments are not included in the preceding table as the amount and timing of such payments are unknown or uncertain at December 31, 2019.</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1" w:name="page202"/>
    <w:bookmarkEnd w:id="20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research and manufacturing organizations</w:t>
      </w:r>
    </w:p>
    <w:p>
      <w:pPr>
        <w:spacing w:after="0" w:line="14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Gemini recorded accrued expenses of approximately $0.4 million and $1.2 million in its balance sheets for expenditures incurred by CROs and CMOs as of December 31, 2019 and September 30, 2020.</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Tax-related obligations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To date, Gemini has not recognized any reserves related to uncertain tax positions. As of December 31, 2019 and September 30, 2020, Gemini had no accrued interest or penalties related to uncertain tax positions.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Gemini’s financial statements are prepared in accordance with generally accepted accounting principles in the United States, or GAAP. The preparation of Gemini’s financial statements and related disclosures requires it to make estimates and judgments that affect the reported amounts of assets, liabilities, costs and expenses. Gemini bases its estimates on historical experience, known trends and events and various other factors that it believes are reasonable under the circumstances, the results of which form the basis for making judgments about the carrying values of assets and liabilities that are not readily apparent from other sources. Gemini evaluates its estimates and assumptions on an ongoing basis. Its actual results may differ from these estimates under different assumptions or conditions.</w:t>
      </w:r>
    </w:p>
    <w:p>
      <w:pPr>
        <w:spacing w:after="0" w:line="11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While Gemini’s significant accounting policies are described in more detail in Note 2 to Gemini’s financial statements appearing elsewhere in this proxy statement/prospectus, it believes that the following accounting policies are those most critical to the judgments and estimates used in the preparation of its financial statements.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its financial statements, Gemini is required to estimate its accrued research and development expenses. This process involves reviewing open contracts and purchase orders, communicating with its applicable personnel to identify services that have been performed on its behalf and estimating the level of service performed and the associated cost incurred for the service when it has not yet been invoiced or otherwise notified of actual costs. The majority of Gemini’s service providers invoice it in arrears for services performed, on a pre-determined schedule or when contractual milestones are met; however, some require advance payments. Gemini makes estimates of its accrued expenses as of each balance sheet date in the financial statements based on facts and circumstances known to it at that time. Gemini periodically confirms the accuracy of the estimates with the service providers and makes adjustments if necessary. Examples of estimated accrued research and development expenses include fees paid to:</w:t>
      </w:r>
    </w:p>
    <w:p>
      <w:pPr>
        <w:spacing w:after="0" w:line="127" w:lineRule="exact"/>
        <w:rPr>
          <w:sz w:val="20"/>
          <w:szCs w:val="20"/>
          <w:color w:val="auto"/>
        </w:rPr>
      </w:pPr>
    </w:p>
    <w:p>
      <w:pPr>
        <w:ind w:left="1300" w:hanging="41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9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Gemini bases its expenses related to preclinical studies and clinical trials on its estimates of the services received and efforts expended pursuant to quotes and contracts with multiple research institutions and CROs that supply, conduct and manage preclinical studies and clinical trials on its behalf. The financial terms of these agreements are subject to negotiation, vary from contract to contract and may result in uneven payment flows. There may be instances in which payments made to Gemini’s vendors will exceed the level of services provided and result in a prepayment of the expense. Payments under some of these contracts depend on factors such as the successful enrollment of patients and the completion of clinical trial milestones. In accruing service fees, Gemini estimates the time period over which services will be performed and the level of effort to be expended in each period. If the actual timing of the performance of services or the level of effort varies from the estimate, it adjusts the accrual or the prepaid expense accordingly. Although Gemini does not expect its estimates to be materially different from amounts actually incurred, its understanding of the status and timing of services performed relative to the actual status and timing of services performed may vary and may result in reporting amounts that are too high or too low in any particular period. To date, Gemini’s estimated accruals have not differed materially from actual costs incurred.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2" w:name="page203"/>
    <w:bookmarkEnd w:id="2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measures all stock-based awards granted to employees, directors and non-employees based on their fair value on the date of the grant and recognizes the corresponding compensation expense of those awards over the requisite service period, which is generally the vesting period of the respective award. Forfeitures are accounted for as they occur. Gemini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Gemini estimates the probability that certain performance criteria will be met and does not recognize compensation expense until it is probable that the performance-based vesting condition will be achieved.</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Gemini classifies stock-based compensation expense in its statements of operations in the same manner in which the award recipient’s payroll costs are classified or in which the award recipient’s service payments are classified.</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estimates the fair value of each stock option grant using the Black-Scholes option-pricing model, which uses as inputs the fair value of its common stock and assumptions it makes for the volatility of its common stock, the expected term of its stock options, the risk-free interest rate for a period that approximates the expected term of its stock options and its expected dividend yield.</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Determination of the fair value of common stock</w:t>
      </w:r>
    </w:p>
    <w:p>
      <w:pPr>
        <w:spacing w:after="0" w:line="14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As there has been no public market for Gemini’s common stock to date of this proxy statement/prospectus, the estimated fair value of its common stock has been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Privately-Held-Company Equity Securities Issued as Compensation</w:t>
      </w:r>
      <w:r>
        <w:rPr>
          <w:rFonts w:ascii="Times New Roman" w:cs="Times New Roman" w:eastAsia="Times New Roman" w:hAnsi="Times New Roman"/>
          <w:sz w:val="18"/>
          <w:szCs w:val="18"/>
          <w:color w:val="auto"/>
        </w:rPr>
        <w:t>. Gemini’s common stock valuations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using an option pricing method, or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Gemini’s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These third-party valuations were performed at various dates, which resulted in valuations of Gemini’s common stock of $0.28 per share as of July 31, 2017, $0.31 per share as of August 28, 2018, $0.41 per share as of November 2, 2018, $0.47 per share as of September 26, 2019, $0.55 per share as of January 21, 2020, and $1.66 per share as of September 20, 2020.</w:t>
      </w:r>
    </w:p>
    <w:p>
      <w:pPr>
        <w:spacing w:after="0" w:line="13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addition to considering the results of these third-party valuations, Gemini’s board of directors considered various objective and subjective factors to determine the fair value of its common stock as of each grant date, including:</w:t>
      </w:r>
    </w:p>
    <w:p>
      <w:pPr>
        <w:spacing w:after="0" w:line="108" w:lineRule="exact"/>
        <w:rPr>
          <w:sz w:val="20"/>
          <w:szCs w:val="20"/>
          <w:color w:val="auto"/>
        </w:rPr>
      </w:pPr>
    </w:p>
    <w:p>
      <w:pPr>
        <w:ind w:left="1320" w:right="459" w:hanging="434"/>
        <w:spacing w:after="0" w:line="282" w:lineRule="auto"/>
        <w:tabs>
          <w:tab w:leader="none" w:pos="133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Gemini sold shares of preferred stock and the superior rights and preferences of the preferred stock relative to its common stock at the time of each grant;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its research and development programs, including the status and results of preclinical studies and clinical trials for its product candidates;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stage of development and commercialization and its business strategy;</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6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biopharmaceutical industry and trends within the biopharmaceutical industry;</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3" w:name="page204"/>
    <w:bookmarkEnd w:id="2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39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financial position, including cash on hand, and its historical and forecasted performance and results of operations;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its common stock and its preferred stock;</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1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or IPO, or sale of Gemini in light of prevailing market conditions;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IPOs and the market performance of similar companies in the biopharmaceutical industry.</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Gemini had used significantly different assumptions or estimates, the fair value of its common stock and its stock-based compensation expense could have been materially different.</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Once a public trading market for the Combined Entity’s common stock has been established for a sufficient period of time subsequent to the Closing, it will no longer be necessary for its board of directors to estimate the fair value of its common stock in connection with its accounting for granted stock options and other such awards Gemini may grant, as the fair value of the Combined Entity’s common stock will be determined based on the quoted market price of its common stock.</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Awards granted</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following table sets forth by grant date the number of shares subject to options and restricted stock granted from January 1, 2018 through the date of this proxy statement/prospectus, the per share purchase prices and exercise prices, the fair value of common stock per share on each grant date, and the per share estimated fair value of the awards: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6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 share fair</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 options or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100" w:type="dxa"/>
            <w:vAlign w:val="bottom"/>
          </w:tcPr>
          <w:p>
            <w:pPr>
              <w:spacing w:after="0"/>
              <w:rPr>
                <w:sz w:val="17"/>
                <w:szCs w:val="17"/>
                <w:color w:val="auto"/>
              </w:rPr>
            </w:pPr>
          </w:p>
        </w:tc>
        <w:tc>
          <w:tcPr>
            <w:tcW w:w="11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7"/>
                <w:szCs w:val="17"/>
                <w:color w:val="auto"/>
              </w:rPr>
            </w:pP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estimated fair</w:t>
            </w: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subject</w:t>
            </w:r>
          </w:p>
        </w:tc>
        <w:tc>
          <w:tcPr>
            <w:tcW w:w="60" w:type="dxa"/>
            <w:vAlign w:val="bottom"/>
          </w:tcPr>
          <w:p>
            <w:pPr>
              <w:spacing w:after="0"/>
              <w:rPr>
                <w:sz w:val="17"/>
                <w:szCs w:val="17"/>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 restricted</w:t>
            </w:r>
          </w:p>
        </w:tc>
        <w:tc>
          <w:tcPr>
            <w:tcW w:w="6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stock on grant</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award</w:t>
            </w:r>
          </w:p>
        </w:tc>
      </w:tr>
      <w:tr>
        <w:trPr>
          <w:trHeight w:val="212"/>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Type of award</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to award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 w:type="dxa"/>
            <w:vAlign w:val="bottom"/>
          </w:tcPr>
          <w:p>
            <w:pPr>
              <w:spacing w:after="0"/>
              <w:rPr>
                <w:sz w:val="18"/>
                <w:szCs w:val="18"/>
                <w:color w:val="auto"/>
              </w:rPr>
            </w:pPr>
          </w:p>
        </w:tc>
        <w:tc>
          <w:tcPr>
            <w:tcW w:w="11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on grant date</w:t>
            </w:r>
          </w:p>
        </w:tc>
      </w:tr>
      <w:tr>
        <w:trPr>
          <w:trHeight w:val="47"/>
        </w:trPr>
        <w:tc>
          <w:tcPr>
            <w:tcW w:w="2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28, 2018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Restricted stock</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361,978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8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28, 2018</w:t>
            </w:r>
            <w:r>
              <w:rPr>
                <w:rFonts w:ascii="Times New Roman" w:cs="Times New Roman" w:eastAsia="Times New Roman" w:hAnsi="Times New Roman"/>
                <w:sz w:val="20"/>
                <w:szCs w:val="20"/>
                <w:color w:val="auto"/>
                <w:vertAlign w:val="superscript"/>
              </w:rPr>
              <w:t>(1)</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5,723,737</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83"/>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31, 2018</w:t>
            </w:r>
            <w:r>
              <w:rPr>
                <w:rFonts w:ascii="Times New Roman" w:cs="Times New Roman" w:eastAsia="Times New Roman" w:hAnsi="Times New Roman"/>
                <w:sz w:val="20"/>
                <w:szCs w:val="20"/>
                <w:color w:val="auto"/>
                <w:vertAlign w:val="superscript"/>
              </w:rPr>
              <w:t>(1)</w:t>
            </w:r>
          </w:p>
        </w:tc>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731,695</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4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14, 2018</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356,780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40"/>
        </w:trPr>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12, 2019</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492,500</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4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19, 2019</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411,865</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40"/>
        </w:trPr>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12, 2019</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3,748,799</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8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12, 2019</w:t>
            </w:r>
            <w:r>
              <w:rPr>
                <w:rFonts w:ascii="Times New Roman" w:cs="Times New Roman" w:eastAsia="Times New Roman" w:hAnsi="Times New Roman"/>
                <w:sz w:val="20"/>
                <w:szCs w:val="20"/>
                <w:color w:val="auto"/>
                <w:vertAlign w:val="superscript"/>
              </w:rPr>
              <w:t>(2)</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24,000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63"/>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12, 2019</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4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11, 2020</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1,182,200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80" w:lineRule="auto"/>
        <w:tabs>
          <w:tab w:leader="none" w:pos="958"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options granted on August 28, 2018 and October 31, 2018, the board of directors determined the fair value of Gemini’s common stock was $0.28 per share as of the grant date. However, the fair value of Gemini’s common stock at the date of grant was adjusted in connection with a retrospective fair value assessment solely for accounting purposes.</w:t>
      </w:r>
    </w:p>
    <w:p>
      <w:pPr>
        <w:spacing w:after="0" w:line="173"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option award was fully vested on the date of grant.</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Gemini does not have during the periods presented, and it does not currently have, any off-balance sheet arrangements, as defined in the rules and regulations of the SEC.</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Gemini’s financial position and results of operations is disclosed in Note 2 to Gemini’s financial statements included elsewhere in this proxy statement/prospectus.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4" w:name="page205"/>
    <w:bookmarkEnd w:id="2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Gemini is exposed to market risk in the ordinary course of its business. These risks primarily relate to changes in interest rates.</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Gemini’s cash and cash equivalents as of December 31, 2019 consisted of cash and a money market fund account. Because of the short-term nature of its money market fund, a sudden change in market interest rates would not be expected to have a material impact on Gemini’s financial position or results of operations.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December 31, 2019, the principal amount of Gemini’s term loan was $10.0 million. The following table is an estimate of Gemini’s interest expense based upon its floating rate term loan that could result from hypothetical interest rate changes, based on debt levels as of December 31, 2019:</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55"/>
        </w:trPr>
        <w:tc>
          <w:tcPr>
            <w:tcW w:w="404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Hypothetical Change in Interest Rates</w:t>
            </w:r>
            <w:r>
              <w:rPr>
                <w:rFonts w:ascii="Times New Roman" w:cs="Times New Roman" w:eastAsia="Times New Roman" w:hAnsi="Times New Roman"/>
                <w:sz w:val="18"/>
                <w:szCs w:val="18"/>
                <w:b w:val="1"/>
                <w:bCs w:val="1"/>
                <w:color w:val="auto"/>
                <w:vertAlign w:val="superscript"/>
              </w:rPr>
              <w:t>(i)</w:t>
            </w:r>
          </w:p>
        </w:tc>
        <w:tc>
          <w:tcPr>
            <w:tcW w:w="4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Annual Impact to Interest Expense</w:t>
            </w:r>
          </w:p>
        </w:tc>
      </w:tr>
      <w:tr>
        <w:trPr>
          <w:trHeight w:val="232"/>
        </w:trPr>
        <w:tc>
          <w:tcPr>
            <w:tcW w:w="394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1-percent increase</w:t>
            </w:r>
          </w:p>
        </w:tc>
        <w:tc>
          <w:tcPr>
            <w:tcW w:w="100" w:type="dxa"/>
            <w:vAlign w:val="bottom"/>
          </w:tcPr>
          <w:p>
            <w:pPr>
              <w:spacing w:after="0"/>
              <w:rPr>
                <w:sz w:val="20"/>
                <w:szCs w:val="20"/>
                <w:color w:val="auto"/>
              </w:rPr>
            </w:pPr>
          </w:p>
        </w:tc>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 increase</w:t>
            </w:r>
          </w:p>
        </w:tc>
      </w:tr>
      <w:tr>
        <w:trPr>
          <w:trHeight w:val="279"/>
        </w:trPr>
        <w:tc>
          <w:tcPr>
            <w:tcW w:w="40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1-percent decrease</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Impact</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928"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pays a floating rate per annum equal to the greater of 3.75% or the prime rate minus 1.5%. See Note 6 to Gemini’s financial statements for further information.</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and the post-combination company is expected to be, an “emerging growth company,” as defined in the Jumpstart Our Business Startups Act of 2012, or the JOBS Act, and it may take advantage of certain exemptions from various reporting requirements that are applicable to other public companies that are not emerging growth companies. Gemini may take advantage of these exemptions until it is no longer an emerging growth company under Section 107 of the JOBS Act, which provides that an emerging growth company can take advantage of the extended transition period afforded by the JOBS Act for the implementation of new or revised accounting standards. Gemini has elected to avail itself of the extended transition period and, therefore, while Gemini is an emerging growth company it will not be subject to new or revised accounting standards the same time that they become applicable to other public companies that are not emerging growth companies, unless it chooses to early adopt a new or revised accounting standard.</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Additionally, Gemini is, and the post-combination company is expected be a “smaller reporting company” as defined in Item 10(f)(1) of Regulation S-K. Smaller reporting companies may take advantage of certain reduced disclosure obligations, including, among other things, providing only two years of audited financial statements. Gemini will remain a smaller reporting company until the last day of the fiscal year in which (i) the market value of Gemini’s common stock held by non-affiliates exceeds $250 million as of the prior June 30, or</w:t>
      </w:r>
    </w:p>
    <w:p>
      <w:pPr>
        <w:spacing w:after="0" w:line="3" w:lineRule="exact"/>
        <w:rPr>
          <w:sz w:val="20"/>
          <w:szCs w:val="20"/>
          <w:color w:val="auto"/>
        </w:rPr>
      </w:pPr>
    </w:p>
    <w:p>
      <w:pPr>
        <w:ind w:left="460" w:right="479" w:hanging="6"/>
        <w:spacing w:after="0" w:line="260" w:lineRule="auto"/>
        <w:tabs>
          <w:tab w:leader="none" w:pos="72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annual revenues exceeded $100 million during such completed fiscal year and the market value of our common stock held by non-affiliates exceeds $700 million as of the prior June 30.</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5" w:name="page206"/>
    <w:bookmarkEnd w:id="2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AFTER THE BUSINESS COMBINATION</w:t>
      </w:r>
    </w:p>
    <w:p>
      <w:pPr>
        <w:spacing w:after="0" w:line="2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As a result of the Business Combination, FS Development stockholders who receive shares of FS Development Class A Common Stock will become the stockholders of the Combined Entity. Your rights as the Combined Entity stockholders will be governed by Delaware law and the Proposed Charter and the Amended By-laws. The following description of the material terms of the Combined Entity’s securities reflects the anticipated state of affairs upon completion of the Business Combination.</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 connection with the Business Combination, FS Development will amend and restate the Current Charter and the Current By-Laws. The following summary of the material terms the Combined Entity’s securities following the Business Combination is not intended to be a complete summary of the rights and preferences of such securities. The full text of the Proposed Charter and the Amended By-laws are attached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Annex C</w:t>
      </w:r>
      <w:r>
        <w:rPr>
          <w:rFonts w:ascii="Times New Roman" w:cs="Times New Roman" w:eastAsia="Times New Roman" w:hAnsi="Times New Roman"/>
          <w:sz w:val="18"/>
          <w:szCs w:val="18"/>
          <w:i w:val="1"/>
          <w:iCs w:val="1"/>
          <w:color w:val="auto"/>
        </w:rPr>
        <w:t>, respectively, to this proxy statement/prospectus. You are encouraged to read the applicable provisions of Delaware law, the Proposed Charter and the Amended By-laws in their entirety for a complete description of the rights and preferences of the Combined Entity securities following the Business Combination.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Authorized and Outstanding Stock</w:t>
      </w:r>
    </w:p>
    <w:p>
      <w:pPr>
        <w:spacing w:after="0" w:line="162" w:lineRule="exact"/>
        <w:rPr>
          <w:sz w:val="20"/>
          <w:szCs w:val="20"/>
          <w:color w:val="auto"/>
        </w:rPr>
      </w:pPr>
    </w:p>
    <w:p>
      <w:pPr>
        <w:ind w:left="460"/>
        <w:spacing w:after="0"/>
        <w:tabs>
          <w:tab w:leader="none" w:pos="4700" w:val="left"/>
          <w:tab w:leader="none" w:pos="6660" w:val="left"/>
        </w:tabs>
        <w:rPr>
          <w:sz w:val="20"/>
          <w:szCs w:val="20"/>
          <w:color w:val="auto"/>
        </w:rPr>
      </w:pPr>
      <w:r>
        <w:rPr>
          <w:rFonts w:ascii="Times New Roman" w:cs="Times New Roman" w:eastAsia="Times New Roman" w:hAnsi="Times New Roman"/>
          <w:sz w:val="18"/>
          <w:szCs w:val="18"/>
          <w:color w:val="auto"/>
        </w:rPr>
        <w:t>The Proposed Charter authorizes the issuance of</w:t>
      </w:r>
      <w:r>
        <w:rPr>
          <w:sz w:val="20"/>
          <w:szCs w:val="20"/>
          <w:color w:val="auto"/>
        </w:rPr>
        <w:tab/>
      </w:r>
      <w:r>
        <w:rPr>
          <w:rFonts w:ascii="Times New Roman" w:cs="Times New Roman" w:eastAsia="Times New Roman" w:hAnsi="Times New Roman"/>
          <w:sz w:val="18"/>
          <w:szCs w:val="18"/>
          <w:color w:val="auto"/>
        </w:rPr>
        <w:t>shares, consisting of</w:t>
      </w:r>
      <w:r>
        <w:rPr>
          <w:sz w:val="20"/>
          <w:szCs w:val="20"/>
          <w:color w:val="auto"/>
        </w:rPr>
        <w:tab/>
      </w:r>
      <w:r>
        <w:rPr>
          <w:rFonts w:ascii="Times New Roman" w:cs="Times New Roman" w:eastAsia="Times New Roman" w:hAnsi="Times New Roman"/>
          <w:sz w:val="17"/>
          <w:szCs w:val="17"/>
          <w:color w:val="auto"/>
        </w:rPr>
        <w:t>shares of Common Stock,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$0.0001 par value per share, and 10,000,000 shares of preferred stock, $0.0001 par value. As of the Record</w:t>
      </w:r>
    </w:p>
    <w:p>
      <w:pPr>
        <w:spacing w:after="0" w:line="9"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Date, there were shares of FS Development Class A Common Stock and shares of FS Development Class B Common Stock outstanding. In connection with the Business Combination and subject to the terms of the Current Charter, all shares of outstanding Class B Common Stock shall automatically be converted into shares of Class A Common Stock. No shares of preferred stock are currently outstanding.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Proposed Charter, which FS Development will adopt if the Charter Amendment Proposal is approved, provides the following with respect to the rights, powers, preferences and privileges of the Common Stock.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Common Stock possess all voting power for the election of the Combined Entity’s directors and all other matters requiring stockholder action. Holders of Common Stock are entitled to one vote per share on matters to be voted on by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Holders of Common Stock will be entitled to receive such dividends, if any, as may be declared from time to time by the Combined Entity’s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event of the Combined Entity’s voluntary or involuntary liquidation, dissolution, distribution of assets or winding-up, the holders of the Common Stock will be entitled to receive an equal amount per share of all of the Combined Entity’s assets of whatever kind available for distribution to stockholders, after the rights of the holders of the preferred stock have been satisfied.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sinking fund provisions applicable to the Common Stock.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6" w:name="page207"/>
    <w:bookmarkEnd w:id="2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holders of the Founders Shares issued and outstanding on the date of this proxy statement/prospectus are entitled to registration rights pursuant to an agreement signed in connection with the FS Development IPO. The holders of a majority of these securities are entitled to make up to two demands that we register such securities. The holders of the majority of the Founders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Closing. The Combined Entity will bear the expenses incurred in connection with the filing of any such registration statements.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Following the Business Combination, certain Gemini Equityholders will hold registration rights with respect to the Merger Consideration. Stockholders holding a majority-in-interest of such registrable securities will be entitled to make a written demand for registration under the Securities Act of all or part of their registrable securities. Subject to certain exceptions, such stockholders will also have certain “piggy-back” registration rights with respect to registration statements filed by the Combined Entity, as well additional rights to provide for registration of registrable securities on Form S-3 and any similar short-form registration statement that may be available at such time. See the section titled “</w:t>
      </w:r>
      <w:r>
        <w:rPr>
          <w:rFonts w:ascii="Times New Roman" w:cs="Times New Roman" w:eastAsia="Times New Roman" w:hAnsi="Times New Roman"/>
          <w:sz w:val="18"/>
          <w:szCs w:val="18"/>
          <w:i w:val="1"/>
          <w:iCs w:val="1"/>
          <w:color w:val="auto"/>
        </w:rPr>
        <w:t>The Business Combination Proposal — Ancillary Agreements.”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Proposed Charter and Amended By-laws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Among other things, the Proposed Charter and Amended By-laws will:</w:t>
      </w:r>
    </w:p>
    <w:p>
      <w:pPr>
        <w:spacing w:after="0" w:line="144" w:lineRule="exact"/>
        <w:rPr>
          <w:sz w:val="20"/>
          <w:szCs w:val="20"/>
          <w:color w:val="auto"/>
        </w:rPr>
      </w:pPr>
    </w:p>
    <w:p>
      <w:pPr>
        <w:jc w:val="both"/>
        <w:ind w:left="1320" w:right="459" w:hanging="434"/>
        <w:spacing w:after="0" w:line="266" w:lineRule="auto"/>
        <w:tabs>
          <w:tab w:leader="none" w:pos="132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Combined Entity’s board of directors to issue up to 10,000,000 shares of preferred stock, with any rights, preferences and privileges as they may designate, including the right to approve an acquisition or other change of control;</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Combined Entity’s board of directors;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2" w:lineRule="auto"/>
        <w:tabs>
          <w:tab w:leader="none" w:pos="132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be removed only with cause by the holders of at least 66</w:t>
      </w:r>
      <w:r>
        <w:rPr>
          <w:rFonts w:ascii="Times New Roman" w:cs="Times New Roman" w:eastAsia="Times New Roman" w:hAnsi="Times New Roman"/>
          <w:sz w:val="20"/>
          <w:szCs w:val="20"/>
          <w:color w:val="auto"/>
          <w:vertAlign w:val="superscript"/>
        </w:rPr>
        <w:t>2/3</w:t>
      </w:r>
      <w:r>
        <w:rPr>
          <w:rFonts w:ascii="Times New Roman" w:cs="Times New Roman" w:eastAsia="Times New Roman" w:hAnsi="Times New Roman"/>
          <w:sz w:val="18"/>
          <w:szCs w:val="18"/>
          <w:color w:val="auto"/>
        </w:rPr>
        <w:t>% of all of our then-outstanding shares of the capital stock entitled to vote generally at an election of directors;</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3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1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6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the Combined Entity’s stockholders may be called the Combined Entity’s board of directors pursuant to a resolution adopted by a majority of the total number of authorized directors;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3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Combined Entity’s board of directors will be divided into three classes of directors, with the classes to be as nearly equal as possible, and with the directors serving three-year terms (see the section titled “</w:t>
      </w:r>
      <w:r>
        <w:rPr>
          <w:rFonts w:ascii="Times New Roman" w:cs="Times New Roman" w:eastAsia="Times New Roman" w:hAnsi="Times New Roman"/>
          <w:sz w:val="18"/>
          <w:szCs w:val="18"/>
          <w:i w:val="1"/>
          <w:iCs w:val="1"/>
          <w:color w:val="auto"/>
        </w:rPr>
        <w:t>Management After the Business Combination</w:t>
      </w:r>
      <w:r>
        <w:rPr>
          <w:rFonts w:ascii="Times New Roman" w:cs="Times New Roman" w:eastAsia="Times New Roman" w:hAnsi="Times New Roman"/>
          <w:sz w:val="18"/>
          <w:szCs w:val="18"/>
          <w:color w:val="auto"/>
        </w:rPr>
        <w:t>”), therefore making it more difficult for stockholders to change the composition of our board of directors; and</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7" w:name="page208"/>
    <w:bookmarkEnd w:id="2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the existing stockholders to replace the Combined Entity’s board of directors as well as for another party to obtain control of the Combined Entity by replacing the Combined Entity’s board of directors. Because the Combined Entity’s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the Combined Entity’s board of directors to issue preferred stock with voting or other rights or preferences that could impede the success of any attempt to change our control.</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the Combined Entity’s board of directors and its policies and to discourage coercive takeover practices and inadequate takeover bids. These provisions are also designed to reduce the Combined Entity’s vulnerability to hostile takeovers and to discourage certain tactics that may be used in proxy fights. However, such provisions could have the effect of discouraging others from making tender offers for the Combined Entity’s shares and may have the effect of delaying changes in our control or management. As a consequence, these provisions may also inhibit fluctuations in the market price of our stock.</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will opt out of Section 203 of the Delaware General Corporation Law.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8" w:name="page209"/>
    <w:bookmarkEnd w:id="2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 Shares</w:t>
      </w:r>
    </w:p>
    <w:p>
      <w:pPr>
        <w:spacing w:after="0" w:line="14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FS Development will issue up to shares of Class A Common Stock to Gemini Equityholders in connection with the Business Combination. All of the shares of Class A Common Stock issued in connection with the Business Combination will be freely transferable by persons other than by FS Development’s “affiliates” without restriction or further registration under the Securities Act, subject to any lock-up restrictions. Sales of substantial amounts of the Common Stock in the public market could adversely affect prevailing market prices of the Common Stock.</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Provisions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Sponsor and certain existing Gemini stockholders, including all Gemini officers, directors and certain stockholders prior to the Closing, and their affiliates that hold Gemini securities, will be broadly prohibited from selling, pledging, transferring or otherwise disposing of their ownership interest in the Combined Entity’s common stock for a period 180 days after the Closing, subject to certain customary exceptions.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has agreed to give holders of certain restricted securities, including shares of Common Stock and the shares purchased in the PIPE Investment, registration rights to facilitate the resale of such restricted securities. Additional details of these rights can be found under the section titled “</w:t>
      </w:r>
      <w:r>
        <w:rPr>
          <w:rFonts w:ascii="Times New Roman" w:cs="Times New Roman" w:eastAsia="Times New Roman" w:hAnsi="Times New Roman"/>
          <w:sz w:val="18"/>
          <w:szCs w:val="18"/>
          <w:i w:val="1"/>
          <w:iCs w:val="1"/>
          <w:color w:val="auto"/>
        </w:rPr>
        <w:t>Description of Securities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 — Registration Rights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of Common Stock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only a number of securities that does not exceed the greater of either of the following:</w:t>
      </w:r>
    </w:p>
    <w:p>
      <w:pPr>
        <w:spacing w:after="0" w:line="112" w:lineRule="exact"/>
        <w:rPr>
          <w:sz w:val="20"/>
          <w:szCs w:val="20"/>
          <w:color w:val="auto"/>
        </w:rPr>
      </w:pPr>
    </w:p>
    <w:p>
      <w:pPr>
        <w:ind w:left="1300" w:hanging="41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shares of the Combined Entity’s common stock then outstanding; or</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Combined Entity’s Common Stock during the four calendar weeks preceding the filing of a notice on Form 144 with respect to the sale.</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Sales by affiliates of FS Development under Rule 144 are also subject to certain requirements relating to manner of sale, notice and the availability of current public information about FS Development.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95" w:lineRule="exact"/>
        <w:rPr>
          <w:sz w:val="20"/>
          <w:szCs w:val="20"/>
          <w:color w:val="auto"/>
        </w:rPr>
      </w:pPr>
    </w:p>
    <w:p>
      <w:pPr>
        <w:ind w:left="1300" w:hanging="414"/>
        <w:spacing w:after="0"/>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9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6" w:lineRule="auto"/>
        <w:tabs>
          <w:tab w:leader="none" w:pos="140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which is expected to be filed promptly after completion of the Business Combination, reflecting its status as an entity that is not a shell company.</w:t>
      </w:r>
    </w:p>
    <w:p>
      <w:pPr>
        <w:spacing w:after="0" w:line="108" w:lineRule="exact"/>
        <w:rPr>
          <w:sz w:val="20"/>
          <w:szCs w:val="20"/>
          <w:color w:val="auto"/>
        </w:rPr>
      </w:pPr>
    </w:p>
    <w:p>
      <w:pPr>
        <w:jc w:val="both"/>
        <w:ind w:left="460" w:right="479"/>
        <w:spacing w:after="0" w:line="257" w:lineRule="auto"/>
        <w:rPr>
          <w:sz w:val="20"/>
          <w:szCs w:val="20"/>
          <w:color w:val="auto"/>
        </w:rPr>
      </w:pPr>
      <w:r>
        <w:rPr>
          <w:rFonts w:ascii="Times New Roman" w:cs="Times New Roman" w:eastAsia="Times New Roman" w:hAnsi="Times New Roman"/>
          <w:sz w:val="18"/>
          <w:szCs w:val="18"/>
          <w:color w:val="auto"/>
        </w:rPr>
        <w:t>As of the date of this proxy statement/prospectus, there are shares of Common Stock outstanding. Of these shares, the 8,622,644 shares issued in the FS Development IPO are freely tradable without restriction or further registration under the Securities Act, except for any shares purchased by one of our affiliates within the</w:t>
      </w:r>
    </w:p>
    <w:p>
      <w:pPr>
        <w:spacing w:after="0" w:line="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meaning of Rule 144 under the Securities Act. All of the remaining shares owned collectively by the Sponsor, officers and directors are restricted securities under Rule 144, in that they were issued in private transactions not involving a public offering.</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Gemini’s employees, consultants or advisors who purchases equity shares from Gemini in connection with a compensatory stock plan or other written agreement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0" w:name="page211"/>
    <w:bookmarkEnd w:id="2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STOCKHOLDER RIGHTS</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table below summarizes the material differences between the current rights of stockholders of FS Development under the Current Charter and Current By-laws and the rights of FS Development stockholders, post-Business Combination, under the Proposed Charter and Amended By-laws, which will be in effect immediately following the Closing.</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While FS Development believes that the summary tables cover the material differences between the rights of stockholders of FS Development prior to the Business Combination and the rights of FS Development stockholders following the Business Combination, these summary tables may not contain all of the information that is important to you. You should carefully read this entire proxy statement/prospectus and the other documents referred to in this proxy statement/prospectus for a more complete understanding of the differences between being a stockholder of FS Development before and after the Business Combination, Annex B, and Exhibits 3.1, 3.2 and 3.3 to the registration statement of which this proxy statement/prospectus forms a part and will send copies of the documents referred to in this proxy statement/prospectus to you upon your request.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in this proxy statement/prospectus.</w:t>
      </w:r>
    </w:p>
    <w:p>
      <w:pPr>
        <w:spacing w:after="0" w:line="142" w:lineRule="exact"/>
        <w:rPr>
          <w:sz w:val="20"/>
          <w:szCs w:val="20"/>
          <w:color w:val="auto"/>
        </w:rPr>
      </w:pPr>
    </w:p>
    <w:p>
      <w:pPr>
        <w:ind w:left="840"/>
        <w:spacing w:after="0"/>
        <w:tabs>
          <w:tab w:leader="none" w:pos="4940" w:val="left"/>
        </w:tabs>
        <w:rPr>
          <w:sz w:val="20"/>
          <w:szCs w:val="20"/>
          <w:color w:val="auto"/>
        </w:rPr>
      </w:pPr>
      <w:r>
        <w:rPr>
          <w:rFonts w:ascii="Times New Roman" w:cs="Times New Roman" w:eastAsia="Times New Roman" w:hAnsi="Times New Roman"/>
          <w:sz w:val="16"/>
          <w:szCs w:val="16"/>
          <w:b w:val="1"/>
          <w:bCs w:val="1"/>
          <w:color w:val="auto"/>
        </w:rPr>
        <w:t>FS Development (Pre-Business Combination)</w:t>
      </w:r>
      <w:r>
        <w:rPr>
          <w:sz w:val="20"/>
          <w:szCs w:val="20"/>
          <w:color w:val="auto"/>
        </w:rPr>
        <w:tab/>
      </w:r>
      <w:r>
        <w:rPr>
          <w:rFonts w:ascii="Times New Roman" w:cs="Times New Roman" w:eastAsia="Times New Roman" w:hAnsi="Times New Roman"/>
          <w:sz w:val="14"/>
          <w:szCs w:val="14"/>
          <w:b w:val="1"/>
          <w:bCs w:val="1"/>
          <w:color w:val="auto"/>
        </w:rPr>
        <w:t>The Combined Entity (Post-Business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78740</wp:posOffset>
            </wp:positionV>
            <wp:extent cx="51435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0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is currently authorized to issue The Combined Entity will be authorized to issue shares 111,000,000 shares of capital stock, consisting of of capital stock, consisting of (i) shares of common</w:t>
      </w:r>
    </w:p>
    <w:p>
      <w:pPr>
        <w:ind w:left="460" w:right="799" w:hanging="6"/>
        <w:spacing w:after="0" w:line="250" w:lineRule="auto"/>
        <w:tabs>
          <w:tab w:leader="none" w:pos="74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110,000,000 shares of common stock, including stock, and (iii) 10,000,000 shares of preferred stock 100,000,000 shares of Class A Common Stock and</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B Common Stock, and</w:t>
      </w:r>
    </w:p>
    <w:p>
      <w:pPr>
        <w:spacing w:after="0" w:line="9"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of Preferred Stock</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Board may fix for any series of preferred stock</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Combined Entity’s board of directors may fix for</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such  voting  powers,  if  any,  designations,  powers,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class or series of preferred stock such voting</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preferences  and  relative,  participating,  optional,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powers, full or limited, or no voting powers, and such</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special and other rights, if any, as may be stated in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designations,  preferences  and  relative,  participating,</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resolutions of the Board’s providing for the issuance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optional or other special rights and such qualifications,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such series.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limitations or restrictions thereof, as may be stated in</w:t>
            </w:r>
          </w:p>
        </w:tc>
      </w:tr>
      <w:tr>
        <w:trPr>
          <w:trHeight w:val="216"/>
        </w:trPr>
        <w:tc>
          <w:tcPr>
            <w:tcW w:w="400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resolutions of the Combined Entity’s board of</w:t>
            </w:r>
          </w:p>
        </w:tc>
      </w:tr>
      <w:tr>
        <w:trPr>
          <w:trHeight w:val="216"/>
        </w:trPr>
        <w:tc>
          <w:tcPr>
            <w:tcW w:w="400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resolutions providing for the issuance of such class or</w:t>
            </w:r>
          </w:p>
        </w:tc>
      </w:tr>
      <w:tr>
        <w:trPr>
          <w:trHeight w:val="234"/>
        </w:trPr>
        <w:tc>
          <w:tcPr>
            <w:tcW w:w="400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series.</w:t>
            </w:r>
          </w:p>
        </w:tc>
      </w:tr>
      <w:tr>
        <w:trPr>
          <w:trHeight w:val="426"/>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r>
      <w:tr>
        <w:trPr>
          <w:trHeight w:val="87"/>
        </w:trPr>
        <w:tc>
          <w:tcPr>
            <w:tcW w:w="8100" w:type="dxa"/>
            <w:vAlign w:val="bottom"/>
            <w:tcBorders>
              <w:bottom w:val="single" w:sz="8" w:color="auto"/>
            </w:tcBorders>
            <w:gridSpan w:val="2"/>
          </w:tcPr>
          <w:p>
            <w:pPr>
              <w:spacing w:after="0"/>
              <w:rPr>
                <w:sz w:val="7"/>
                <w:szCs w:val="7"/>
                <w:color w:val="auto"/>
              </w:rPr>
            </w:pPr>
          </w:p>
        </w:tc>
      </w:tr>
      <w:tr>
        <w:trPr>
          <w:trHeight w:val="237"/>
        </w:trPr>
        <w:tc>
          <w:tcPr>
            <w:tcW w:w="810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Number and Qualification of Directors</w:t>
            </w: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number of directors of FS Development, other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Subject to any rights of holders of preferred stock to</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than those who may be elected by the holders of one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  directors  under  specified  circumstances  and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more series of preferred stock voting separately by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subject to the Registration Rights Agreement and the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or  series,  will  be  fixed  from  time  to  time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Voting Agreement, the number of directors will be fixed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exclusively by the Board pursuant to a resolution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 time to time pursuant to a resolution adopted by</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adopted by a majority of the Board.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Combined Entity’s board of directors.</w:t>
            </w:r>
          </w:p>
        </w:tc>
      </w:tr>
      <w:tr>
        <w:trPr>
          <w:trHeight w:val="405"/>
        </w:trPr>
        <w:tc>
          <w:tcPr>
            <w:tcW w:w="810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Classification of the Board of Directors</w:t>
            </w: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Subject to the rights of the holders of one or more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Subject to the rights of the holders of one or more series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series of preferred stock of FS Development to elect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preferred stock of the Combined Entity to elect one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one or more directors, the Board is classified into</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more directors, the Combined Entity’s board of</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three classes of directors with staggered terms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is classified into three classes of directors with</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staggered terms of office.</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1" w:name="page212"/>
    <w:bookmarkEnd w:id="2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c>
          <w:tcPr>
            <w:tcW w:w="0" w:type="dxa"/>
            <w:vAlign w:val="bottom"/>
          </w:tcPr>
          <w:p>
            <w:pPr>
              <w:spacing w:after="0"/>
              <w:rPr>
                <w:sz w:val="1"/>
                <w:szCs w:val="1"/>
                <w:color w:val="auto"/>
              </w:rPr>
            </w:pPr>
          </w:p>
        </w:tc>
      </w:tr>
      <w:tr>
        <w:trPr>
          <w:trHeight w:val="87"/>
        </w:trPr>
        <w:tc>
          <w:tcPr>
            <w:tcW w:w="81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10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Election of Directors; Vacancies on the Board of Directors</w:t>
            </w:r>
          </w:p>
        </w:tc>
        <w:tc>
          <w:tcPr>
            <w:tcW w:w="0" w:type="dxa"/>
            <w:vAlign w:val="bottom"/>
          </w:tcPr>
          <w:p>
            <w:pPr>
              <w:spacing w:after="0"/>
              <w:rPr>
                <w:sz w:val="1"/>
                <w:szCs w:val="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FS Development’s annual meeting, stockholders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the Combined Entity’s annual meeting, stockholders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elect directors to replace the class of directors whose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 directors to replace the class of directors whose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term expires at that annual meeting, each of whom</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expires at that annual meeting, each of whom shall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shall hold office for a term of three years or until his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 office for a term of three years or until his or her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her successor is duly elected and qualified, subject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 is duly elected and qualified, subject to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   such   director’s   earlier   death,   resignation,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earlier death, resignation, disqualification or</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disqualification or removal.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removal.</w:t>
            </w:r>
          </w:p>
        </w:tc>
        <w:tc>
          <w:tcPr>
            <w:tcW w:w="0" w:type="dxa"/>
            <w:vAlign w:val="bottom"/>
          </w:tcPr>
          <w:p>
            <w:pPr>
              <w:spacing w:after="0"/>
              <w:rPr>
                <w:sz w:val="1"/>
                <w:szCs w:val="1"/>
                <w:color w:val="auto"/>
              </w:rPr>
            </w:pPr>
          </w:p>
        </w:tc>
      </w:tr>
      <w:tr>
        <w:trPr>
          <w:trHeight w:val="33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If the number of directors is changed, any increase 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majority of the board of directors shall have the right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decrease is apportioned among the classes to maintain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fill any vacancies on of the Combined Entity’s board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 equal number of directors in each class as nearly as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directors, whether caused by increase in size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possible,  and  any  additional  director  of  any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or resignation or removal of a director, and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elected to fill a vacancy will hold office for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Entity’s board of directors shall have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of that class, but in no case will a</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 to determine the class that any additional director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the number of directors remove or shorten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 fill, and any additional director of any class elected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term of any incumbent director.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fill a vacancy will hold office for the remaining term</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Subject to the rights of the holders of one or more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that class, but in no case will a decrease in the</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number of directors remove or shorten the term of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series of preferred stock, the election of directors shall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incumbent director.</w:t>
            </w:r>
          </w:p>
        </w:tc>
        <w:tc>
          <w:tcPr>
            <w:tcW w:w="0" w:type="dxa"/>
            <w:vAlign w:val="bottom"/>
          </w:tcPr>
          <w:p>
            <w:pPr>
              <w:spacing w:after="0"/>
              <w:rPr>
                <w:sz w:val="1"/>
                <w:szCs w:val="1"/>
                <w:color w:val="auto"/>
              </w:rPr>
            </w:pPr>
          </w:p>
        </w:tc>
      </w:tr>
      <w:tr>
        <w:trPr>
          <w:trHeight w:val="184"/>
        </w:trPr>
        <w:tc>
          <w:tcPr>
            <w:tcW w:w="40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be determined by a plurality of the votes cast by the</w:t>
            </w:r>
          </w:p>
        </w:tc>
        <w:tc>
          <w:tcPr>
            <w:tcW w:w="4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present in person or represented by proxy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Subject to the rights of the holders of one or more series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the meeting and entitled to vote on the election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preferred stock, the election of directors shall be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determined by a plurality of the votes cast by the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present in person or represented by proxy</w:t>
            </w:r>
          </w:p>
        </w:tc>
        <w:tc>
          <w:tcPr>
            <w:tcW w:w="0" w:type="dxa"/>
            <w:vAlign w:val="bottom"/>
          </w:tcPr>
          <w:p>
            <w:pPr>
              <w:spacing w:after="0"/>
              <w:rPr>
                <w:sz w:val="1"/>
                <w:szCs w:val="1"/>
                <w:color w:val="auto"/>
              </w:rPr>
            </w:pPr>
          </w:p>
        </w:tc>
      </w:tr>
    </w:tbl>
    <w:p>
      <w:pPr>
        <w:ind w:left="4500"/>
        <w:spacing w:after="0"/>
        <w:rPr>
          <w:sz w:val="20"/>
          <w:szCs w:val="20"/>
          <w:color w:val="auto"/>
        </w:rPr>
      </w:pPr>
      <w:r>
        <w:rPr>
          <w:rFonts w:ascii="Times New Roman" w:cs="Times New Roman" w:eastAsia="Times New Roman" w:hAnsi="Times New Roman"/>
          <w:sz w:val="18"/>
          <w:szCs w:val="18"/>
          <w:color w:val="auto"/>
        </w:rPr>
        <w:t>at the meeting and entitled to vote on the election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02" w:lineRule="exact"/>
        <w:rPr>
          <w:sz w:val="20"/>
          <w:szCs w:val="20"/>
          <w:color w:val="auto"/>
        </w:rPr>
      </w:pPr>
    </w:p>
    <w:p>
      <w:pPr>
        <w:jc w:val="both"/>
        <w:ind w:left="460" w:right="459"/>
        <w:spacing w:after="0" w:line="249" w:lineRule="auto"/>
        <w:rPr>
          <w:sz w:val="20"/>
          <w:szCs w:val="20"/>
          <w:color w:val="auto"/>
        </w:rPr>
      </w:pPr>
      <w:r>
        <w:rPr>
          <w:rFonts w:ascii="Times New Roman" w:cs="Times New Roman" w:eastAsia="Times New Roman" w:hAnsi="Times New Roman"/>
          <w:sz w:val="18"/>
          <w:szCs w:val="18"/>
          <w:color w:val="auto"/>
        </w:rPr>
        <w:t>Subject to the rights of the holders of any series of Subject to the rights of the holders of any series of preferred stock, any director or the entire board may preferred stock, as well as the Registration Rights be removed from office at any time, but only for cause Agreement and Voting Agreement, any director or the and only by the affirmative vote of holders of a entire board may be removed from office at any time, majority of the voting power of all then outstanding but only for cause and only by the affirmative vote of shares of capital stock of FS Development entitled to holders of at least 2/3</w:t>
      </w:r>
      <w:r>
        <w:rPr>
          <w:rFonts w:ascii="Times New Roman" w:cs="Times New Roman" w:eastAsia="Times New Roman" w:hAnsi="Times New Roman"/>
          <w:sz w:val="20"/>
          <w:szCs w:val="20"/>
          <w:color w:val="auto"/>
          <w:vertAlign w:val="superscript"/>
        </w:rPr>
        <w:t>rds</w:t>
      </w:r>
      <w:r>
        <w:rPr>
          <w:rFonts w:ascii="Times New Roman" w:cs="Times New Roman" w:eastAsia="Times New Roman" w:hAnsi="Times New Roman"/>
          <w:sz w:val="18"/>
          <w:szCs w:val="18"/>
          <w:color w:val="auto"/>
        </w:rPr>
        <w:t xml:space="preserve"> of the voting power of all then vote generally in the election of directors, voting outstanding shares of capital stock of the Combined</w:t>
      </w:r>
    </w:p>
    <w:p>
      <w:pPr>
        <w:spacing w:after="0" w:line="3" w:lineRule="exact"/>
        <w:rPr>
          <w:sz w:val="20"/>
          <w:szCs w:val="20"/>
          <w:color w:val="auto"/>
        </w:rPr>
      </w:pPr>
    </w:p>
    <w:p>
      <w:pPr>
        <w:jc w:val="both"/>
        <w:ind w:left="4500" w:right="479" w:hanging="4049"/>
        <w:spacing w:after="0" w:line="260" w:lineRule="auto"/>
        <w:tabs>
          <w:tab w:leader="none" w:pos="4480" w:val="left"/>
        </w:tabs>
        <w:rPr>
          <w:sz w:val="20"/>
          <w:szCs w:val="20"/>
          <w:color w:val="auto"/>
        </w:rPr>
      </w:pPr>
      <w:r>
        <w:rPr>
          <w:rFonts w:ascii="Times New Roman" w:cs="Times New Roman" w:eastAsia="Times New Roman" w:hAnsi="Times New Roman"/>
          <w:sz w:val="18"/>
          <w:szCs w:val="18"/>
          <w:color w:val="auto"/>
        </w:rPr>
        <w:t>together as a single class.</w:t>
      </w:r>
      <w:r>
        <w:rPr>
          <w:sz w:val="20"/>
          <w:szCs w:val="20"/>
          <w:color w:val="auto"/>
        </w:rPr>
        <w:tab/>
      </w:r>
      <w:r>
        <w:rPr>
          <w:rFonts w:ascii="Times New Roman" w:cs="Times New Roman" w:eastAsia="Times New Roman" w:hAnsi="Times New Roman"/>
          <w:sz w:val="18"/>
          <w:szCs w:val="18"/>
          <w:color w:val="auto"/>
        </w:rPr>
        <w:t>Entity entitled to vote generally in the election of directors, voting together as a single class.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Except as otherwise required by law or the Current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Holders of the common stock will be entitled to cast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Charter, holders of the FS Development Class A</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one vote per share.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and the FS Development Class B</w:t>
            </w: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Except as otherwise required by applicable law, holders</w:t>
            </w:r>
          </w:p>
        </w:tc>
        <w:tc>
          <w:tcPr>
            <w:tcW w:w="0" w:type="dxa"/>
            <w:vAlign w:val="bottom"/>
          </w:tcPr>
          <w:p>
            <w:pPr>
              <w:spacing w:after="0"/>
              <w:rPr>
                <w:sz w:val="1"/>
                <w:szCs w:val="1"/>
                <w:color w:val="auto"/>
              </w:rPr>
            </w:pPr>
          </w:p>
        </w:tc>
      </w:tr>
      <w:tr>
        <w:trPr>
          <w:trHeight w:val="180"/>
        </w:trPr>
        <w:tc>
          <w:tcPr>
            <w:tcW w:w="4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Common Stock exclusively possess all voting power</w:t>
            </w: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with respect to FS Development. Except as otherwise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Combined Entity’s common stock will not be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required by law or the Current Charter, the holders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entitled to vote on any amendment to the Proposed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shares shall be entitled to one vote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 that relates solely to the terms of one or more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 each such share on each matter properly submitted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series of the Combined Entity’s preferred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  FS  Development’s  stockholders  on  which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if the holders of such affected series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holders of FS Development shares are entitled to vote.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Entity’s  preferred  stock  are  exclusively</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4100" w:type="dxa"/>
            <w:vAlign w:val="bottom"/>
          </w:tcPr>
          <w:p>
            <w:pPr>
              <w:ind w:left="40"/>
              <w:spacing w:after="0" w:line="170" w:lineRule="exact"/>
              <w:rPr>
                <w:sz w:val="20"/>
                <w:szCs w:val="20"/>
                <w:color w:val="auto"/>
              </w:rPr>
            </w:pPr>
            <w:r>
              <w:rPr>
                <w:rFonts w:ascii="Times New Roman" w:cs="Times New Roman" w:eastAsia="Times New Roman" w:hAnsi="Times New Roman"/>
                <w:sz w:val="18"/>
                <w:szCs w:val="18"/>
                <w:color w:val="auto"/>
              </w:rPr>
              <w:t>entitled  to  vote  thereon  pursuant  to  the  Proposed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Except as otherwise required by law or the Current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 or applicable law.</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Charter, for so long as any shares of FS Development</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remain  outstanding,  FS</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may not, without first obtaining the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written consent of the holders of at least a majority of</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then  outstanding  shares  of  FS  Development</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voting separately as a single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amend, alter or repeal any provision of the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Current Charter, if such amendment, alteration or</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repeal would alter or change the powers, preferences</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relative, participating, optional or other or special</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rights of the FS Development Class B Common Stock.</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96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960" w:gutter="0" w:footer="0" w:header="0"/>
          <w:type w:val="continuous"/>
        </w:sectPr>
      </w:pPr>
    </w:p>
    <w:bookmarkStart w:id="212" w:name="page213"/>
    <w:bookmarkEnd w:id="2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Cumulative Voting</w:t>
      </w:r>
    </w:p>
    <w:p>
      <w:pPr>
        <w:spacing w:after="0" w:line="20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Delaware law allows for cumulative voting only if Delaware law allows for cumulative voting only if provided for in the Current Charter; however, the provided for in the Proposed Charter; however, the Current Charter does not authorize cumulative voting. Proposed Charter does not authorize cumulative voting.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the Board of Directors</w:t>
      </w:r>
    </w:p>
    <w:p>
      <w:pPr>
        <w:spacing w:after="0" w:line="202" w:lineRule="exact"/>
        <w:rPr>
          <w:sz w:val="20"/>
          <w:szCs w:val="20"/>
          <w:color w:val="auto"/>
        </w:rPr>
      </w:pPr>
    </w:p>
    <w:p>
      <w:pPr>
        <w:jc w:val="both"/>
        <w:ind w:left="460" w:right="479"/>
        <w:spacing w:after="0" w:line="257" w:lineRule="auto"/>
        <w:rPr>
          <w:sz w:val="20"/>
          <w:szCs w:val="20"/>
          <w:color w:val="auto"/>
        </w:rPr>
      </w:pPr>
      <w:r>
        <w:rPr>
          <w:rFonts w:ascii="Times New Roman" w:cs="Times New Roman" w:eastAsia="Times New Roman" w:hAnsi="Times New Roman"/>
          <w:sz w:val="18"/>
          <w:szCs w:val="18"/>
          <w:color w:val="auto"/>
        </w:rPr>
        <w:t>Special meetings of the Board may be called by the Special meetings of the Combined Entity’s board of Chairman of the Board or Chief Executive Officer or directors may be called by the affirmative vote of a upon the written request of at least a majority of majority of the directors then in office, or by one</w:t>
      </w:r>
    </w:p>
    <w:p>
      <w:pPr>
        <w:spacing w:after="0" w:line="1" w:lineRule="exact"/>
        <w:rPr>
          <w:sz w:val="20"/>
          <w:szCs w:val="20"/>
          <w:color w:val="auto"/>
        </w:rPr>
      </w:pPr>
    </w:p>
    <w:p>
      <w:pPr>
        <w:jc w:val="both"/>
        <w:ind w:left="4500" w:right="479" w:hanging="4049"/>
        <w:spacing w:after="0" w:line="260" w:lineRule="auto"/>
        <w:tabs>
          <w:tab w:leader="none" w:pos="4480" w:val="left"/>
        </w:tabs>
        <w:rPr>
          <w:sz w:val="20"/>
          <w:szCs w:val="20"/>
          <w:color w:val="auto"/>
        </w:rPr>
      </w:pPr>
      <w:r>
        <w:rPr>
          <w:rFonts w:ascii="Times New Roman" w:cs="Times New Roman" w:eastAsia="Times New Roman" w:hAnsi="Times New Roman"/>
          <w:sz w:val="18"/>
          <w:szCs w:val="18"/>
          <w:color w:val="auto"/>
        </w:rPr>
        <w:t>directors then in office or the sole director.</w:t>
      </w:r>
      <w:r>
        <w:rPr>
          <w:sz w:val="20"/>
          <w:szCs w:val="20"/>
          <w:color w:val="auto"/>
        </w:rPr>
        <w:tab/>
      </w:r>
      <w:r>
        <w:rPr>
          <w:rFonts w:ascii="Times New Roman" w:cs="Times New Roman" w:eastAsia="Times New Roman" w:hAnsi="Times New Roman"/>
          <w:sz w:val="18"/>
          <w:szCs w:val="18"/>
          <w:color w:val="auto"/>
        </w:rPr>
        <w:t>director in the event there is only a single director in office, or by the Chairman or the President.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p>
      <w:pPr>
        <w:spacing w:after="0" w:line="202"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Under the Current Charter, any action required or Subject to the terms of any series of preferred stock, permitted to be taken by the stockholders of FS any action required or permitted to be taken by the Development must be effected by a duly called annual stockholders of Combined Entity must be effected at an or special meeting of such stockholders and may not annual or special meeting of the stockholders and may be effected by written consent of the stockholders, not be effected by written consent. other than with respect to the FS Development Class B</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with respect to which action may be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taken by written consent, and other than what may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otherwise be provided for pursuant to the Current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Charter relating to the rights of the holders of any</w:t>
      </w:r>
    </w:p>
    <w:p>
      <w:pPr>
        <w:spacing w:after="0" w:line="9" w:lineRule="exact"/>
        <w:rPr>
          <w:sz w:val="20"/>
          <w:szCs w:val="20"/>
          <w:color w:val="auto"/>
        </w:rPr>
      </w:pPr>
    </w:p>
    <w:p>
      <w:pPr>
        <w:ind w:left="460"/>
        <w:spacing w:after="0"/>
        <w:tabs>
          <w:tab w:leader="none" w:pos="1460" w:val="left"/>
          <w:tab w:leader="none" w:pos="2080" w:val="left"/>
          <w:tab w:leader="none" w:pos="2420" w:val="left"/>
          <w:tab w:leader="none" w:pos="3260" w:val="left"/>
          <w:tab w:leader="none" w:pos="3840" w:val="left"/>
          <w:tab w:leader="none" w:pos="4180" w:val="left"/>
        </w:tabs>
        <w:rPr>
          <w:sz w:val="20"/>
          <w:szCs w:val="20"/>
          <w:color w:val="auto"/>
        </w:rPr>
      </w:pPr>
      <w:r>
        <w:rPr>
          <w:rFonts w:ascii="Times New Roman" w:cs="Times New Roman" w:eastAsia="Times New Roman" w:hAnsi="Times New Roman"/>
          <w:sz w:val="18"/>
          <w:szCs w:val="18"/>
          <w:color w:val="auto"/>
        </w:rPr>
        <w:t>outstanding</w:t>
        <w:tab/>
        <w:t>series</w:t>
        <w:tab/>
        <w:t>of</w:t>
        <w:tab/>
        <w:t>preferred</w:t>
        <w:tab/>
        <w:t>stock</w:t>
        <w:tab/>
        <w:t>of</w:t>
      </w:r>
      <w:r>
        <w:rPr>
          <w:sz w:val="20"/>
          <w:szCs w:val="20"/>
          <w:color w:val="auto"/>
        </w:rPr>
        <w:tab/>
      </w:r>
      <w:r>
        <w:rPr>
          <w:rFonts w:ascii="Times New Roman" w:cs="Times New Roman" w:eastAsia="Times New Roman" w:hAnsi="Times New Roman"/>
          <w:sz w:val="17"/>
          <w:szCs w:val="17"/>
          <w:color w:val="auto"/>
        </w:rPr>
        <w:t>FS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Development.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Under Delaware law, an amendment to a charter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Proposed Charter any will require the affirmative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generally requires the approval of a company’s board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vote of the majority of the outstanding shares of capital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directors and a majority of the combined voting</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entitled to vote on such amendment, provided that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power of the then-outstanding shares of voting stock,</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provisions  in  the  Proposed  Charter  in  Article  V</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voting together as a single class.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(covering stockholder actions), Article VI, Section 3</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Article IX of the Current Charter relating to business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(covering classified Board of directors), Article VI,</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Section 5 (removal of directors), Article VII, Section 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combination requirements may not be amended prior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  on  director  liability)  and  Article  VIII</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  the  consummation  of  the  initial  business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of by-laws) will require approval of the</w:t>
            </w:r>
          </w:p>
        </w:tc>
        <w:tc>
          <w:tcPr>
            <w:tcW w:w="0" w:type="dxa"/>
            <w:vAlign w:val="bottom"/>
          </w:tcPr>
          <w:p>
            <w:pPr>
              <w:spacing w:after="0"/>
              <w:rPr>
                <w:sz w:val="1"/>
                <w:szCs w:val="1"/>
                <w:color w:val="auto"/>
              </w:rPr>
            </w:pPr>
          </w:p>
        </w:tc>
      </w:tr>
      <w:tr>
        <w:trPr>
          <w:trHeight w:val="171"/>
        </w:trPr>
        <w:tc>
          <w:tcPr>
            <w:tcW w:w="40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combination unless approved by the affirmative vote</w:t>
            </w:r>
          </w:p>
        </w:tc>
        <w:tc>
          <w:tcPr>
            <w:tcW w:w="4100" w:type="dxa"/>
            <w:vAlign w:val="bottom"/>
            <w:vMerge w:val="restart"/>
          </w:tcPr>
          <w:p>
            <w:pPr>
              <w:ind w:left="40"/>
              <w:spacing w:after="0" w:line="351" w:lineRule="exact"/>
              <w:rPr>
                <w:sz w:val="20"/>
                <w:szCs w:val="20"/>
                <w:color w:val="auto"/>
              </w:rPr>
            </w:pPr>
            <w:r>
              <w:rPr>
                <w:rFonts w:ascii="Times New Roman" w:cs="Times New Roman" w:eastAsia="Times New Roman" w:hAnsi="Times New Roman"/>
                <w:sz w:val="18"/>
                <w:szCs w:val="18"/>
                <w:color w:val="auto"/>
              </w:rPr>
              <w:t>holders of at least 66</w:t>
            </w:r>
            <w:r>
              <w:rPr>
                <w:rFonts w:ascii="Times New Roman" w:cs="Times New Roman" w:eastAsia="Times New Roman" w:hAnsi="Times New Roman"/>
                <w:sz w:val="35"/>
                <w:szCs w:val="35"/>
                <w:color w:val="auto"/>
                <w:vertAlign w:val="superscript"/>
              </w:rPr>
              <w:t>⅔</w:t>
            </w:r>
            <w:r>
              <w:rPr>
                <w:rFonts w:ascii="Times New Roman" w:cs="Times New Roman" w:eastAsia="Times New Roman" w:hAnsi="Times New Roman"/>
                <w:sz w:val="18"/>
                <w:szCs w:val="18"/>
                <w:color w:val="auto"/>
              </w:rPr>
              <w:t>% of the Combined Entity’s</w:t>
            </w:r>
          </w:p>
        </w:tc>
        <w:tc>
          <w:tcPr>
            <w:tcW w:w="0" w:type="dxa"/>
            <w:vAlign w:val="bottom"/>
          </w:tcPr>
          <w:p>
            <w:pPr>
              <w:spacing w:after="0"/>
              <w:rPr>
                <w:sz w:val="1"/>
                <w:szCs w:val="1"/>
                <w:color w:val="auto"/>
              </w:rPr>
            </w:pPr>
          </w:p>
        </w:tc>
      </w:tr>
      <w:tr>
        <w:trPr>
          <w:trHeight w:val="180"/>
        </w:trPr>
        <w:tc>
          <w:tcPr>
            <w:tcW w:w="4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of the holders of at least 65% of all then outstanding</w:t>
            </w: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and the rights, preferences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then-outstanding shares of capital stock entitled to vote</w:t>
            </w:r>
          </w:p>
        </w:tc>
        <w:tc>
          <w:tcPr>
            <w:tcW w:w="0" w:type="dxa"/>
            <w:vAlign w:val="bottom"/>
          </w:tcPr>
          <w:p>
            <w:pPr>
              <w:spacing w:after="0"/>
              <w:rPr>
                <w:sz w:val="1"/>
                <w:szCs w:val="1"/>
                <w:color w:val="auto"/>
              </w:rPr>
            </w:pPr>
          </w:p>
        </w:tc>
      </w:tr>
      <w:tr>
        <w:trPr>
          <w:trHeight w:val="25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and privileges of the Class B Common Stock may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generally at an election of directors.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only be amended with the approval of the holders of at</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least a majority of the then-outstanding shares of</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the By-laws</w:t>
      </w:r>
    </w:p>
    <w:p>
      <w:pPr>
        <w:spacing w:after="0" w:line="202" w:lineRule="exact"/>
        <w:rPr>
          <w:sz w:val="20"/>
          <w:szCs w:val="20"/>
          <w:color w:val="auto"/>
        </w:rPr>
      </w:pPr>
    </w:p>
    <w:p>
      <w:pPr>
        <w:ind w:left="460" w:right="479"/>
        <w:spacing w:after="0"/>
        <w:rPr>
          <w:sz w:val="20"/>
          <w:szCs w:val="20"/>
          <w:color w:val="auto"/>
        </w:rPr>
      </w:pPr>
      <w:r>
        <w:rPr>
          <w:rFonts w:ascii="Times New Roman" w:cs="Times New Roman" w:eastAsia="Times New Roman" w:hAnsi="Times New Roman"/>
          <w:sz w:val="18"/>
          <w:szCs w:val="18"/>
          <w:color w:val="auto"/>
        </w:rPr>
        <w:t>The Board is expressly authorized to make, alter, The Combined Entity’s board of directors is expressly amend or repeal the Current By-laws. The Current By- authorized to make, alter, amend or repeal the Amended laws may also be adopted, amended, altered or By-laws by the affirmative vote of a majority of the repealed by the FS Development stockholders directors. representing a majority of the voting power of all of</w:t>
      </w:r>
    </w:p>
    <w:p>
      <w:pPr>
        <w:spacing w:after="0" w:line="191" w:lineRule="exact"/>
        <w:rPr>
          <w:sz w:val="20"/>
          <w:szCs w:val="20"/>
          <w:color w:val="auto"/>
        </w:rPr>
      </w:pPr>
    </w:p>
    <w:p>
      <w:pPr>
        <w:jc w:val="both"/>
        <w:ind w:left="460" w:right="479"/>
        <w:spacing w:after="0" w:line="228" w:lineRule="auto"/>
        <w:rPr>
          <w:sz w:val="20"/>
          <w:szCs w:val="20"/>
          <w:color w:val="auto"/>
        </w:rPr>
      </w:pPr>
      <w:r>
        <w:rPr>
          <w:rFonts w:ascii="Times New Roman" w:cs="Times New Roman" w:eastAsia="Times New Roman" w:hAnsi="Times New Roman"/>
          <w:sz w:val="15"/>
          <w:szCs w:val="15"/>
          <w:color w:val="auto"/>
        </w:rPr>
        <w:t xml:space="preserve">the then-outstanding shares of capital stock of FS </w:t>
      </w:r>
      <w:r>
        <w:rPr>
          <w:rFonts w:ascii="Times New Roman" w:cs="Times New Roman" w:eastAsia="Times New Roman" w:hAnsi="Times New Roman"/>
          <w:sz w:val="28"/>
          <w:szCs w:val="28"/>
          <w:color w:val="auto"/>
          <w:vertAlign w:val="superscript"/>
        </w:rPr>
        <w:t>Any amendments to the Amended By-Laws will require</w:t>
      </w:r>
      <w:r>
        <w:rPr>
          <w:rFonts w:ascii="Times New Roman" w:cs="Times New Roman" w:eastAsia="Times New Roman" w:hAnsi="Times New Roman"/>
          <w:sz w:val="15"/>
          <w:szCs w:val="15"/>
          <w:color w:val="auto"/>
        </w:rPr>
        <w:t xml:space="preserve"> Development entitled to vote generally in the election approval of the holders of at least 66</w:t>
      </w:r>
      <w:r>
        <w:rPr>
          <w:rFonts w:ascii="Times New Roman" w:cs="Times New Roman" w:eastAsia="Times New Roman" w:hAnsi="Times New Roman"/>
          <w:sz w:val="28"/>
          <w:szCs w:val="28"/>
          <w:color w:val="auto"/>
          <w:vertAlign w:val="superscript"/>
        </w:rPr>
        <w:t>⅔</w:t>
      </w:r>
      <w:r>
        <w:rPr>
          <w:rFonts w:ascii="Times New Roman" w:cs="Times New Roman" w:eastAsia="Times New Roman" w:hAnsi="Times New Roman"/>
          <w:sz w:val="15"/>
          <w:szCs w:val="15"/>
          <w:color w:val="auto"/>
        </w:rPr>
        <w:t xml:space="preserve">% of the of directors, provided that the approval of at least Combined Entity’s then-outstanding shares of capital </w:t>
      </w:r>
      <w:r>
        <w:rPr>
          <w:rFonts w:ascii="Times New Roman" w:cs="Times New Roman" w:eastAsia="Times New Roman" w:hAnsi="Times New Roman"/>
          <w:sz w:val="28"/>
          <w:szCs w:val="28"/>
          <w:color w:val="auto"/>
          <w:vertAlign w:val="subscript"/>
        </w:rPr>
        <w:t>66</w:t>
      </w:r>
      <w:r>
        <w:rPr>
          <w:rFonts w:ascii="Times New Roman" w:cs="Times New Roman" w:eastAsia="Times New Roman" w:hAnsi="Times New Roman"/>
          <w:sz w:val="15"/>
          <w:szCs w:val="15"/>
          <w:color w:val="auto"/>
        </w:rPr>
        <w:t>⅔</w:t>
      </w:r>
      <w:r>
        <w:rPr>
          <w:rFonts w:ascii="Times New Roman" w:cs="Times New Roman" w:eastAsia="Times New Roman" w:hAnsi="Times New Roman"/>
          <w:sz w:val="28"/>
          <w:szCs w:val="28"/>
          <w:color w:val="auto"/>
          <w:vertAlign w:val="subscript"/>
        </w:rPr>
        <w:t>% of the Combined Entity’s then-outstanding</w:t>
      </w:r>
      <w:r>
        <w:rPr>
          <w:rFonts w:ascii="Times New Roman" w:cs="Times New Roman" w:eastAsia="Times New Roman" w:hAnsi="Times New Roman"/>
          <w:sz w:val="15"/>
          <w:szCs w:val="15"/>
          <w:color w:val="auto"/>
        </w:rPr>
        <w:t xml:space="preserve"> stock entitled to vote generally at an election of shares of capital stock entitled to vote generally at an </w:t>
      </w:r>
      <w:r>
        <w:rPr>
          <w:rFonts w:ascii="Times New Roman" w:cs="Times New Roman" w:eastAsia="Times New Roman" w:hAnsi="Times New Roman"/>
          <w:sz w:val="28"/>
          <w:szCs w:val="28"/>
          <w:color w:val="auto"/>
          <w:vertAlign w:val="superscript"/>
        </w:rPr>
        <w:t>directors.</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election of directors is required to amend Article VIII,</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which relates to indemnification matters.</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3" w:name="page214"/>
    <w:bookmarkEnd w:id="2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gridSpan w:val="2"/>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r>
      <w:tr>
        <w:trPr>
          <w:trHeight w:val="87"/>
        </w:trPr>
        <w:tc>
          <w:tcPr>
            <w:tcW w:w="5700" w:type="dxa"/>
            <w:vAlign w:val="bottom"/>
            <w:tcBorders>
              <w:bottom w:val="single" w:sz="8" w:color="auto"/>
            </w:tcBorders>
            <w:gridSpan w:val="2"/>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r>
      <w:tr>
        <w:trPr>
          <w:trHeight w:val="250"/>
        </w:trPr>
        <w:tc>
          <w:tcPr>
            <w:tcW w:w="5700" w:type="dxa"/>
            <w:vAlign w:val="bottom"/>
            <w:gridSpan w:val="2"/>
          </w:tcPr>
          <w:p>
            <w:pPr>
              <w:ind w:left="3720"/>
              <w:spacing w:after="0"/>
              <w:rPr>
                <w:sz w:val="20"/>
                <w:szCs w:val="20"/>
                <w:color w:val="auto"/>
              </w:rPr>
            </w:pPr>
            <w:r>
              <w:rPr>
                <w:rFonts w:ascii="Times New Roman" w:cs="Times New Roman" w:eastAsia="Times New Roman" w:hAnsi="Times New Roman"/>
                <w:sz w:val="18"/>
                <w:szCs w:val="18"/>
                <w:b w:val="1"/>
                <w:bCs w:val="1"/>
                <w:color w:val="auto"/>
              </w:rPr>
              <w:t>Quorum</w:t>
            </w:r>
          </w:p>
        </w:tc>
        <w:tc>
          <w:tcPr>
            <w:tcW w:w="2400" w:type="dxa"/>
            <w:vAlign w:val="bottom"/>
          </w:tcPr>
          <w:p>
            <w:pPr>
              <w:spacing w:after="0"/>
              <w:rPr>
                <w:sz w:val="21"/>
                <w:szCs w:val="2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A majority the Board constitutes</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Board of Directors.</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majority of the Combined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 quorum at any meeting of the Board.</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Entity’s board of directors constitutes a quorum at any</w:t>
            </w:r>
          </w:p>
        </w:tc>
      </w:tr>
      <w:tr>
        <w:trPr>
          <w:trHeight w:val="349"/>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The presence, in person or by proxy, at</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meeting of the Combined Entity’s board of directors.</w:t>
            </w:r>
          </w:p>
        </w:tc>
      </w:tr>
      <w:tr>
        <w:trPr>
          <w:trHeight w:val="21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 stockholders meeting of the holders of shares of</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 xml:space="preserve">Stockholders.   </w:t>
            </w:r>
            <w:r>
              <w:rPr>
                <w:rFonts w:ascii="Times New Roman" w:cs="Times New Roman" w:eastAsia="Times New Roman" w:hAnsi="Times New Roman"/>
                <w:sz w:val="18"/>
                <w:szCs w:val="18"/>
                <w:color w:val="auto"/>
              </w:rPr>
              <w:t>The presence, in person or by proxy, at</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capital stock representing a majority of</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stockholders meeting of the holders of shares of</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voting power of all outstanding shares of capital</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issued  and  outstanding  capital  stock  of  Combined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 entitled to vote at such meeting constitutes a</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Entity representing a majority of the voting power of all</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quorum; expect that when specified business is to be</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issued  and  outstanding  shares  of  capital  stock  of</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voted on by a class or series of stock voting together</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Combined  Entity  entitled  to  vote  at  such  meeting</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as a single class, the holders of shares representing a</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constitutes a quorum; provided, however, that where a</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voting power of the outstanding shares</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separate vote by a class or classes of capital stock is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such class or series will constitute a quorum.</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required, the holders of a majority in voting power of</w:t>
            </w:r>
          </w:p>
        </w:tc>
      </w:tr>
      <w:tr>
        <w:trPr>
          <w:trHeight w:val="234"/>
        </w:trPr>
        <w:tc>
          <w:tcPr>
            <w:tcW w:w="4000" w:type="dxa"/>
            <w:vAlign w:val="bottom"/>
          </w:tcPr>
          <w:p>
            <w:pPr>
              <w:spacing w:after="0"/>
              <w:rPr>
                <w:sz w:val="20"/>
                <w:szCs w:val="20"/>
                <w:color w:val="auto"/>
              </w:rPr>
            </w:pP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shares of such class and entitled to vote on such</w:t>
            </w:r>
          </w:p>
        </w:tc>
      </w:tr>
    </w:tbl>
    <w:p>
      <w:pPr>
        <w:ind w:left="4500"/>
        <w:spacing w:after="0"/>
        <w:rPr>
          <w:sz w:val="20"/>
          <w:szCs w:val="20"/>
          <w:color w:val="auto"/>
        </w:rPr>
      </w:pPr>
      <w:r>
        <w:rPr>
          <w:rFonts w:ascii="Times New Roman" w:cs="Times New Roman" w:eastAsia="Times New Roman" w:hAnsi="Times New Roman"/>
          <w:sz w:val="18"/>
          <w:szCs w:val="18"/>
          <w:color w:val="auto"/>
        </w:rPr>
        <w:t>matter, present in person or represented by proxy, shall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constitute a quorum.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Interested Directors</w:t>
      </w:r>
    </w:p>
    <w:p>
      <w:pPr>
        <w:spacing w:after="0" w:line="202" w:lineRule="exact"/>
        <w:rPr>
          <w:sz w:val="20"/>
          <w:szCs w:val="20"/>
          <w:color w:val="auto"/>
        </w:rPr>
      </w:pPr>
    </w:p>
    <w:p>
      <w:pPr>
        <w:ind w:left="460"/>
        <w:spacing w:after="0"/>
        <w:tabs>
          <w:tab w:leader="none" w:pos="4920" w:val="left"/>
          <w:tab w:leader="none" w:pos="5820" w:val="left"/>
          <w:tab w:leader="none" w:pos="6400" w:val="left"/>
          <w:tab w:leader="none" w:pos="7280" w:val="left"/>
          <w:tab w:leader="none" w:pos="7700" w:val="left"/>
          <w:tab w:leader="none" w:pos="8380" w:val="left"/>
        </w:tabs>
        <w:rPr>
          <w:sz w:val="20"/>
          <w:szCs w:val="20"/>
          <w:color w:val="auto"/>
        </w:rPr>
      </w:pPr>
      <w:r>
        <w:rPr>
          <w:rFonts w:ascii="Times New Roman" w:cs="Times New Roman" w:eastAsia="Times New Roman" w:hAnsi="Times New Roman"/>
          <w:sz w:val="18"/>
          <w:szCs w:val="18"/>
          <w:color w:val="auto"/>
        </w:rPr>
        <w:t>To the extent permitted by law, FS Development The</w:t>
        <w:tab/>
        <w:t>Combined</w:t>
        <w:tab/>
        <w:t>Entity</w:t>
        <w:tab/>
        <w:t>renounces</w:t>
        <w:tab/>
        <w:t>any</w:t>
        <w:tab/>
        <w:t>interest</w:t>
      </w:r>
      <w:r>
        <w:rPr>
          <w:sz w:val="20"/>
          <w:szCs w:val="20"/>
          <w:color w:val="auto"/>
        </w:rPr>
        <w:tab/>
      </w:r>
      <w:r>
        <w:rPr>
          <w:rFonts w:ascii="Times New Roman" w:cs="Times New Roman" w:eastAsia="Times New Roman" w:hAnsi="Times New Roman"/>
          <w:sz w:val="16"/>
          <w:szCs w:val="16"/>
          <w:color w:val="auto"/>
        </w:rPr>
        <w:t>or</w:t>
      </w:r>
    </w:p>
    <w:p>
      <w:pPr>
        <w:spacing w:after="0" w:line="27" w:lineRule="exact"/>
        <w:rPr>
          <w:sz w:val="20"/>
          <w:szCs w:val="20"/>
          <w:color w:val="auto"/>
        </w:rPr>
      </w:pPr>
    </w:p>
    <w:p>
      <w:pPr>
        <w:ind w:left="460"/>
        <w:spacing w:after="0"/>
        <w:tabs>
          <w:tab w:leader="none" w:pos="1320" w:val="left"/>
          <w:tab w:leader="none" w:pos="1720" w:val="left"/>
          <w:tab w:leader="none" w:pos="2680" w:val="left"/>
          <w:tab w:leader="none" w:pos="3100" w:val="left"/>
          <w:tab w:leader="none" w:pos="3520" w:val="left"/>
          <w:tab w:leader="none" w:pos="3820" w:val="left"/>
          <w:tab w:leader="none" w:pos="4180" w:val="left"/>
        </w:tabs>
        <w:rPr>
          <w:sz w:val="20"/>
          <w:szCs w:val="20"/>
          <w:color w:val="auto"/>
        </w:rPr>
      </w:pPr>
      <w:r>
        <w:rPr>
          <w:rFonts w:ascii="Times New Roman" w:cs="Times New Roman" w:eastAsia="Times New Roman" w:hAnsi="Times New Roman"/>
          <w:sz w:val="18"/>
          <w:szCs w:val="18"/>
          <w:color w:val="auto"/>
        </w:rPr>
        <w:t>renounces</w:t>
        <w:tab/>
        <w:t>any</w:t>
        <w:tab/>
        <w:t>expectancy</w:t>
        <w:tab/>
        <w:t>that</w:t>
        <w:tab/>
        <w:t>any</w:t>
        <w:tab/>
        <w:t>of</w:t>
        <w:tab/>
        <w:t>the</w:t>
        <w:tab/>
        <w:t>FS expectancy of Combined Entity in, or in being offered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Development  directors  or  officers  will  offer  any an opportunity to participate in, any matter, transaction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corporate opportunity in which he or she may become or interest that is presented to, or acquired, created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aware to FS Development, except with respect to any developed by any director of Combined Entity who is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the directors or officers of FS Development with not an employee or officer of Combined Entity or 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respect to a corporate opportunity that was offered to of its subsidiaries, unless such matter, transaction or</w:t>
      </w:r>
    </w:p>
    <w:p>
      <w:pPr>
        <w:spacing w:after="0" w:line="9" w:lineRule="exact"/>
        <w:rPr>
          <w:sz w:val="20"/>
          <w:szCs w:val="20"/>
          <w:color w:val="auto"/>
        </w:rPr>
      </w:pPr>
    </w:p>
    <w:p>
      <w:pPr>
        <w:ind w:left="460"/>
        <w:spacing w:after="0"/>
        <w:tabs>
          <w:tab w:leader="none" w:pos="5160" w:val="left"/>
          <w:tab w:leader="none" w:pos="5420" w:val="left"/>
          <w:tab w:leader="none" w:pos="6260" w:val="left"/>
          <w:tab w:leader="none" w:pos="6600" w:val="left"/>
          <w:tab w:leader="none" w:pos="6900" w:val="left"/>
          <w:tab w:leader="none" w:pos="7700" w:val="left"/>
          <w:tab w:leader="none" w:pos="8380" w:val="left"/>
        </w:tabs>
        <w:rPr>
          <w:sz w:val="20"/>
          <w:szCs w:val="20"/>
          <w:color w:val="auto"/>
        </w:rPr>
      </w:pPr>
      <w:r>
        <w:rPr>
          <w:rFonts w:ascii="Times New Roman" w:cs="Times New Roman" w:eastAsia="Times New Roman" w:hAnsi="Times New Roman"/>
          <w:sz w:val="18"/>
          <w:szCs w:val="18"/>
          <w:color w:val="auto"/>
        </w:rPr>
        <w:t>such person solely in his or her capacity as a director interest</w:t>
        <w:tab/>
        <w:t>is</w:t>
        <w:tab/>
        <w:t>presented</w:t>
        <w:tab/>
        <w:t>to,</w:t>
        <w:tab/>
        <w:t>or</w:t>
        <w:tab/>
        <w:t>acquired,</w:t>
        <w:tab/>
        <w:t>created</w:t>
      </w:r>
      <w:r>
        <w:rPr>
          <w:sz w:val="20"/>
          <w:szCs w:val="20"/>
          <w:color w:val="auto"/>
        </w:rPr>
        <w:tab/>
      </w:r>
      <w:r>
        <w:rPr>
          <w:rFonts w:ascii="Times New Roman" w:cs="Times New Roman" w:eastAsia="Times New Roman" w:hAnsi="Times New Roman"/>
          <w:sz w:val="16"/>
          <w:szCs w:val="16"/>
          <w:color w:val="auto"/>
        </w:rPr>
        <w:t>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officer of FS Development and (i) such opportunity developed by, or otherwise comes into the possession</w:t>
      </w:r>
    </w:p>
    <w:p>
      <w:pPr>
        <w:spacing w:after="0" w:line="9" w:lineRule="exact"/>
        <w:rPr>
          <w:sz w:val="20"/>
          <w:szCs w:val="20"/>
          <w:color w:val="auto"/>
        </w:rPr>
      </w:pPr>
    </w:p>
    <w:p>
      <w:pPr>
        <w:ind w:left="460"/>
        <w:spacing w:after="0"/>
        <w:tabs>
          <w:tab w:leader="none" w:pos="740" w:val="left"/>
          <w:tab w:leader="none" w:pos="1180" w:val="left"/>
          <w:tab w:leader="none" w:pos="1620" w:val="left"/>
          <w:tab w:leader="none" w:pos="2000" w:val="left"/>
          <w:tab w:leader="none" w:pos="3160" w:val="left"/>
          <w:tab w:leader="none" w:pos="3460" w:val="left"/>
          <w:tab w:leader="none" w:pos="4120" w:val="left"/>
        </w:tabs>
        <w:rPr>
          <w:sz w:val="20"/>
          <w:szCs w:val="20"/>
          <w:color w:val="auto"/>
        </w:rPr>
      </w:pPr>
      <w:r>
        <w:rPr>
          <w:rFonts w:ascii="Times New Roman" w:cs="Times New Roman" w:eastAsia="Times New Roman" w:hAnsi="Times New Roman"/>
          <w:sz w:val="18"/>
          <w:szCs w:val="18"/>
          <w:color w:val="auto"/>
        </w:rPr>
        <w:t>is</w:t>
        <w:tab/>
        <w:t>one</w:t>
        <w:tab/>
        <w:t>that</w:t>
        <w:tab/>
        <w:t>FS</w:t>
        <w:tab/>
        <w:t>Development</w:t>
        <w:tab/>
        <w:t>is</w:t>
        <w:tab/>
        <w:t>legally</w:t>
        <w:tab/>
        <w:t>and of, such person expressly and solely in such person’s</w:t>
      </w:r>
    </w:p>
    <w:p>
      <w:pPr>
        <w:spacing w:after="0" w:line="9" w:lineRule="exact"/>
        <w:rPr>
          <w:sz w:val="20"/>
          <w:szCs w:val="20"/>
          <w:color w:val="auto"/>
        </w:rPr>
      </w:pPr>
    </w:p>
    <w:p>
      <w:pPr>
        <w:ind w:left="460"/>
        <w:spacing w:after="0"/>
        <w:tabs>
          <w:tab w:leader="none" w:pos="1520" w:val="left"/>
          <w:tab w:leader="none" w:pos="2360" w:val="left"/>
          <w:tab w:leader="none" w:pos="2660" w:val="left"/>
          <w:tab w:leader="none" w:pos="3520" w:val="left"/>
          <w:tab w:leader="none" w:pos="3940" w:val="left"/>
        </w:tabs>
        <w:rPr>
          <w:sz w:val="20"/>
          <w:szCs w:val="20"/>
          <w:color w:val="auto"/>
        </w:rPr>
      </w:pPr>
      <w:r>
        <w:rPr>
          <w:rFonts w:ascii="Times New Roman" w:cs="Times New Roman" w:eastAsia="Times New Roman" w:hAnsi="Times New Roman"/>
          <w:sz w:val="18"/>
          <w:szCs w:val="18"/>
          <w:color w:val="auto"/>
        </w:rPr>
        <w:t>contractually</w:t>
        <w:tab/>
        <w:t>permitted</w:t>
        <w:tab/>
        <w:t>to</w:t>
        <w:tab/>
        <w:t>undertake</w:t>
        <w:tab/>
        <w:t>and</w:t>
        <w:tab/>
        <w:t>would capacity as a director of the Combined Entity.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otherwise be reasonable for FS Development to pursue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(ii) the director or officer is permitted to refer that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opportunity to FS Development without violating 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legal obligation.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Stockholder Meetings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By-laws provide that a special meeting of Subject to the rights of any series of preferred stock,</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may be called by the Chairman of the special meetings of the Combined Entity’s stockholders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Chief Executive Officer of FS Development, or may be called by the Combined Entity’s board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pursuant to a resolution adopted by a directors pursuant to a resolution adopted by a majority</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majority of the Board.</w:t>
      </w:r>
      <w:r>
        <w:rPr>
          <w:sz w:val="20"/>
          <w:szCs w:val="20"/>
          <w:color w:val="auto"/>
        </w:rPr>
        <w:tab/>
      </w:r>
      <w:r>
        <w:rPr>
          <w:rFonts w:ascii="Times New Roman" w:cs="Times New Roman" w:eastAsia="Times New Roman" w:hAnsi="Times New Roman"/>
          <w:sz w:val="17"/>
          <w:szCs w:val="17"/>
          <w:color w:val="auto"/>
        </w:rPr>
        <w:t>of the Combined Entity’s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Stockholder Meetings</w:t>
      </w:r>
    </w:p>
    <w:p>
      <w:pPr>
        <w:spacing w:after="0" w:line="202" w:lineRule="exact"/>
        <w:rPr>
          <w:sz w:val="20"/>
          <w:szCs w:val="20"/>
          <w:color w:val="auto"/>
        </w:rPr>
      </w:pPr>
    </w:p>
    <w:p>
      <w:pPr>
        <w:ind w:left="460" w:right="459"/>
        <w:spacing w:after="0" w:line="254" w:lineRule="auto"/>
        <w:rPr>
          <w:sz w:val="20"/>
          <w:szCs w:val="20"/>
          <w:color w:val="auto"/>
        </w:rPr>
      </w:pPr>
      <w:r>
        <w:rPr>
          <w:rFonts w:ascii="Times New Roman" w:cs="Times New Roman" w:eastAsia="Times New Roman" w:hAnsi="Times New Roman"/>
          <w:sz w:val="18"/>
          <w:szCs w:val="18"/>
          <w:color w:val="auto"/>
        </w:rPr>
        <w:t>Written notice stating the place, if any, date and hour Except as otherwise provided by law or the Proposed of each meeting of FS Development’s stockholders, Charter or the Amended By-laws, notice of each the means of remote communications, if any, by which meeting of the Combined Entity’s stockholders, stockholders and proxy holders may be deemed to be whether annual or special, shall be given not less than present in person and vote at such meeting, the record ten (10) nor more than sixty (60) days before the date of date for determining the stockholders entitled to vote the meeting to each stockholder entitled to vote at such at the meeting (if such date is different from the record meeting as of the record date for determining the date for stockholders entitled to notice of the meeting) Combined Entity’s stockholders entitled to notice of the must be delivered not less than ten (10) nor more than meeting. sixty (60) days before the date of the meeting, unless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otherwise required by law.</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4" w:name="page215"/>
    <w:bookmarkEnd w:id="2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3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Whenever notice is required to be given to any FS Without limiting the manner by which notice otherwise Development stockholder, such notice may be given may be given to the Combined Entity’s stockholders,</w:t>
      </w:r>
    </w:p>
    <w:p>
      <w:pPr>
        <w:jc w:val="both"/>
        <w:ind w:left="460" w:right="459" w:hanging="6"/>
        <w:spacing w:after="0" w:line="250" w:lineRule="auto"/>
        <w:tabs>
          <w:tab w:leader="none" w:pos="67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and sent either by hand delivery, through any notice to the Combined Entity’s stockholders given the United States mail, or by a nationally recognized by Combined Entity shall be effective if given by overnight delivery service for next day delivery, or electronic transmission in accordance with Section 232</w:t>
      </w:r>
    </w:p>
    <w:p>
      <w:pPr>
        <w:spacing w:after="0" w:line="1" w:lineRule="exact"/>
        <w:rPr>
          <w:rFonts w:ascii="Times New Roman" w:cs="Times New Roman" w:eastAsia="Times New Roman" w:hAnsi="Times New Roman"/>
          <w:sz w:val="18"/>
          <w:szCs w:val="18"/>
          <w:color w:val="auto"/>
        </w:rPr>
      </w:pPr>
    </w:p>
    <w:p>
      <w:pPr>
        <w:jc w:val="both"/>
        <w:ind w:left="460" w:right="479" w:hanging="6"/>
        <w:spacing w:after="0" w:line="250" w:lineRule="auto"/>
        <w:tabs>
          <w:tab w:leader="none" w:pos="77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form of electronic transmission of the DGCL. The notices of all meetings shall state the consented to by the stockholder, to the extent place, if any, date and time of the meeting, the means 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permitted by, and subject to the conditions set forth in remote communications, if any, by which stockholders</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Section 232 of the DGCL.</w:t>
      </w:r>
      <w:r>
        <w:rPr>
          <w:sz w:val="20"/>
          <w:szCs w:val="20"/>
          <w:color w:val="auto"/>
        </w:rPr>
        <w:tab/>
      </w:r>
      <w:r>
        <w:rPr>
          <w:rFonts w:ascii="Times New Roman" w:cs="Times New Roman" w:eastAsia="Times New Roman" w:hAnsi="Times New Roman"/>
          <w:sz w:val="18"/>
          <w:szCs w:val="18"/>
          <w:color w:val="auto"/>
        </w:rPr>
        <w:t>and proxyholders may be deemed to be present 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person and vote at such meeting, and the record date for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determining the stockholders entitled to vote at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meeting (if such date is different from the record date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for stockholders entitled to notice of the meeting).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notice of a special meeting shall state, in addition,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purpose or purposes for which the meeting is called.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(Other than Nomination of Persons for Election as Directors)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 business may be transacted at an annual meeting of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 business may be conducted at an annual meeting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stockholders, other than business that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the Combined Entity’s stockholders, other than business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is either (i) specified in FS Development’s notice of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that is either (i) specified in Combined Entity’s notice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meeting  (or  any  supplement  thereto)  delivered</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meeting</w:t>
            </w: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delivered</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pursuant  to  the  By-laws,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pursuant  to  the  By-laws,  (ii)  otherwise  properly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(ii)  otherwise  properly  brought  before  the  annual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brought  before  the  annual  meeting  by  or  at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meeting by or at the direction of the board (or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direction of the Board or (iii) otherwise properly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committee thereof) or (iii) otherwise properly brought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brought  before  the  annual  meeting  by  any  FS</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before the annual meeting by any stockholder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stockholder who is entitled to vote at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Combined Entity who is entitled to vote at the meeting,</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meeting, who complies with the notice procedures set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who complies with the notice procedures set forth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forth in the Current By-laws.</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Amended By-laws and who is a stockholder of record</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FS Development stockholder must (i) give timely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at the time such notice is delivered to the Secretary of</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190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the Combined Entity.</w:t>
            </w: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notice thereof in proper written form to the Secretary</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FS Development, and (ii) the business must be a</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Combined Entity stockholder must (i) give timely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proper matter for stockholder action. To be timely, a</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notice thereof in proper written form to the Secretary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stockholder’s  notice  must  be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Combined Entity and (ii) the business must be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received by the Secretary at the principal executive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proper matter for stockholder action. To be timely,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offices of FS Development not later than the close of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stockholder’s notice must be received at the principal</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nor earlier than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executive offices of Combined Entity not less than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opening of business on the one-hundred twentieth</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ninety  (90)</w:t>
            </w: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more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than  one-hundred  twenty</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before  the  anniversary  date  of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(120) days prior to the one-year anniversary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immediately  preceding  annual  meeting;  provided,</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preceding year’s annual meeting; provided however if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however, that in the event that the annual meeting is</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date of the annual meeting is more than thirty (30)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more than 30 days before or more than 60 days after</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days before or more than sixty (60) days after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such anniversary date, notice must be delivered not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anniversary date, the notice must be delivered not later</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w:t>
            </w:r>
          </w:p>
        </w:tc>
        <w:tc>
          <w:tcPr>
            <w:tcW w:w="410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18"/>
                <w:szCs w:val="18"/>
                <w:color w:val="auto"/>
              </w:rPr>
              <w:t>than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such  annual</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before the meeting and not later than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meeting or, if later, the tenth day following the day on</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before the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public</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which public disclosure of such meeting was first made.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the date of the annual meeting, if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public  announcement  of  an  adjournment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later. The public announcement of an adjournment or</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postponement of an annual meeting will not commence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postponement  of  an  annual  meeting  shall  not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 new time period (or extend any time period) for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commence a new time period (or extend any time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giving  of  a  stockholder’s  notice.  Additionally,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period)  for  the  giving  of  a  stockholder’s  notice.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stockholder must provide information pursuant to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Additionally,   the   stockholder   must   provide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advance notice provisions in the Amended By-laws.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pursuant to the advance notice provisions</w:t>
            </w: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 the Current By-laws.</w:t>
            </w: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40" w:type="dxa"/>
            <w:vAlign w:val="bottom"/>
            <w:tcBorders>
              <w:bottom w:val="single" w:sz="8" w:color="auto"/>
            </w:tcBorders>
            <w:gridSpan w:val="2"/>
          </w:tcPr>
          <w:p>
            <w:pPr>
              <w:ind w:left="3900"/>
              <w:spacing w:after="0"/>
              <w:rPr>
                <w:sz w:val="20"/>
                <w:szCs w:val="20"/>
                <w:color w:val="auto"/>
              </w:rPr>
            </w:pPr>
            <w:r>
              <w:rPr>
                <w:rFonts w:ascii="Times New Roman" w:cs="Times New Roman" w:eastAsia="Times New Roman" w:hAnsi="Times New Roman"/>
                <w:sz w:val="18"/>
                <w:szCs w:val="18"/>
                <w:color w:val="auto"/>
              </w:rPr>
              <w:t>203</w:t>
            </w:r>
          </w:p>
        </w:tc>
        <w:tc>
          <w:tcPr>
            <w:tcW w:w="8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15" w:name="page216"/>
    <w:bookmarkEnd w:id="2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c>
          <w:tcPr>
            <w:tcW w:w="0" w:type="dxa"/>
            <w:vAlign w:val="bottom"/>
          </w:tcPr>
          <w:p>
            <w:pPr>
              <w:spacing w:after="0"/>
              <w:rPr>
                <w:sz w:val="1"/>
                <w:szCs w:val="1"/>
                <w:color w:val="auto"/>
              </w:rPr>
            </w:pPr>
          </w:p>
        </w:tc>
      </w:tr>
      <w:tr>
        <w:trPr>
          <w:trHeight w:val="87"/>
        </w:trPr>
        <w:tc>
          <w:tcPr>
            <w:tcW w:w="81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10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Stockholder Nominations of Persons for Election as Directors</w:t>
            </w:r>
          </w:p>
        </w:tc>
        <w:tc>
          <w:tcPr>
            <w:tcW w:w="0" w:type="dxa"/>
            <w:vAlign w:val="bottom"/>
          </w:tcPr>
          <w:p>
            <w:pPr>
              <w:spacing w:after="0"/>
              <w:rPr>
                <w:sz w:val="1"/>
                <w:szCs w:val="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Nominations of persons for election to Board may be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Nominations of persons for election to the Combined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made by any stockholder of FS Development who is a</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Entity’s  board  of  directors  may  be  made  by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 of record entitled to vote in the election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of Combined Entity who provides a timely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on the date of the giving of the notice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(i.e. provides notice which must be received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required (as described below) and on the record date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writing  by  the  secretary  of  Combined  Entity  at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 the determination of stockholders entitled to vote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Entity’s principal executive officer either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such meeting and who gives proper notice.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 in the case of an election of directors at an annual</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 give timely notice, a stockholder’s notice must be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 not less than ninety (90) days nor more than</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one  hundred  twenty  (120)  days  prior  to  the  first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given to the Secretary of FS Development at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anniversary of the preceding year’s annual meeting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offices of FS Development either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most cases) or (ii) in the case of an election of directors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 in the case of an annual meeting, not later than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a special meeting, not earlier than one hundred</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close of business on the ninetieth (90</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4"/>
                <w:szCs w:val="14"/>
                <w:color w:val="auto"/>
              </w:rPr>
              <w:t>) day nor earlier</w:t>
            </w:r>
          </w:p>
        </w:tc>
        <w:tc>
          <w:tcPr>
            <w:tcW w:w="4100" w:type="dxa"/>
            <w:vAlign w:val="bottom"/>
          </w:tcPr>
          <w:p>
            <w:pPr>
              <w:ind w:left="1100"/>
              <w:spacing w:after="0"/>
              <w:rPr>
                <w:sz w:val="20"/>
                <w:szCs w:val="20"/>
                <w:color w:val="auto"/>
              </w:rPr>
            </w:pPr>
            <w:r>
              <w:rPr>
                <w:rFonts w:ascii="Times New Roman" w:cs="Times New Roman" w:eastAsia="Times New Roman" w:hAnsi="Times New Roman"/>
                <w:sz w:val="10"/>
                <w:szCs w:val="10"/>
                <w:color w:val="auto"/>
              </w:rPr>
              <w:t>th</w:t>
            </w:r>
          </w:p>
        </w:tc>
        <w:tc>
          <w:tcPr>
            <w:tcW w:w="0" w:type="dxa"/>
            <w:vAlign w:val="bottom"/>
          </w:tcPr>
          <w:p>
            <w:pPr>
              <w:spacing w:after="0"/>
              <w:rPr>
                <w:sz w:val="1"/>
                <w:szCs w:val="1"/>
                <w:color w:val="auto"/>
              </w:rPr>
            </w:pPr>
          </w:p>
        </w:tc>
      </w:tr>
      <w:tr>
        <w:trPr>
          <w:trHeight w:val="117"/>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than  the  close  of  business  on  the  one  hundred</w:t>
            </w:r>
          </w:p>
        </w:tc>
        <w:tc>
          <w:tcPr>
            <w:tcW w:w="410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twentieth (120 ) day prior to such special meeting and</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not later than the close of business on the later of (a) the</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before the anniversary date of the</w:t>
            </w:r>
          </w:p>
        </w:tc>
        <w:tc>
          <w:tcPr>
            <w:tcW w:w="410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such special meeting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immediately preceding annual meeting of stockholders</w:t>
            </w:r>
          </w:p>
        </w:tc>
        <w:tc>
          <w:tcPr>
            <w:tcW w:w="410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(b)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 most cases) and (ii) in the case of a special meeting</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public disclosure of the date of such special meeting for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stockholders called for the purpose of electing</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election of directors is first made), is a stockholder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not later than the close of business on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record on the date of giving such notices and on the</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record  date  for  the  determination  of  stockholders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the date of the special meeting is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entitled to vote at such a meeting, and is entitled to vote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first made.</w:t>
            </w: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at such meeting and on such election.</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4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 of Liability of Directors and Officers</w:t>
      </w:r>
    </w:p>
    <w:p>
      <w:pPr>
        <w:spacing w:after="0" w:line="202" w:lineRule="exact"/>
        <w:rPr>
          <w:sz w:val="20"/>
          <w:szCs w:val="20"/>
          <w:color w:val="auto"/>
        </w:rPr>
      </w:pPr>
    </w:p>
    <w:p>
      <w:pPr>
        <w:ind w:left="460" w:right="459"/>
        <w:spacing w:after="0"/>
        <w:rPr>
          <w:sz w:val="20"/>
          <w:szCs w:val="20"/>
          <w:color w:val="auto"/>
        </w:rPr>
      </w:pPr>
      <w:r>
        <w:rPr>
          <w:rFonts w:ascii="Times New Roman" w:cs="Times New Roman" w:eastAsia="Times New Roman" w:hAnsi="Times New Roman"/>
          <w:sz w:val="18"/>
          <w:szCs w:val="18"/>
          <w:color w:val="auto"/>
        </w:rPr>
        <w:t>The DGCL permits limiting or eliminating the The DGCL permits limiting or eliminating the monetary liability of a director to a corporation or its monetary liability of a director to a corporation or its stockholders, except with regard to breaches of the stockholders, except with regard to breaches of the duty duty of loyalty, intentional misconduct, unlawful of loyalty, intentional misconduct, unlawful repurchases repurchases or dividends, or improper personal or dividends, or improper personal benefit. benefit.</w:t>
      </w:r>
    </w:p>
    <w:p>
      <w:pPr>
        <w:spacing w:after="0" w:line="20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Proposed Charter provides that no director will be</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Charter provides that no director will be personally liable, except to the extent an exemption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personally liable, except to the extent an exemption from liability or limitation is not permitted under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liability or limitation is not permitted under the DGCL, unless a director breached his or her duty of</w:t>
      </w:r>
    </w:p>
    <w:p>
      <w:pPr>
        <w:spacing w:after="0" w:line="9" w:lineRule="exact"/>
        <w:rPr>
          <w:sz w:val="20"/>
          <w:szCs w:val="20"/>
          <w:color w:val="auto"/>
        </w:rPr>
      </w:pPr>
    </w:p>
    <w:p>
      <w:pPr>
        <w:ind w:left="460"/>
        <w:spacing w:after="0"/>
        <w:tabs>
          <w:tab w:leader="none" w:pos="5140" w:val="left"/>
          <w:tab w:leader="none" w:pos="5440" w:val="left"/>
          <w:tab w:leader="none" w:pos="6340" w:val="left"/>
          <w:tab w:leader="none" w:pos="6940" w:val="left"/>
          <w:tab w:leader="none" w:pos="7260" w:val="left"/>
          <w:tab w:leader="none" w:pos="7580" w:val="left"/>
        </w:tabs>
        <w:rPr>
          <w:sz w:val="20"/>
          <w:szCs w:val="20"/>
          <w:color w:val="auto"/>
        </w:rPr>
      </w:pPr>
      <w:r>
        <w:rPr>
          <w:rFonts w:ascii="Times New Roman" w:cs="Times New Roman" w:eastAsia="Times New Roman" w:hAnsi="Times New Roman"/>
          <w:sz w:val="18"/>
          <w:szCs w:val="18"/>
          <w:color w:val="auto"/>
        </w:rPr>
        <w:t>DGCL, unless a director violated his or her duty of loyalty</w:t>
        <w:tab/>
        <w:t>to</w:t>
        <w:tab/>
        <w:t>Combined</w:t>
        <w:tab/>
        <w:t>Entity</w:t>
        <w:tab/>
        <w:t>or</w:t>
        <w:tab/>
        <w:t>its</w:t>
        <w:tab/>
        <w:t>stockholders,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loyalty to the FS Development or its stockholders, performed acts or omissions not in good faith or which</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acted in bad faith, knowingly or intentionally violated involve intentional misconduct or a knowing violation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law, authorized unlawful payments of dividends, of law, pursuant to Section 174 of the DGCL, or for 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unlawful stock purchases or unlawful redemptions, or transaction from which the director derived an improper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derived improper personal benefit from his or her personal benefit.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actions as a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Directors, Officers</w:t>
      </w:r>
    </w:p>
    <w:p>
      <w:pPr>
        <w:spacing w:after="0" w:line="202" w:lineRule="exact"/>
        <w:rPr>
          <w:sz w:val="20"/>
          <w:szCs w:val="20"/>
          <w:color w:val="auto"/>
        </w:rPr>
      </w:pPr>
    </w:p>
    <w:p>
      <w:pPr>
        <w:ind w:left="460"/>
        <w:spacing w:after="0"/>
        <w:tabs>
          <w:tab w:leader="none" w:pos="860" w:val="left"/>
          <w:tab w:leader="none" w:pos="1500" w:val="left"/>
          <w:tab w:leader="none" w:pos="2340" w:val="left"/>
          <w:tab w:leader="none" w:pos="3020" w:val="left"/>
          <w:tab w:leader="none" w:pos="3260" w:val="left"/>
          <w:tab w:leader="none" w:pos="4240" w:val="left"/>
          <w:tab w:leader="none" w:pos="4940" w:val="left"/>
          <w:tab w:leader="none" w:pos="5600" w:val="left"/>
          <w:tab w:leader="none" w:pos="6420" w:val="left"/>
          <w:tab w:leader="none" w:pos="7140" w:val="left"/>
          <w:tab w:leader="none" w:pos="7380" w:val="left"/>
          <w:tab w:leader="none" w:pos="8380" w:val="left"/>
        </w:tabs>
        <w:rPr>
          <w:sz w:val="20"/>
          <w:szCs w:val="20"/>
          <w:color w:val="auto"/>
        </w:rPr>
      </w:pPr>
      <w:r>
        <w:rPr>
          <w:rFonts w:ascii="Times New Roman" w:cs="Times New Roman" w:eastAsia="Times New Roman" w:hAnsi="Times New Roman"/>
          <w:sz w:val="18"/>
          <w:szCs w:val="18"/>
          <w:color w:val="auto"/>
        </w:rPr>
        <w:t>The</w:t>
        <w:tab/>
        <w:t>DGCL</w:t>
        <w:tab/>
        <w:t>generally</w:t>
        <w:tab/>
        <w:t>permits</w:t>
        <w:tab/>
        <w:t>a</w:t>
        <w:tab/>
        <w:t>corporation</w:t>
        <w:tab/>
        <w:t>to The</w:t>
        <w:tab/>
        <w:t>DGCL</w:t>
        <w:tab/>
        <w:t>generally</w:t>
        <w:tab/>
        <w:t>permits</w:t>
        <w:tab/>
        <w:t>a</w:t>
        <w:tab/>
        <w:t>corporation</w:t>
      </w:r>
      <w:r>
        <w:rPr>
          <w:sz w:val="20"/>
          <w:szCs w:val="20"/>
          <w:color w:val="auto"/>
        </w:rPr>
        <w:tab/>
      </w:r>
      <w:r>
        <w:rPr>
          <w:rFonts w:ascii="Times New Roman" w:cs="Times New Roman" w:eastAsia="Times New Roman" w:hAnsi="Times New Roman"/>
          <w:sz w:val="17"/>
          <w:szCs w:val="17"/>
          <w:color w:val="auto"/>
        </w:rPr>
        <w:t>to</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indemnify its directors and officers acting in good indemnify its directors and officers acting in good faith.</w:t>
      </w:r>
    </w:p>
    <w:p>
      <w:pPr>
        <w:spacing w:after="0" w:line="9" w:lineRule="exact"/>
        <w:rPr>
          <w:sz w:val="20"/>
          <w:szCs w:val="20"/>
          <w:color w:val="auto"/>
        </w:rPr>
      </w:pPr>
    </w:p>
    <w:p>
      <w:pPr>
        <w:ind w:left="460"/>
        <w:spacing w:after="0"/>
        <w:tabs>
          <w:tab w:leader="none" w:pos="5120" w:val="left"/>
          <w:tab w:leader="none" w:pos="5500" w:val="left"/>
          <w:tab w:leader="none" w:pos="6220" w:val="left"/>
          <w:tab w:leader="none" w:pos="6620" w:val="left"/>
          <w:tab w:leader="none" w:pos="7620" w:val="left"/>
          <w:tab w:leader="none" w:pos="8360" w:val="left"/>
        </w:tabs>
        <w:rPr>
          <w:sz w:val="20"/>
          <w:szCs w:val="20"/>
          <w:color w:val="auto"/>
        </w:rPr>
      </w:pPr>
      <w:r>
        <w:rPr>
          <w:rFonts w:ascii="Times New Roman" w:cs="Times New Roman" w:eastAsia="Times New Roman" w:hAnsi="Times New Roman"/>
          <w:sz w:val="18"/>
          <w:szCs w:val="18"/>
          <w:color w:val="auto"/>
        </w:rPr>
        <w:t>faith. Under the DGCL, the corporation through its Under</w:t>
        <w:tab/>
        <w:t>the</w:t>
        <w:tab/>
        <w:t>DGCL,</w:t>
        <w:tab/>
        <w:t>the</w:t>
        <w:tab/>
        <w:t>corporation</w:t>
        <w:tab/>
        <w:t>through</w:t>
        <w:tab/>
        <w:t>its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directors or independent legal counsel, stockholders, directors or independent legal counsel,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 determine that the conduct of the person seeking will determine that the conduct of the person seeking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indemnity conformed with the statutory provisions indemnity  conformed  with  the  statutory  provisions</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governing indemnity.</w:t>
      </w:r>
      <w:r>
        <w:rPr>
          <w:sz w:val="20"/>
          <w:szCs w:val="20"/>
          <w:color w:val="auto"/>
        </w:rPr>
        <w:tab/>
      </w:r>
      <w:r>
        <w:rPr>
          <w:rFonts w:ascii="Times New Roman" w:cs="Times New Roman" w:eastAsia="Times New Roman" w:hAnsi="Times New Roman"/>
          <w:sz w:val="17"/>
          <w:szCs w:val="17"/>
          <w:color w:val="auto"/>
        </w:rPr>
        <w:t>governing indemnity.</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Charter provides that FS Development The Amended By-laws provide that Combined Entity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 indemnify each director and officer to the fullest will indemnify each director and officer to the fullest</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extent permitted by applicable law.</w:t>
      </w:r>
      <w:r>
        <w:rPr>
          <w:sz w:val="20"/>
          <w:szCs w:val="20"/>
          <w:color w:val="auto"/>
        </w:rPr>
        <w:tab/>
      </w:r>
      <w:r>
        <w:rPr>
          <w:rFonts w:ascii="Times New Roman" w:cs="Times New Roman" w:eastAsia="Times New Roman" w:hAnsi="Times New Roman"/>
          <w:sz w:val="17"/>
          <w:szCs w:val="17"/>
          <w:color w:val="auto"/>
        </w:rPr>
        <w:t>extent permitted by applicable law.</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6" w:name="page217"/>
    <w:bookmarkEnd w:id="2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Unless further restricted in the certificate of Unless further restricted in the certificate of incorporation, the DGCL permits a corporation to incorporation, the DGCL permits a corporation to declare and pay dividends out of either (i) surplus, or declare and pay dividends out of either (i) surplus, or</w:t>
      </w:r>
    </w:p>
    <w:p>
      <w:pPr>
        <w:spacing w:after="0" w:line="1" w:lineRule="exact"/>
        <w:rPr>
          <w:sz w:val="20"/>
          <w:szCs w:val="20"/>
          <w:color w:val="auto"/>
        </w:rPr>
      </w:pPr>
    </w:p>
    <w:p>
      <w:pPr>
        <w:jc w:val="both"/>
        <w:ind w:left="460" w:right="459" w:hanging="6"/>
        <w:spacing w:after="0" w:line="250" w:lineRule="auto"/>
        <w:tabs>
          <w:tab w:leader="none" w:pos="73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surplus exists, out of net profits for the fiscal (ii) if no surplus exists, out of net profits for the fiscal year in which the dividend is declared and/or the year in which the dividend is declared and/or the preceding fiscal year (provided that the amount of preceding fiscal year (provided that the amount of capital of the corporation is not less than the aggregate capital of the corporation is not less than the aggregate amount of the capital represented by the issued and amount of the capital represented by the issued and outstanding stock of all classes having a preference outstanding stock of all classes having a preference upon the distribution of assets). The DGCL defines upon the distribution of assets). The DGCL defines surplus as the excess, at any time, of the net assets of a surplus as the excess, at any time, of the net assets of a corporation over its stated capital. In addition, the corporation over its stated capital. In addition, the DGCL provides that a corporation may redeem or DGCL provides that a corporation may redeem or repurchase its shares only when the capital of the repurchase its shares only when the capital of the corporation is not impaired and only if such corporation is not impaired and only if such redemption redemption or repurchase would not cause any or repurchase would not cause any impairment of the</w:t>
      </w:r>
    </w:p>
    <w:p>
      <w:pPr>
        <w:spacing w:after="0" w:line="5"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impairment of the capital of a corporation.</w:t>
      </w:r>
      <w:r>
        <w:rPr>
          <w:sz w:val="20"/>
          <w:szCs w:val="20"/>
          <w:color w:val="auto"/>
        </w:rPr>
        <w:tab/>
      </w:r>
      <w:r>
        <w:rPr>
          <w:rFonts w:ascii="Times New Roman" w:cs="Times New Roman" w:eastAsia="Times New Roman" w:hAnsi="Times New Roman"/>
          <w:sz w:val="17"/>
          <w:szCs w:val="17"/>
          <w:color w:val="auto"/>
        </w:rPr>
        <w:t>capital of a corporation.</w:t>
      </w:r>
    </w:p>
    <w:p>
      <w:pPr>
        <w:spacing w:after="0" w:line="126" w:lineRule="exact"/>
        <w:rPr>
          <w:sz w:val="20"/>
          <w:szCs w:val="20"/>
          <w:color w:val="auto"/>
        </w:rPr>
      </w:pPr>
    </w:p>
    <w:p>
      <w:pPr>
        <w:ind w:left="460" w:right="479"/>
        <w:spacing w:after="0" w:line="257" w:lineRule="auto"/>
        <w:rPr>
          <w:sz w:val="20"/>
          <w:szCs w:val="20"/>
          <w:color w:val="auto"/>
        </w:rPr>
      </w:pPr>
      <w:r>
        <w:rPr>
          <w:rFonts w:ascii="Times New Roman" w:cs="Times New Roman" w:eastAsia="Times New Roman" w:hAnsi="Times New Roman"/>
          <w:sz w:val="18"/>
          <w:szCs w:val="18"/>
          <w:color w:val="auto"/>
        </w:rPr>
        <w:t>The Current Charter provides that, subject to The Proposed Charter provides dividends may be applicable law and the rights, if any, of outstanding declared only when and as declared by the board of shares of preferred stock, the holders of FS directors of the Combined Entity or any authorized Development common stock will be entitled to receive committee thereof out of any assets of Combined Entity dividends (payable in cash, property, or capital stock legally available for dividends. of FS Development) when, as, and if declared by the</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of directors from time to time out of any assets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FS Development legally available for dividends.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202"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Subject to applicable law and the rights, if any, of the Subject to applicable law and the preferential or other holders of outstanding shares of preferred stock, the rights of any holders of preferred stock then Current Charter provides that following the payment outstanding, the Proposed Charter provides that upon or provision for payment of the debts and other the voluntary or involuntary liquidation, dissolution or liabilities of FS Development in the event of an winding up of the Combined Entity, the net assets of the voluntary or involuntary liquidation, dissolution, or Combined Entity shall be distributed pro rata to the winding up of FS Development, the holders of FS holders of Combined Entity common stock. Development common stock shall be entitled to</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receive all the remaining assets of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available for distribution to its stockholders, ratably in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proportion to the number of shares of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held by them.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Supermajority Voting Provisions</w:t>
      </w:r>
    </w:p>
    <w:p>
      <w:pPr>
        <w:spacing w:after="0" w:line="202" w:lineRule="exact"/>
        <w:rPr>
          <w:sz w:val="20"/>
          <w:szCs w:val="20"/>
          <w:color w:val="auto"/>
        </w:rPr>
      </w:pPr>
    </w:p>
    <w:p>
      <w:pPr>
        <w:jc w:val="both"/>
        <w:ind w:left="460" w:right="459"/>
        <w:spacing w:after="0" w:line="248" w:lineRule="auto"/>
        <w:rPr>
          <w:sz w:val="20"/>
          <w:szCs w:val="20"/>
          <w:color w:val="auto"/>
        </w:rPr>
      </w:pPr>
      <w:r>
        <w:rPr>
          <w:rFonts w:ascii="Times New Roman" w:cs="Times New Roman" w:eastAsia="Times New Roman" w:hAnsi="Times New Roman"/>
          <w:sz w:val="18"/>
          <w:szCs w:val="18"/>
          <w:color w:val="auto"/>
        </w:rPr>
        <w:t>The blank shell company provisions the Current The affirmative vote of two-thirds (2/3</w:t>
      </w:r>
      <w:r>
        <w:rPr>
          <w:rFonts w:ascii="Times New Roman" w:cs="Times New Roman" w:eastAsia="Times New Roman" w:hAnsi="Times New Roman"/>
          <w:sz w:val="20"/>
          <w:szCs w:val="20"/>
          <w:color w:val="auto"/>
          <w:vertAlign w:val="superscript"/>
        </w:rPr>
        <w:t>rds</w:t>
      </w:r>
      <w:r>
        <w:rPr>
          <w:rFonts w:ascii="Times New Roman" w:cs="Times New Roman" w:eastAsia="Times New Roman" w:hAnsi="Times New Roman"/>
          <w:sz w:val="18"/>
          <w:szCs w:val="18"/>
          <w:color w:val="auto"/>
        </w:rPr>
        <w:t>) of the voting Charter (Article XI) and Article VIII regarding power of the shares of capital stock of Combined Entity indemnification require the affirmative vote of a that would then be entitled to vote in the election of supermajority of the voting power of all outstanding directors at an annual meeting of stockholders will be</w:t>
      </w:r>
    </w:p>
    <w:p>
      <w:pPr>
        <w:spacing w:after="0" w:line="3"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shares of capital stock of FS Development.</w:t>
      </w:r>
      <w:r>
        <w:rPr>
          <w:sz w:val="20"/>
          <w:szCs w:val="20"/>
          <w:color w:val="auto"/>
        </w:rPr>
        <w:tab/>
      </w:r>
      <w:r>
        <w:rPr>
          <w:rFonts w:ascii="Times New Roman" w:cs="Times New Roman" w:eastAsia="Times New Roman" w:hAnsi="Times New Roman"/>
          <w:sz w:val="18"/>
          <w:szCs w:val="18"/>
          <w:color w:val="auto"/>
        </w:rPr>
        <w:t>required in order for the stockholders of Combined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Entity  to  amend  the  Proposed  Charter  in  certain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circumstances, including provides in the Charter related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to  amending  the  Amended  By-laws,  increasing  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decreasing the number of directors, filling vacancies on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board of directors, removing a director from office,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or calling a special meeting of stockholders.</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7" w:name="page218"/>
    <w:bookmarkEnd w:id="2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r>
      <w:tr>
        <w:trPr>
          <w:trHeight w:val="87"/>
        </w:trPr>
        <w:tc>
          <w:tcPr>
            <w:tcW w:w="8100" w:type="dxa"/>
            <w:vAlign w:val="bottom"/>
            <w:tcBorders>
              <w:bottom w:val="single" w:sz="8" w:color="auto"/>
            </w:tcBorders>
            <w:gridSpan w:val="3"/>
          </w:tcPr>
          <w:p>
            <w:pPr>
              <w:spacing w:after="0"/>
              <w:rPr>
                <w:sz w:val="7"/>
                <w:szCs w:val="7"/>
                <w:color w:val="auto"/>
              </w:rPr>
            </w:pPr>
          </w:p>
        </w:tc>
      </w:tr>
      <w:tr>
        <w:trPr>
          <w:trHeight w:val="250"/>
        </w:trPr>
        <w:tc>
          <w:tcPr>
            <w:tcW w:w="8100" w:type="dxa"/>
            <w:vAlign w:val="bottom"/>
            <w:gridSpan w:val="3"/>
          </w:tcPr>
          <w:p>
            <w:pPr>
              <w:ind w:left="1700"/>
              <w:spacing w:after="0"/>
              <w:rPr>
                <w:sz w:val="20"/>
                <w:szCs w:val="20"/>
                <w:color w:val="auto"/>
              </w:rPr>
            </w:pPr>
            <w:r>
              <w:rPr>
                <w:rFonts w:ascii="Times New Roman" w:cs="Times New Roman" w:eastAsia="Times New Roman" w:hAnsi="Times New Roman"/>
                <w:sz w:val="18"/>
                <w:szCs w:val="18"/>
                <w:b w:val="1"/>
                <w:bCs w:val="1"/>
                <w:color w:val="auto"/>
              </w:rPr>
              <w:t>Anti-Takeover Provisions and Other Stockholder Protections</w:t>
            </w:r>
          </w:p>
        </w:tc>
      </w:tr>
      <w:tr>
        <w:trPr>
          <w:trHeight w:val="387"/>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anti-takeover provisions and other stockholder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anti-takeover  provisions  and  other  stockholder</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protections  in  the  Current</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  include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protections included in the Proposed Charter include a</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staggered board, a prohibition</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stockholder action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staggered board, a prohibition on stockholder action by</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by written consent other than</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relates to Class B</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written consent and blank check preferred stock. The</w:t>
            </w: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and blank check preferred stock.</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 opts out of Section 203 of the DGCL.</w:t>
            </w:r>
          </w:p>
        </w:tc>
      </w:tr>
    </w:tbl>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203  of  the  DGCL  prohibit  a  Delaware</w:t>
      </w:r>
    </w:p>
    <w:p>
      <w:pPr>
        <w:spacing w:after="0" w:line="27" w:lineRule="exact"/>
        <w:rPr>
          <w:sz w:val="20"/>
          <w:szCs w:val="20"/>
          <w:color w:val="auto"/>
        </w:rPr>
      </w:pPr>
    </w:p>
    <w:p>
      <w:pPr>
        <w:ind w:left="460"/>
        <w:spacing w:after="0"/>
        <w:tabs>
          <w:tab w:leader="none" w:pos="1500" w:val="left"/>
          <w:tab w:leader="none" w:pos="2100" w:val="left"/>
          <w:tab w:leader="none" w:pos="3000" w:val="left"/>
          <w:tab w:leader="none" w:pos="3380" w:val="left"/>
          <w:tab w:leader="none" w:pos="3680" w:val="left"/>
        </w:tabs>
        <w:rPr>
          <w:sz w:val="20"/>
          <w:szCs w:val="20"/>
          <w:color w:val="auto"/>
        </w:rPr>
      </w:pPr>
      <w:r>
        <w:rPr>
          <w:rFonts w:ascii="Times New Roman" w:cs="Times New Roman" w:eastAsia="Times New Roman" w:hAnsi="Times New Roman"/>
          <w:sz w:val="18"/>
          <w:szCs w:val="18"/>
          <w:color w:val="auto"/>
        </w:rPr>
        <w:t>corporation</w:t>
        <w:tab/>
        <w:t>from</w:t>
        <w:tab/>
        <w:t>engaging</w:t>
        <w:tab/>
        <w:t>in</w:t>
        <w:tab/>
        <w:t>a</w:t>
        <w:tab/>
        <w:t>“business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combination” with an “interested stockholder” (i.e.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 owning 15% or more of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voting stock) for three years following the time that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“interested stockholder” becomes such, subject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exceptions.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There are no preemptive rights relating to the capital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 are no preemptive rights relating to the capital</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 of FS.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of the Combined Entity.</w:t>
            </w:r>
          </w:p>
        </w:tc>
        <w:tc>
          <w:tcPr>
            <w:tcW w:w="0" w:type="dxa"/>
            <w:vAlign w:val="bottom"/>
          </w:tcPr>
          <w:p>
            <w:pPr>
              <w:spacing w:after="0"/>
              <w:rPr>
                <w:sz w:val="1"/>
                <w:szCs w:val="1"/>
                <w:color w:val="auto"/>
              </w:rPr>
            </w:pPr>
          </w:p>
        </w:tc>
      </w:tr>
      <w:tr>
        <w:trPr>
          <w:trHeight w:val="405"/>
        </w:trPr>
        <w:tc>
          <w:tcPr>
            <w:tcW w:w="8100" w:type="dxa"/>
            <w:vAlign w:val="bottom"/>
            <w:gridSpan w:val="2"/>
          </w:tcPr>
          <w:p>
            <w:pPr>
              <w:ind w:left="2920"/>
              <w:spacing w:after="0"/>
              <w:rPr>
                <w:sz w:val="20"/>
                <w:szCs w:val="20"/>
                <w:color w:val="auto"/>
              </w:rPr>
            </w:pPr>
            <w:r>
              <w:rPr>
                <w:rFonts w:ascii="Times New Roman" w:cs="Times New Roman" w:eastAsia="Times New Roman" w:hAnsi="Times New Roman"/>
                <w:sz w:val="18"/>
                <w:szCs w:val="18"/>
                <w:b w:val="1"/>
                <w:bCs w:val="1"/>
                <w:color w:val="auto"/>
              </w:rPr>
              <w:t>Fiduciary Duties of Directors</w:t>
            </w:r>
          </w:p>
        </w:tc>
        <w:tc>
          <w:tcPr>
            <w:tcW w:w="0" w:type="dxa"/>
            <w:vAlign w:val="bottom"/>
          </w:tcPr>
          <w:p>
            <w:pPr>
              <w:spacing w:after="0"/>
              <w:rPr>
                <w:sz w:val="1"/>
                <w:szCs w:val="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Under Delaware law, the standards of conduct for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Delaware law, the standards of conduct for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have developed through Delaware court case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have developed through Delaware court case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law. Generally, directors must exercise a duty of care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law. Generally, directors must exercise a duty of care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and duty of loyalty and good faith to the company and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duty of loyalty and good faith to the company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its stockholders. Members of the board of directors 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its stockholders. Members of the board of directors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any committee designated by the board of directors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committee designated by the board of directors are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are similarly entitled to rely in good faith upon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similarly entitled to rely in good faith upon the records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records of the corporation and upon such information,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corporation and upon such information, opinions,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opinions,  reports  and  statements  presented  to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reports and statements presented to the corporation by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by   corporate   officers,   employees,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officers, employees, committees of the board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committees of the board of directors or other persons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directors or other persons as to matters such member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as to matters such member reasonably believes are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reasonably  believes  are  within  such  other  person’s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within  such  other  person’s  professional  or  expert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professional or expert competence, provided that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competence, provided that such other person has been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person has been selected with reasonable care by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selected with reasonable care by or on behalf of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on  behalf  of  the  corporation.  Such  appropriate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Such appropriate reliance on records and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reliance  on  records  and  other  information  protects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  protects  directors  from  liability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from liability related to decisions made based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related to decisions made based on such records and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such records and other information.</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 Combined Entity’s board of directors may exercise</w:t>
            </w: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Board  may  exercise  all  such  powers  of  FS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such authority and powers of Combined Entity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and do all such lawful acts and things as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 all such lawful acts and things as are not by statute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are not by statute or the Current Charter or Current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the Proposed Charter or Amended By-laws directed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By-laws directed or required to be exercised or done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required to be exercised or done solely by the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solely by stockholders.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202"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Under the DGCL, any stockholder or beneficial owner Under the DGCL, any stockholder or beneficial owner has the right, upon written demand under oath stating has the right, upon written demand under oath stating the proper purpose thereof, either in person or by the proper purpose thereof, either in person or by attorney or other agent, to inspect and make copies attorney or other agent, to inspect and make copies and and extracts from the corporation’s stock ledger, list of extracts from the corporation’s stock ledger, list of stockholders and its other books and records for a stockholders and its other books and records for a proper purpose during the usual hours for business. proper purpose during the usual hours for business. The Current Charter permits FS Development’s books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records to be kept within or outside Delaware.</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8" w:name="page219"/>
    <w:bookmarkEnd w:id="2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Current Charter generally designates the Court of The Amended By-laws generally designates Court of Chancery of the State of Delaware as the sole and Chancery of the State of Delaware as the sole and exclusive forum for any stockholder (including a exclusive forum for: (i) any derivative action or beneficial owner) to: (i) any derivative action or proceeding brought on behalf of Combined Entity, proceeding brought on behalf of FS Development, (ii) any action asserting a claim of breach of a fiduciary</w:t>
      </w:r>
    </w:p>
    <w:p>
      <w:pPr>
        <w:spacing w:after="0" w:line="3" w:lineRule="exact"/>
        <w:rPr>
          <w:sz w:val="20"/>
          <w:szCs w:val="20"/>
          <w:color w:val="auto"/>
        </w:rPr>
      </w:pPr>
    </w:p>
    <w:p>
      <w:pPr>
        <w:jc w:val="both"/>
        <w:ind w:left="460" w:right="459" w:hanging="6"/>
        <w:spacing w:after="0" w:line="251" w:lineRule="auto"/>
        <w:tabs>
          <w:tab w:leader="none" w:pos="797"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duty owed by, or any other wrongdoing by, any director fiduciary duty owed by any director, officer, or other officer, employee, or stockholder of Combined Entity, employee of FS Development to FS Development or (iii) any action asserting a claim against Combined FS Development’s stockholders, (iii) any action Entity arising pursuant to any provision of the DCGL, asserting a claim against FS Development, its the Combined Entity Chart, or Combined Entity’s By-directors, officers, or employees arising pursuant to laws, (iv) any action to interpret, apply, enforce, or any provision of the DGCL or the Current Charter or determine the validity of any provisions in the Proposed Current By-laws, (iv) any action asserting a claim Charter or Amended By-laws, or (v) any action against FS Development, its directors, officers, or asserting a claim governed by the internal affairs employees governed by the internal affairs doctrine, doctrine and if brought outside of Delaware in the name and, if brought outside of Delaware, the stockholder of any stockholder, the stockholder bringing the suit bringing the suit will be deemed to have consented to will be deemed to have consented to (a) the personal service of process on such stockholder’s counsel, jurisdiction of the state and federal courts within subject to certain exceptions. In addition, Delaware and (b) service of process on such notwithstanding anything to the contrary in the stockholder’s counsel, subject to certain exceptions. In foregoing, the federal district courts of the addition, notwithstanding anything to the contrary in United States are the exclusive forum for the the foregoing, the federal district courts of the District resolution of any action, suit or proceeding asserting a of Massachusetts are the exclusive forum for the cause of action under the Securities Act. The exclusive resolution of any action, suit or proceeding asserting a forum provision does not apply to suits brought to cause of action under the Securities Act. The exclusive enforce any liability or duty created by the Exchange forum provision does not apply to suits brought to</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Act.</w:t>
            </w:r>
          </w:p>
        </w:tc>
        <w:tc>
          <w:tcPr>
            <w:tcW w:w="60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enforce any liability or duty created by the Exchange</w:t>
            </w:r>
          </w:p>
        </w:tc>
      </w:tr>
      <w:tr>
        <w:trPr>
          <w:trHeight w:val="234"/>
        </w:trPr>
        <w:tc>
          <w:tcPr>
            <w:tcW w:w="2100" w:type="dxa"/>
            <w:vAlign w:val="bottom"/>
          </w:tcPr>
          <w:p>
            <w:pPr>
              <w:spacing w:after="0"/>
              <w:rPr>
                <w:sz w:val="20"/>
                <w:szCs w:val="20"/>
                <w:color w:val="auto"/>
              </w:rPr>
            </w:pPr>
          </w:p>
        </w:tc>
        <w:tc>
          <w:tcPr>
            <w:tcW w:w="60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Act.</w:t>
            </w:r>
          </w:p>
        </w:tc>
      </w:tr>
      <w:tr>
        <w:trPr>
          <w:trHeight w:val="432"/>
        </w:trPr>
        <w:tc>
          <w:tcPr>
            <w:tcW w:w="2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jc w:val="right"/>
              <w:ind w:right="3830"/>
              <w:spacing w:after="0"/>
              <w:rPr>
                <w:sz w:val="20"/>
                <w:szCs w:val="20"/>
                <w:color w:val="auto"/>
              </w:rPr>
            </w:pPr>
            <w:r>
              <w:rPr>
                <w:rFonts w:ascii="Times New Roman" w:cs="Times New Roman" w:eastAsia="Times New Roman" w:hAnsi="Times New Roman"/>
                <w:sz w:val="18"/>
                <w:szCs w:val="18"/>
                <w:color w:val="auto"/>
              </w:rPr>
              <w:t>207</w:t>
            </w:r>
          </w:p>
        </w:tc>
      </w:tr>
    </w:tbl>
    <w:p>
      <w:pPr>
        <w:sectPr>
          <w:pgSz w:w="11900" w:h="16838" w:orient="portrait"/>
          <w:cols w:equalWidth="0" w:num="1">
            <w:col w:w="9019"/>
          </w:cols>
          <w:pgMar w:left="1440" w:top="270" w:right="1440" w:bottom="1440" w:gutter="0" w:footer="0" w:header="0"/>
        </w:sectPr>
      </w:pPr>
    </w:p>
    <w:bookmarkStart w:id="219" w:name="page220"/>
    <w:bookmarkEnd w:id="2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TICKER SYMBOL, MARKET PRICE AND DIVIDEND POLICY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Ticker Symbol and Market Price</w:t>
      </w:r>
    </w:p>
    <w:p>
      <w:pPr>
        <w:spacing w:after="0" w:line="148" w:lineRule="exact"/>
        <w:rPr>
          <w:sz w:val="20"/>
          <w:szCs w:val="20"/>
          <w:color w:val="auto"/>
        </w:rPr>
      </w:pPr>
    </w:p>
    <w:p>
      <w:pPr>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Class A Common Stock is currently listed on the Nasdaq Capital Market under the symbol “FSDC.” The closing price of the FS Development Class A Common Stock on October 14, 2020, the last</w:t>
      </w:r>
    </w:p>
    <w:p>
      <w:pPr>
        <w:ind w:left="460" w:right="459"/>
        <w:spacing w:after="0" w:line="250" w:lineRule="auto"/>
        <w:rPr>
          <w:sz w:val="20"/>
          <w:szCs w:val="20"/>
          <w:color w:val="auto"/>
        </w:rPr>
      </w:pPr>
      <w:r>
        <w:rPr>
          <w:rFonts w:ascii="Times New Roman" w:cs="Times New Roman" w:eastAsia="Times New Roman" w:hAnsi="Times New Roman"/>
          <w:sz w:val="18"/>
          <w:szCs w:val="18"/>
          <w:color w:val="auto"/>
        </w:rPr>
        <w:t>trading day before announcement of the execution of the Merger Agreement, was $11.14. As of , 2020, the record date for the special meeting, the closing price for the FS Development Class A Common Stock, was</w:t>
      </w:r>
    </w:p>
    <w:p>
      <w:pPr>
        <w:spacing w:after="0" w:line="1" w:lineRule="exact"/>
        <w:rPr>
          <w:sz w:val="20"/>
          <w:szCs w:val="20"/>
          <w:color w:val="auto"/>
        </w:rPr>
      </w:pPr>
    </w:p>
    <w:p>
      <w:pPr>
        <w:ind w:left="1180" w:hanging="726"/>
        <w:spacing w:after="0"/>
        <w:tabs>
          <w:tab w:leader="none" w:pos="11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have not paid any cash dividends on shares of FS Development Common Stock to date and do not intend to pay cash dividends prior to the completion of the Business Combination. The payment of cash dividends in the future will be dependent upon our revenues and earnings, if any, capital requirements and general financial condition subsequent to the completion of the Business Combination. The payment of any dividends subsequent to Business Combination will be within the discretion of our then board of directors. It is the present intention of our board of directors to retain all earnings, if any, for use in our business operations and, accordingly, our board of directors does not anticipate declaring any dividends in the foreseeable future. Further, if we incur any indebtedness, our ability to declare dividends may be limited by restrictive covenants we may agree to in connection therewith.</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0" w:name="page221"/>
    <w:bookmarkEnd w:id="2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(i) the actual beneficial ownership of FS Development Common Stock as of October 15, 2020 (the “</w:t>
      </w:r>
      <w:r>
        <w:rPr>
          <w:rFonts w:ascii="Times New Roman" w:cs="Times New Roman" w:eastAsia="Times New Roman" w:hAnsi="Times New Roman"/>
          <w:sz w:val="18"/>
          <w:szCs w:val="18"/>
          <w:b w:val="1"/>
          <w:bCs w:val="1"/>
          <w:color w:val="auto"/>
        </w:rPr>
        <w:t>Ownership Date</w:t>
      </w:r>
      <w:r>
        <w:rPr>
          <w:rFonts w:ascii="Times New Roman" w:cs="Times New Roman" w:eastAsia="Times New Roman" w:hAnsi="Times New Roman"/>
          <w:sz w:val="18"/>
          <w:szCs w:val="18"/>
          <w:color w:val="auto"/>
        </w:rPr>
        <w:t>”), which is prior to the Closing (pre-Business Combination) and (ii) expected beneficial ownership of the Combined Entity’s common stock immediately following the Closing (post-Business Combination), assuming that no Public Shares are redeemed, and alternatively that the maximum number of Public Shares are redeemed, by:</w:t>
      </w:r>
    </w:p>
    <w:p>
      <w:pPr>
        <w:spacing w:after="0" w:line="116" w:lineRule="exact"/>
        <w:rPr>
          <w:sz w:val="20"/>
          <w:szCs w:val="20"/>
          <w:color w:val="auto"/>
        </w:rPr>
      </w:pPr>
    </w:p>
    <w:p>
      <w:pPr>
        <w:ind w:left="1320" w:right="479" w:hanging="434"/>
        <w:spacing w:after="0" w:line="282" w:lineRule="auto"/>
        <w:tabs>
          <w:tab w:leader="none" w:pos="148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or is expected to be, the beneficial owner of more than 5% of issued and outstanding shares of FS Development Common Stock or of the Combined Entity’s common stock;</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executive officers and directors;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7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will (or is expected to) become an executive officer or director of the Combined Entity following the Closing;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FS Development as a group pre-Business Combination and all executive officers and directors of the Combined Entity post-Business Combination.</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9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beneficial ownership of shares of FS Development Common Stock pre-Business Combination is based on 15,535,250 issued and outstanding shares of FS Development Common Stock as of October 15, 2020. The beneficial ownership of shares of FS Development Common Stock immediately following Closing is based on 46,541,250 shares (assuming no redemption) and 35,388,875 shares (assuming maximum redemption) to be outstanding and assumes (i) the issuance of up to 21,500,000 shares as Merger Consideration,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of Gemini; Merger Consideration”</w:t>
      </w:r>
      <w:r>
        <w:rPr>
          <w:rFonts w:ascii="Times New Roman" w:cs="Times New Roman" w:eastAsia="Times New Roman" w:hAnsi="Times New Roman"/>
          <w:sz w:val="18"/>
          <w:szCs w:val="18"/>
          <w:color w:val="auto"/>
        </w:rPr>
        <w:t>, (ii) the issuance of 9,506,000 shares of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PIPE Investment. If the actual facts are different than these assumptions (which they are likely to be), the percentage ownership retained by FS Development’s existing stockholders in FS Development will be different.</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Unless otherwise indicated, FS Development believes that all persons named in the table have sole voting and investment power with respect to all FS Development Common Stock beneficially owned by them.</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Pre-Business Combination</w:t>
            </w:r>
          </w:p>
        </w:tc>
        <w:tc>
          <w:tcPr>
            <w:tcW w:w="3220" w:type="dxa"/>
            <w:vAlign w:val="bottom"/>
            <w:gridSpan w:val="7"/>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Successor Post-Business Combination</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tcBorders>
              <w:bottom w:val="single" w:sz="8" w:color="auto"/>
            </w:tcBorders>
            <w:gridSpan w:val="3"/>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gridSpan w:val="4"/>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FS Development</w:t>
            </w:r>
          </w:p>
        </w:tc>
        <w:tc>
          <w:tcPr>
            <w:tcW w:w="100" w:type="dxa"/>
            <w:vAlign w:val="bottom"/>
            <w:vMerge w:val="continue"/>
          </w:tcPr>
          <w:p>
            <w:pPr>
              <w:spacing w:after="0"/>
              <w:rPr>
                <w:sz w:val="15"/>
                <w:szCs w:val="15"/>
                <w:color w:val="auto"/>
              </w:rPr>
            </w:pPr>
          </w:p>
        </w:tc>
        <w:tc>
          <w:tcPr>
            <w:tcW w:w="1600" w:type="dxa"/>
            <w:vAlign w:val="bottom"/>
            <w:gridSpan w:val="4"/>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Assuming No</w:t>
            </w:r>
          </w:p>
        </w:tc>
        <w:tc>
          <w:tcPr>
            <w:tcW w:w="1620" w:type="dxa"/>
            <w:vAlign w:val="bottom"/>
            <w:gridSpan w:val="3"/>
          </w:tcPr>
          <w:p>
            <w:pPr>
              <w:jc w:val="right"/>
              <w:ind w:right="172"/>
              <w:spacing w:after="0" w:line="181" w:lineRule="exact"/>
              <w:rPr>
                <w:sz w:val="20"/>
                <w:szCs w:val="20"/>
                <w:color w:val="auto"/>
              </w:rPr>
            </w:pPr>
            <w:r>
              <w:rPr>
                <w:rFonts w:ascii="Times New Roman" w:cs="Times New Roman" w:eastAsia="Times New Roman" w:hAnsi="Times New Roman"/>
                <w:sz w:val="16"/>
                <w:szCs w:val="16"/>
                <w:b w:val="1"/>
                <w:bCs w:val="1"/>
                <w:color w:val="auto"/>
              </w:rPr>
              <w:t>Assuming 100%</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620" w:type="dxa"/>
            <w:vAlign w:val="bottom"/>
            <w:gridSpan w:val="3"/>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 of FS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Owner</w:t>
            </w:r>
            <w:r>
              <w:rPr>
                <w:rFonts w:ascii="Times New Roman" w:cs="Times New Roman" w:eastAsia="Times New Roman" w:hAnsi="Times New Roman"/>
                <w:sz w:val="18"/>
                <w:szCs w:val="18"/>
                <w:b w:val="1"/>
                <w:bCs w:val="1"/>
                <w:color w:val="auto"/>
                <w:vertAlign w:val="superscript"/>
              </w:rPr>
              <w:t>(1)</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1"/>
        </w:trPr>
        <w:tc>
          <w:tcPr>
            <w:tcW w:w="2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 FS Development:</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Tananbaum</w:t>
            </w:r>
            <w:r>
              <w:rPr>
                <w:rFonts w:ascii="Times New Roman" w:cs="Times New Roman" w:eastAsia="Times New Roman" w:hAnsi="Times New Roman"/>
                <w:sz w:val="20"/>
                <w:szCs w:val="20"/>
                <w:color w:val="auto"/>
                <w:vertAlign w:val="superscript"/>
              </w:rPr>
              <w:t>(1)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Ryan</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Rome</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Bajaj</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Dubin</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 Pakianathan</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6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 of FS Development as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 Group (7 Individuals</w:t>
            </w: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3,460,250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21" w:name="page222"/>
    <w:bookmarkEnd w:id="2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Pre-Business Combination</w:t>
            </w:r>
          </w:p>
        </w:tc>
        <w:tc>
          <w:tcPr>
            <w:tcW w:w="3220" w:type="dxa"/>
            <w:vAlign w:val="bottom"/>
            <w:gridSpan w:val="7"/>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Successor Post-Business Combination</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tcBorders>
              <w:bottom w:val="single" w:sz="8" w:color="auto"/>
            </w:tcBorders>
            <w:gridSpan w:val="3"/>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gridSpan w:val="4"/>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FS Development</w:t>
            </w:r>
          </w:p>
        </w:tc>
        <w:tc>
          <w:tcPr>
            <w:tcW w:w="100" w:type="dxa"/>
            <w:vAlign w:val="bottom"/>
            <w:vMerge w:val="continue"/>
          </w:tcPr>
          <w:p>
            <w:pPr>
              <w:spacing w:after="0"/>
              <w:rPr>
                <w:sz w:val="15"/>
                <w:szCs w:val="15"/>
                <w:color w:val="auto"/>
              </w:rPr>
            </w:pPr>
          </w:p>
        </w:tc>
        <w:tc>
          <w:tcPr>
            <w:tcW w:w="1600" w:type="dxa"/>
            <w:vAlign w:val="bottom"/>
            <w:gridSpan w:val="4"/>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Assuming No</w:t>
            </w:r>
          </w:p>
        </w:tc>
        <w:tc>
          <w:tcPr>
            <w:tcW w:w="1620" w:type="dxa"/>
            <w:vAlign w:val="bottom"/>
            <w:gridSpan w:val="3"/>
          </w:tcPr>
          <w:p>
            <w:pPr>
              <w:jc w:val="right"/>
              <w:ind w:right="171"/>
              <w:spacing w:after="0" w:line="181" w:lineRule="exact"/>
              <w:rPr>
                <w:sz w:val="20"/>
                <w:szCs w:val="20"/>
                <w:color w:val="auto"/>
              </w:rPr>
            </w:pPr>
            <w:r>
              <w:rPr>
                <w:rFonts w:ascii="Times New Roman" w:cs="Times New Roman" w:eastAsia="Times New Roman" w:hAnsi="Times New Roman"/>
                <w:sz w:val="16"/>
                <w:szCs w:val="16"/>
                <w:b w:val="1"/>
                <w:bCs w:val="1"/>
                <w:color w:val="auto"/>
              </w:rPr>
              <w:t>Assuming 100%</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620" w:type="dxa"/>
            <w:vAlign w:val="bottom"/>
            <w:gridSpan w:val="3"/>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 of FS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Owner</w:t>
            </w:r>
            <w:r>
              <w:rPr>
                <w:rFonts w:ascii="Times New Roman" w:cs="Times New Roman" w:eastAsia="Times New Roman" w:hAnsi="Times New Roman"/>
                <w:sz w:val="18"/>
                <w:szCs w:val="18"/>
                <w:b w:val="1"/>
                <w:bCs w:val="1"/>
                <w:color w:val="auto"/>
                <w:vertAlign w:val="superscript"/>
              </w:rPr>
              <w:t>(1)</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1"/>
        </w:trPr>
        <w:tc>
          <w:tcPr>
            <w:tcW w:w="2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 Combined Entity After</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Consummation of the Business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Combination:</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Meyenburg</w:t>
            </w:r>
            <w:r>
              <w:rPr>
                <w:rFonts w:ascii="Times New Roman" w:cs="Times New Roman" w:eastAsia="Times New Roman" w:hAnsi="Times New Roman"/>
                <w:sz w:val="20"/>
                <w:szCs w:val="20"/>
                <w:color w:val="auto"/>
                <w:vertAlign w:val="superscript"/>
              </w:rPr>
              <w:t>(2)</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112,092</w:t>
            </w:r>
          </w:p>
        </w:tc>
        <w:tc>
          <w:tcPr>
            <w:tcW w:w="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112,092</w:t>
            </w: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Lauder</w:t>
            </w:r>
            <w:r>
              <w:rPr>
                <w:rFonts w:ascii="Times New Roman" w:cs="Times New Roman" w:eastAsia="Times New Roman" w:hAnsi="Times New Roman"/>
                <w:sz w:val="20"/>
                <w:szCs w:val="20"/>
                <w:color w:val="auto"/>
                <w:vertAlign w:val="superscript"/>
              </w:rPr>
              <w:t>(3)</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Uknis</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George</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Gordon</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Ong</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Rhodes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Tananbaum</w:t>
            </w:r>
            <w:r>
              <w:rPr>
                <w:rFonts w:ascii="Times New Roman" w:cs="Times New Roman" w:eastAsia="Times New Roman" w:hAnsi="Times New Roman"/>
                <w:sz w:val="20"/>
                <w:szCs w:val="20"/>
                <w:color w:val="auto"/>
                <w:vertAlign w:val="superscript"/>
              </w:rPr>
              <w:t>(1)</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6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 of Combined Entity</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as a Group (10 Individuals)</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5,481,942</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5,481,942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FS Development Holdings, LLC</w:t>
            </w:r>
            <w:r>
              <w:rPr>
                <w:rFonts w:ascii="Times New Roman" w:cs="Times New Roman" w:eastAsia="Times New Roman" w:hAnsi="Times New Roman"/>
                <w:sz w:val="20"/>
                <w:szCs w:val="20"/>
                <w:color w:val="auto"/>
                <w:vertAlign w:val="superscript"/>
              </w:rPr>
              <w:t>(1)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8"/>
        </w:trPr>
        <w:tc>
          <w:tcPr>
            <w:tcW w:w="2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Wellington</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Co LLP</w:t>
            </w:r>
            <w:r>
              <w:rPr>
                <w:rFonts w:ascii="Times New Roman" w:cs="Times New Roman" w:eastAsia="Times New Roman" w:hAnsi="Times New Roman"/>
                <w:sz w:val="20"/>
                <w:szCs w:val="20"/>
                <w:color w:val="auto"/>
                <w:vertAlign w:val="superscript"/>
              </w:rPr>
              <w:t>(4)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629,300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1,329,200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1,329,200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8"/>
        </w:trPr>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Suvretta</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 Management, LLC</w:t>
            </w:r>
            <w:r>
              <w:rPr>
                <w:rFonts w:ascii="Times New Roman" w:cs="Times New Roman" w:eastAsia="Times New Roman" w:hAnsi="Times New Roman"/>
                <w:sz w:val="20"/>
                <w:szCs w:val="20"/>
                <w:color w:val="auto"/>
                <w:vertAlign w:val="superscript"/>
              </w:rPr>
              <w:t>(5)</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899,457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1,349,457</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1,349,457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8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Adage Capital Management LP</w:t>
            </w:r>
            <w:r>
              <w:rPr>
                <w:rFonts w:ascii="Times New Roman" w:cs="Times New Roman" w:eastAsia="Times New Roman" w:hAnsi="Times New Roman"/>
                <w:sz w:val="20"/>
                <w:szCs w:val="20"/>
                <w:color w:val="auto"/>
                <w:vertAlign w:val="superscript"/>
              </w:rPr>
              <w:t>(6)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Orbimed Private Investments VI,</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tcPr>
          <w:p>
            <w:pPr>
              <w:ind w:left="180"/>
              <w:spacing w:after="0" w:line="275" w:lineRule="exact"/>
              <w:rPr>
                <w:sz w:val="20"/>
                <w:szCs w:val="20"/>
                <w:color w:val="auto"/>
              </w:rPr>
            </w:pPr>
            <w:r>
              <w:rPr>
                <w:rFonts w:ascii="Times New Roman" w:cs="Times New Roman" w:eastAsia="Times New Roman" w:hAnsi="Times New Roman"/>
                <w:sz w:val="31"/>
                <w:szCs w:val="31"/>
                <w:color w:val="auto"/>
                <w:vertAlign w:val="subscript"/>
              </w:rPr>
              <w:t>LP</w:t>
            </w:r>
            <w:r>
              <w:rPr>
                <w:rFonts w:ascii="Times New Roman" w:cs="Times New Roman" w:eastAsia="Times New Roman" w:hAnsi="Times New Roman"/>
                <w:sz w:val="10"/>
                <w:szCs w:val="10"/>
                <w:color w:val="auto"/>
              </w:rPr>
              <w:t>(7)</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6,064,613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6,064,613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198"/>
        </w:trPr>
        <w:tc>
          <w:tcPr>
            <w:tcW w:w="2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Atlas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(8)</w:t>
            </w: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5,467,111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5,467,111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8"/>
        </w:trPr>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Lightstone</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(9)</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5,039,585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5,036,585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8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Fidelity</w:t>
            </w:r>
            <w:r>
              <w:rPr>
                <w:rFonts w:ascii="Times New Roman" w:cs="Times New Roman" w:eastAsia="Times New Roman" w:hAnsi="Times New Roman"/>
                <w:sz w:val="20"/>
                <w:szCs w:val="20"/>
                <w:color w:val="auto"/>
                <w:vertAlign w:val="superscript"/>
              </w:rPr>
              <w:t>(10)</w:t>
            </w: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26" w:lineRule="exact"/>
        <w:rPr>
          <w:sz w:val="20"/>
          <w:szCs w:val="20"/>
          <w:color w:val="auto"/>
        </w:rPr>
      </w:pPr>
    </w:p>
    <w:p>
      <w:pPr>
        <w:jc w:val="both"/>
        <w:ind w:left="880" w:right="459" w:hanging="426"/>
        <w:spacing w:after="0" w:line="267" w:lineRule="auto"/>
        <w:tabs>
          <w:tab w:leader="none" w:pos="95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Holdings, LLC is the record holder of 1,870,250 shares reported herein. Foresite Capital Fund V, L.P. (“FCM V LP”) is the record holder of 1,500,000 shares reported herein. Foresite Capital Management V, LLC (“FCM V”), is the general partner of FCM V LP and Foresite Capital Opportunity Management V, LLC (“FCOM V”) is the general partner of Foresite Capital Opportunity Fund V, L.P. (“FCOM LP”), with FCM LP and FCOM LP being the sole members of FS Development Holdings, LLC. FCM V and FCOM V, as general managers of the sole members, have voting and investment discretion with respect to the common stock held of record by FS Development Holdings, LLC. Dr. Tananbaum, in his capacity as managing member of FCM V and FCOM V, may be deemed to have sole voting and investment discretion over these shares. Each of FCM V, FCOM V, each of their respective members and Dr. Tananbaum disclaim beneficial ownership of these shares except to the extent of any pecuniary interest therein.</w:t>
      </w:r>
    </w:p>
    <w:p>
      <w:pPr>
        <w:spacing w:after="0" w:line="182"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Common Stock issuable upon options exercisable upon 60 days of October 15, 2020.</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Common Stock issuable upon options exercisable upon 60 days of October 15, 2020.</w:t>
      </w:r>
    </w:p>
    <w:p>
      <w:pPr>
        <w:sectPr>
          <w:pgSz w:w="11900" w:h="16838" w:orient="portrait"/>
          <w:cols w:equalWidth="0" w:num="1">
            <w:col w:w="9019"/>
          </w:cols>
          <w:pgMar w:left="1440" w:top="270" w:right="1440"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2" w:name="page223"/>
    <w:bookmarkEnd w:id="2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both"/>
        <w:ind w:left="880" w:right="459" w:hanging="426"/>
        <w:spacing w:after="0" w:line="263" w:lineRule="auto"/>
        <w:tabs>
          <w:tab w:leader="none" w:pos="928"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held pre-Business Combination based solely on review of Schedule 13G filed with the Securities and Exchange Commission on November 2, 2020. Wellington Management Company LLP, a registered investment company under the Investment Company Act of 1940, as amended, is the investment advisor to certain funds associated with Wellington, and Wellington Alternative Investments LLC is its general partner. Wellington Management Investment, Inc. is the managing member of Wellington Alternative Investments LLC. Wellington Management Company LLP is an indirect subsidiary of Wellington Management Group LLP. Wellington Management Group LLP and Wellington Management Company LLP may be deemed beneficial owners with shared voting and investment power over such shares.</w:t>
      </w:r>
    </w:p>
    <w:p>
      <w:pPr>
        <w:spacing w:after="0" w:line="1"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928"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held pre-Business Combination based solely on review of Schedule 13G filed with the Securities and Exchange Commission on October 26, 2020. Suvretta Capital Management, LLC has shared voting and dispositive power over the shares held by funds associated with it. and Aaron Cowen is a control person of Suvretta Capital Management, LLC and as such may be deemed to beneficially own these shares with shared voting and investment power over such shares.</w:t>
      </w:r>
    </w:p>
    <w:p>
      <w:pPr>
        <w:jc w:val="both"/>
        <w:ind w:left="880" w:right="459" w:hanging="426"/>
        <w:spacing w:after="0" w:line="264" w:lineRule="auto"/>
        <w:tabs>
          <w:tab w:leader="none" w:pos="928"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held pre-Business Combination based solely on review of Schedule 13G filed with the Securities and Exchange Commission on August 24, 2020. Adage Captial Partners GP, LLC (“ACPGP”) serves as the general partner of the fund and as such has discretion over the portfolio of securities beneficially owned by the fund. Adage Capital Advisors, LLC, a Delaware limited liability company (“ACA”), is managing member of ACPGP and directs ACPGP’s operations. Robert Atchinson and Phillip Gross are the managing members of ACPGP and ACA and general partners of the Fund. Robert Atchinson and Phillip Gross disclaim beneficial ownership of the reported securities except to the extent of their pecuniary interest therein.</w:t>
      </w:r>
    </w:p>
    <w:p>
      <w:pPr>
        <w:jc w:val="both"/>
        <w:ind w:left="880" w:right="459" w:hanging="426"/>
        <w:spacing w:after="0" w:line="264" w:lineRule="auto"/>
        <w:tabs>
          <w:tab w:leader="none" w:pos="1007"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5,554,613 shares issued as Merger Consideration and 510,000 shares issued in the PIPE Investment. OrbiMed Capital GP VI LLC, or GP VI, is the general partner of OrbiMed Private Investments VI, LP, or OrbiMed VI. OrbiMed Advisors LLC, or OrbiMed Advisors, is the managing member of GP VI. OrbiMed Advisors exercises investment and voting power through a management committee comprised of Carl Gordon, Ph.D., C.F.A., Sven H. Borho and Jonathan T. Silverstein. By virtue of such relationships, GP VI, OrbiMed Advisors and Dr. Gordon may be deemed to have voting and investment power with respect to the shares held by OrbiMed VI and as a result may be deemed to have beneficial ownership of these shares. Each of GP VI, OrbiMed Advisors, Messrs. Borho and Silverstein and Dr. Gordon disclaims beneficial ownership of the shares held by OrbiMed VI, except to the extent of its or his pecuniary interest therein, if any.</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91"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4,957,111 shares issued as Merger Consideration and 510,000 shares issued in the PIPE Investment. Atlas Venture Associates XI, L.P. is the general partner of Atlas Fund XI, and Atlas Venture Associates XI, LLC is the general partner of Atlas Venture Associates XI, L.P. Bruce Booth, Jean- Francois Formela, David Grayzel, Jason Rhodes and Kevin Bitterman are the members of Atlas Venture Associates XI, LLC and collectively make investment decisions on behalf of Atlas Venture Fund XI, LLC. Each of Atlas Fund XI, Atlas Venture Associates XI, L.P., and Atlas Venture Associates XI, LLC may be deemed to beneficially own the shares held by Atlas Fund XI. Atlas Venture Associates Opportunity I, L.P. is the general partner of Atlas Fund I, and Atlas Venture Associates Opportunity I, LLC, or AVAO, LLC, is the general partner of Atlas Venture Associates Opportunity I, L.P. Bruce Booth, Jean-Francois Formela, David Grayzel, Jason Rhodes and Kevin Bitterman are the members of AVAO, LLC and collectively make investment decisions on behalf of AVAO, LLC. Each of Atlas Fund I, Atlas Venture Associates Opportunity I, L.P. and AVAO, LLC may be deemed to beneficially own the shares held by Atlas Fund I. Jason Rhodes is also a member of our board of directors. Mr. Rhodes disclaims beneficial ownership of the shares listed, except to the extent of his pecuniary interest therein, if any.</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903"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4,639,585 shares issued as Merger Consideration and 400,000 shares issued in the PIPE Investment. LSV Associates, LLC (LSV Associates) is the General Partner of LV LP and LV(A) LP. As the individual general partners of LSV Associates, Michael A. Carusi, Jean M. George and Henry A. Plain Jr. share voting and dispositive power with respect to the shares held of record by LV LP and LV(A) LP. LSV Associates II, LLC (LSV Associates II) is the General Partner of LV II LP and LV II(A) LP. As the individual general partners of LSV Associates II, Michael A. Carusi, Jean M. George, Henry A. Plain Jr. and Jason W. Lettmann share voting and dispositive power with respect to the shares held of record by LV II LP and LV II(A) LP.</w:t>
      </w:r>
    </w:p>
    <w:p>
      <w:pPr>
        <w:jc w:val="both"/>
        <w:ind w:left="880" w:right="459" w:hanging="426"/>
        <w:spacing w:after="0" w:line="265" w:lineRule="auto"/>
        <w:tabs>
          <w:tab w:leader="none" w:pos="988"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Fidelity Management &amp; Research Company, or Fidelity, 82 Devonshire Street, Boston, Massachusetts 02109, a wholly owned subsidiary of FMR LLC and an investment adviser registered under Section 203 of the Investment Advisers Act of 1940, is the beneficial owner of such shares of common stock as a result of acting as investment adviser to various investment companies registered under Section 8 of the Investment Company Act of 1940.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which power resides with the Fidelity Funds’ Boards of Trustees. Fidelity carries out the voting of the shares under written guidelines established by the Fidelity Funds’ Boards of Trustees.</w:t>
      </w:r>
    </w:p>
    <w:p>
      <w:pPr>
        <w:sectPr>
          <w:pgSz w:w="11900" w:h="16838" w:orient="portrait"/>
          <w:cols w:equalWidth="0" w:num="1">
            <w:col w:w="9019"/>
          </w:cols>
          <w:pgMar w:left="1440" w:top="270"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3" w:name="page224"/>
    <w:bookmarkEnd w:id="2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FS Development</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June 30, 2020 the Sponsor purchased an aggregate 2,928,750 Founders Shares for a total purchase price of $25,000, or approximately $0.009 per share. In July 2020, the Sponsor transferred 30,000 Founders Shares to each of Mr. Carey, Dr. Dubin and Dr. Pakianathan. On August 11, 2020, we effected a 1:1.05 stock split of our Class B Common Stock, resulting in the Sponsor holding 2,928,750 Founders Shares and there being an aggregate of 3,018,750 Founders Shares outstanding. The number of Founders Shares outstanding was determined based on the expectation that the total size of the FS Development IPO would be a maximum of 12,075,000 Class A shares if the underwriters’ over-allotment option is exercised in full, and therefore that such Founders Shares would represent 20% of the issued and outstanding shares of common stock (excluding the Private Placement Shares) after such offering.</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Sponsor purchased 441,500 Private Placement Shares at a price of $10.00 per share, or $4,415,000 in the aggregate, in a private placement that closed simultaneously with the FS Development IPO. The Private Placement Shares may not, subject to certain limited exceptions, be transferred, assigned or sold until 30 days after the completion of our initial business combination.</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We currently utilize office space at 600 Montgomery Street, Suite 4500, San Francisco, California 94111 from the Sponsor. Following the closing of the FS Development IPO, we pay the Sponsor $10,000 per month for office space, secretarial and administrative services provided to members of our management team pursuant to the terms of an administrative services agreement between us and the Sponsor. Upon completion of our initial business combination or our liquidation, we will cease paying these monthly fees.</w:t>
      </w:r>
    </w:p>
    <w:p>
      <w:pPr>
        <w:spacing w:after="0" w:line="10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No compensation of any kind, including finder’s and consulting fees, will be paid by the Company to the Sponsor, executive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officers, directors or our or their affiliates.</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Sponsor loaned us $200,000 to be used for a portion of the expenses of the IPO. These loans were non-interest bearing, unsecured and were due at the earlier of December 31, 2020 or the closing of the IPO. These loans were fully repaid on August 14, 2020.</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the Sponsor or an affiliate of the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shares of the post business combination entity at a price of $10.00 per shares at the option of the lender. Except as set forth above, the terms of such loans, if any, have not been determined and no written agreements exist with respect to such loans. Prior to the completion of our initial business combination, we do not expect to seek loans from parties other than the Sponsor or an affiliate of the Sponsor as we do not believe third parties will be willing to loan such funds and provide a waiver against any and all rights to seek access to funds in our trust account. As of October 28, 2020, there are no loans outstanding. Following the Closing, our Sponsor would be entitled to the repayment of any working capital loan and advances that have been made to FS Development and remain outstanding.</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Any of the foregoing payments to the Sponsor, repayments of loans from the Sponsor or repayments of working capital loans prior to our initial business combination will be made using funds held outside the trust account.</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After our initial business combination, members of our management team who remain with us may be paid consulting, management or other fees from the combined company. The directors of the post-combination business will determine executive and director compensation.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4" w:name="page225"/>
    <w:bookmarkEnd w:id="2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an affiliate of our Sponsor has entered into a subscription agreement to purchase 1,500,000 shares of our Class A Common Stock at a purchase price of $10 per share in a private placement that would occur concurrently with the consummation of our initial business combination. The funds from such private placement would be used as part of the consideration to the sellers in our initial business combination, and any excess funds from such private placement would be used for working capital in the post-transaction company. Consummation of the subscriptions are conditioned upon, among other things, closing conditions and the Closing</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have entered into a registration rights agreement with respect to the Founders Shares and Private Placement Shares. Pursuant to such agreement, we will be obligated to register up to 3,520,250 shares of Class A Common Stock. The number of shares of Class A Common Stock includes (i) 2,928,750 shares of Class A Common Stock to be issued upon conversion of the Founders Shares, (ii) 441,500 Private Placement Shares and (iii) 150,000 shares of Class A Common Stock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 As part of the registration rights agreement, certain holders of registrable securities agreed to a lock-up period of one year from the Closing of the Business Combination.</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Initial Stockholders and certain other stockholders will enter into the Registration Rights Agreement with FS Development and Gemini that will replace the existing registration rights agreement. Pursuant to such agreement, certain stockholders of FS Development and Gemini can each demand that the Combined Entity register their registrable securities under certain circumstances and will each also have piggyback registration rights for these securities. In addition, following the Closing,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The presence of these additional shares of common stock trading in the public market may have an adverse effect on the market price of the Combined Entity’s securities.</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Initial Stockholders entered into support agreements with FS Development, Gemini and Sponsor. Under such support agreements, each such stockholder agreed to vote, at any meeting of the stockholders of the Company, and in any action by written consent of the stockholders of the Company, all of such stockholder’s Class B Common Stock of FS Development (i) in favor of (A) the Merger Agreement, (B) certain proposals requiring approval by the stockholders of the Company in connection with Business Combination, and (C) the transactions contemplated by the Merger Agreement and the Company Support Agreement, and (ii) in favor of any other matter reasonably necessary to the consummation of the transactions contemplated by the Merger Agreement and the approval of such stockholder proposals. In addition, such support agreements prohibit each such stockholder from, among other things, selling, assigning or transferring any Class B Common Stock of FS Development held by such stockholder or taking any action that would prevent or disable such stockholder from performing its obligations under the support agreement.</w:t>
      </w:r>
    </w:p>
    <w:p>
      <w:pPr>
        <w:spacing w:after="0" w:line="12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Closing of the Merger, the Sponsor and certain other stockholders will enter into a Voting Agreement with the Combined Entity. Please see the section titled “</w:t>
      </w:r>
      <w:r>
        <w:rPr>
          <w:rFonts w:ascii="Times New Roman" w:cs="Times New Roman" w:eastAsia="Times New Roman" w:hAnsi="Times New Roman"/>
          <w:sz w:val="18"/>
          <w:szCs w:val="18"/>
          <w:i w:val="1"/>
          <w:iCs w:val="1"/>
          <w:color w:val="auto"/>
        </w:rPr>
        <w:t>Ancillary Agreements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Voting Agreement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Gemini</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is a summary of transactions since September 30, 2017 to which Gemini has been a participant, in which:</w:t>
      </w:r>
    </w:p>
    <w:p>
      <w:pPr>
        <w:spacing w:after="0" w:line="81" w:lineRule="exact"/>
        <w:rPr>
          <w:sz w:val="20"/>
          <w:szCs w:val="20"/>
          <w:color w:val="auto"/>
        </w:rPr>
      </w:pPr>
    </w:p>
    <w:p>
      <w:pPr>
        <w:ind w:left="1300" w:hanging="414"/>
        <w:spacing w:after="0"/>
        <w:tabs>
          <w:tab w:leader="none" w:pos="13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8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its directors, executive officers, or holders of more than 5% of its capital stock, or any member of the immediate family of the foregoing persons, had or will have a direct or indirect material interest, other than compensation and other arrangements that are described in the section titled “Executive Compensation of Gemini” or that were approved by its compensation committee.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5" w:name="page226"/>
    <w:bookmarkEnd w:id="2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believes the terms obtained or consideration that it paid or received, as applicable, in connection with the transactions described below were comparable to terms available or the amounts that would be paid or received, as applicable in arm’s-length transactions.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Series A Preferred Stock Financing</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March 30, 2018, Gemini held the second closing of its Series A Preferred Stock financing, pursuant to its Series A Preferred Stock Purchase Agreement, as amended (the “Series A Purchase Agreement”), at which Gemini issued 9,243,696 shares of its Series A Preferred Stock for a per share price of $1.19, for aggregate gross proceeds in the amount of $11.0 million. On November 2, 2018, Gemini held the third closing of its Series A Preferred Stock financing, pursuant to the Series A Purchase Agreement, at which Gemini issued 16,386,555 shares of its Series A Preferred Stock for a per share price of $1.19, for aggregate gross proceeds in the amount of $19.5 million. The following holders of more than 5% of Gemini’s capital stock participated in the second closing and third closing of the Series A Preferred Stock financing.</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Series A</w:t>
            </w:r>
          </w:p>
        </w:tc>
        <w:tc>
          <w:tcPr>
            <w:tcW w:w="1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Series A</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Purchase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Price – Second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Price – Third</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5% Gemini Stockholder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Second Closing</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Closing</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Third Closing</w:t>
            </w:r>
          </w:p>
        </w:tc>
        <w:tc>
          <w:tcPr>
            <w:tcW w:w="120" w:type="dxa"/>
            <w:vAlign w:val="bottom"/>
          </w:tcPr>
          <w:p>
            <w:pPr>
              <w:spacing w:after="0"/>
              <w:rPr>
                <w:sz w:val="18"/>
                <w:szCs w:val="18"/>
                <w:color w:val="auto"/>
              </w:rPr>
            </w:pPr>
          </w:p>
        </w:tc>
        <w:tc>
          <w:tcPr>
            <w:tcW w:w="11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Closing</w:t>
            </w: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91"/>
        </w:trPr>
        <w:tc>
          <w:tcPr>
            <w:tcW w:w="3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Entities affiliated with Lightstone</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75"/>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3,081,232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3,666,666.08</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5,462,185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6,500,000.15</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3,081,232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3,666,666.08</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5,462,185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6,500,000.15</w:t>
            </w:r>
          </w:p>
        </w:tc>
      </w:tr>
      <w:tr>
        <w:trPr>
          <w:trHeight w:val="41"/>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3,081,232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3,666,666.08</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5,462,185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6,500,000.15</w:t>
            </w:r>
          </w:p>
        </w:tc>
      </w:tr>
      <w:tr>
        <w:trPr>
          <w:trHeight w:val="40"/>
        </w:trPr>
        <w:tc>
          <w:tcPr>
            <w:tcW w:w="3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81" w:lineRule="auto"/>
        <w:tabs>
          <w:tab w:leader="none" w:pos="927"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Lightstone Ventures, L.P., which purchased 2,711,792 shares at the second closing and 4,807,269 shares at the third closing and Lightstone Ventures (A), L.P., which purchased 369,440 shares at the second closing and 654,916 shares at the third closing.</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Series B Preferred Stock Financing</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September 26, 2019, Gemini held the initial closing of its Series B Preferred Stock financing, pursuant to its Series B Preferred Stock Purchase Agreement (the “Series B Purchase Agreement”), at which Gemini issued 9,916,375 shares of its Series B Preferred Stock for a per share price of $1.3513, for aggregate gross proceeds in the amount of $13.4 million. On January 21, 2020, Gemini held the second closing of its Series B Preferred Stock financing, pursuant to the Series B Purchase Agreement, at which Gemini issued 14,874,563 shares of its Series B Preferred Stock for a per share price of $1.3513, for aggregate gross proceeds in the amount of $20.1 million. The following holders of more than 5% of Gemini’s capital stock participated in the initial closing and second closing of the Series B Preferred Stock financing.</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0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Purchase</w:t>
            </w:r>
          </w:p>
        </w:tc>
      </w:tr>
      <w:tr>
        <w:trPr>
          <w:trHeight w:val="202"/>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Price – Initial</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0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Price – Second</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5% Gemini Stockholder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Initial Closing</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Closing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Second Closing</w:t>
            </w:r>
          </w:p>
        </w:tc>
        <w:tc>
          <w:tcPr>
            <w:tcW w:w="100" w:type="dxa"/>
            <w:vAlign w:val="bottom"/>
          </w:tcPr>
          <w:p>
            <w:pPr>
              <w:spacing w:after="0"/>
              <w:rPr>
                <w:sz w:val="18"/>
                <w:szCs w:val="18"/>
                <w:color w:val="auto"/>
              </w:rPr>
            </w:pPr>
          </w:p>
        </w:tc>
        <w:tc>
          <w:tcPr>
            <w:tcW w:w="118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Closing</w:t>
            </w: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191"/>
        </w:trPr>
        <w:tc>
          <w:tcPr>
            <w:tcW w:w="3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Entities affiliated with Lightstone</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75"/>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1,924,073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2,600,000</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2,886,109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3,899,999.09</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2,960,112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3,999,999.35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4,440,168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5,999,999.02</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2,072,078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2,799,999.00</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3,108,118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4,199,999.85</w:t>
            </w:r>
          </w:p>
        </w:tc>
      </w:tr>
      <w:tr>
        <w:trPr>
          <w:trHeight w:val="291"/>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 Capital Investment LLC</w:t>
            </w:r>
            <w:r>
              <w:rPr>
                <w:rFonts w:ascii="Times New Roman" w:cs="Times New Roman" w:eastAsia="Times New Roman" w:hAnsi="Times New Roman"/>
                <w:sz w:val="20"/>
                <w:szCs w:val="20"/>
                <w:color w:val="auto"/>
                <w:vertAlign w:val="superscript"/>
              </w:rPr>
              <w:t>(2)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2,960,112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3,999,999.35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4,440,168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5,999,999.02</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7" w:lineRule="auto"/>
        <w:tabs>
          <w:tab w:leader="none" w:pos="954"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Lightstone Ventures, L.P., which purchased 976,931 shares at the initial closing, Lightstone Ventures (A), L.P., which purchased 133,112 shares at the initial closing and Lightstone Singapore L.P., which purchased 814,030 shares at the initial closing and all of the shares at the second closing.</w:t>
      </w:r>
    </w:p>
    <w:p>
      <w:pPr>
        <w:spacing w:after="0" w:line="1"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initially purchased by Wu Capital LLC and subsequently transferred to Wu Capital Investment LLC.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6" w:name="page227"/>
    <w:bookmarkEnd w:id="2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 Financing</w:t>
      </w:r>
    </w:p>
    <w:p>
      <w:pPr>
        <w:spacing w:after="0" w:line="14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On August 21, 2020, Gemini issued convertible promissory notes for aggregate gross proceeds of $14,000,000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at a closing held pursuant to a convertible note purchase agreement among Gemini and certain investors. The following holders of more than 5% of Gemini’s capital stock participated in note financing. The Notes accrue simple interest at 8% per annum and mature on February 21, 2021. Prior to the Closing, all principal and accrued interest under the Notes shall convert into shares of Gemini’s Series B Preferred Stock.</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Principal</w:t>
            </w: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Note</w:t>
            </w: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5% Gemini Stockholder</w:t>
            </w:r>
          </w:p>
        </w:tc>
        <w:tc>
          <w:tcPr>
            <w:tcW w:w="160" w:type="dxa"/>
            <w:vAlign w:val="bottom"/>
          </w:tcPr>
          <w:p>
            <w:pPr>
              <w:spacing w:after="0"/>
              <w:rPr>
                <w:sz w:val="18"/>
                <w:szCs w:val="18"/>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Purchased</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Singapore L.P.</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Opportunity Fund I, L.P.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4,361,000</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 Capital Investment LLC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1,752,000</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4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In connection with the initial closing of the Series B Preferred Stock financing, Gemini entered into an Amended and Restated Investors Rights Agreement (the “</w:t>
      </w:r>
      <w:r>
        <w:rPr>
          <w:rFonts w:ascii="Times New Roman" w:cs="Times New Roman" w:eastAsia="Times New Roman" w:hAnsi="Times New Roman"/>
          <w:sz w:val="18"/>
          <w:szCs w:val="18"/>
          <w:b w:val="1"/>
          <w:bCs w:val="1"/>
          <w:color w:val="auto"/>
        </w:rPr>
        <w:t>Investors Rights Agreement</w:t>
      </w:r>
      <w:r>
        <w:rPr>
          <w:rFonts w:ascii="Times New Roman" w:cs="Times New Roman" w:eastAsia="Times New Roman" w:hAnsi="Times New Roman"/>
          <w:sz w:val="18"/>
          <w:szCs w:val="18"/>
          <w:color w:val="auto"/>
        </w:rPr>
        <w:t>”) with certain of its investors, including its 5% stockholders. Pursuant to the Investors Agreement, the investors were granted certain demand and registration rights as well as certain information rights. Pursuant to the Merger Agreement and the Gemini Support Agreements, Gemini and its investors have agreed to terminate the Investors Rights Agreement at the Closing.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connection with the initial closing of the Series B Preferred Stock financing, Gemini entered into an Amended and Restated Voting Agreement (the “</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with certain of its investors, including its 5% stockholders. Pursuant to the Investors Agreement, certain investors were given the right to designate certain members of Gemini’s board of directors. Pursuant to the Merger Agreement and the Gemini Support Agreements, Gemini and its investors have agreed to terminate the Voting Agreement at the Closing.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Services</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 2020, Gemini engaged Danforth Advisors, an accounting and finance advisory company managed by Gregg Beloff, Gemini’s Interim Chief Financial Officer. Through September 30, 2020, Gemini has paid</w:t>
      </w:r>
    </w:p>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to Danforth Advisors in exchange for professional services related to accounting, finance and other administrative functions.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Policies for Approval of Related Party Transactions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Gemini’s board of directors reviews and approves transactions with directors, officers and holders of 5% or more of its capital stock and their affiliates, each a related party. Prior to this transaction, the material facts as to the related party’s relationship or interest in the transaction are disclosed to its board of directors prior to their consideration of such transaction, and the transaction is not considered approved by Gemini’s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Policies and Procedures for Related Person Transactions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Upon the Closing, the Combined Entity will adopt a written related person transaction policy that sets forth the following policies and procedures for the review and approval or ratification of related person transactions.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7" w:name="page228"/>
    <w:bookmarkEnd w:id="2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Combined Entity or any of its subsidiaries was, is or will be a participant, the amount of which involved exceeds $120,000, and in which any related person had, has or will have a direct or indirect material interest. A “Related Person” means:</w:t>
      </w:r>
    </w:p>
    <w:p>
      <w:pPr>
        <w:spacing w:after="0" w:line="108" w:lineRule="exact"/>
        <w:rPr>
          <w:sz w:val="20"/>
          <w:szCs w:val="20"/>
          <w:color w:val="auto"/>
        </w:rPr>
      </w:pPr>
    </w:p>
    <w:p>
      <w:pPr>
        <w:ind w:left="1320" w:right="479" w:hanging="434"/>
        <w:spacing w:after="0" w:line="282" w:lineRule="auto"/>
        <w:tabs>
          <w:tab w:leader="none" w:pos="147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Combined Entity’s officers or one of Combined Entity’s directors;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Combined Entity to be the beneficial owner of more than five percent (5%) of its voting stock;</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7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audit committee of the Combined Entity’s board of directors will have the responsibility for reviewing and approving any related person transactions. In reviewing any related person transaction, the audit committee will take into account, among other factors that it deems appropriate, whether the related person transaction is on terms no less favorable to the Combined Entity than terms generally available in a transaction with an unaffiliated third-party under the same or similar circumstances and the extent of the Related Person’s interest in the related person transaction.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8" w:name="page229"/>
    <w:bookmarkEnd w:id="2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Board is aware of no other matter that may be brought before the special meeting. Under Delaware law, only business that is specified in the notice of special meeting to stockholders may be transacted at the special meeting.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162" w:lineRule="exact"/>
        <w:rPr>
          <w:sz w:val="20"/>
          <w:szCs w:val="20"/>
          <w:color w:val="auto"/>
        </w:rPr>
      </w:pPr>
    </w:p>
    <w:p>
      <w:pPr>
        <w:ind w:left="460"/>
        <w:spacing w:after="0"/>
        <w:tabs>
          <w:tab w:leader="none" w:pos="7380" w:val="left"/>
        </w:tabs>
        <w:rPr>
          <w:sz w:val="20"/>
          <w:szCs w:val="20"/>
          <w:color w:val="auto"/>
        </w:rPr>
      </w:pPr>
      <w:r>
        <w:rPr>
          <w:rFonts w:ascii="Times New Roman" w:cs="Times New Roman" w:eastAsia="Times New Roman" w:hAnsi="Times New Roman"/>
          <w:sz w:val="18"/>
          <w:szCs w:val="18"/>
          <w:color w:val="auto"/>
        </w:rPr>
        <w:t>We anticipate that the 2021 annual meeting of stockholders will be held no later than</w:t>
      </w:r>
      <w:r>
        <w:rPr>
          <w:sz w:val="20"/>
          <w:szCs w:val="20"/>
          <w:color w:val="auto"/>
        </w:rPr>
        <w:tab/>
      </w:r>
      <w:r>
        <w:rPr>
          <w:rFonts w:ascii="Times New Roman" w:cs="Times New Roman" w:eastAsia="Times New Roman" w:hAnsi="Times New Roman"/>
          <w:sz w:val="18"/>
          <w:szCs w:val="18"/>
          <w:color w:val="auto"/>
        </w:rPr>
        <w:t>, 2021. For any</w:t>
      </w:r>
    </w:p>
    <w:p>
      <w:pPr>
        <w:spacing w:after="0" w:line="27"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proposal to be considered for inclusion in our proxy statement and form of proxy for submission to the stockholders at our 2021 annual meeting of stockholders, it must be submitted in writing and comply with the requirements of Rule 14a-8 of the Exchange Act and the Current By-laws. Assuming the meeting is held on or</w:t>
      </w:r>
    </w:p>
    <w:p>
      <w:pPr>
        <w:spacing w:after="0" w:line="1" w:lineRule="exact"/>
        <w:rPr>
          <w:sz w:val="20"/>
          <w:szCs w:val="20"/>
          <w:color w:val="auto"/>
        </w:rPr>
      </w:pPr>
    </w:p>
    <w:p>
      <w:pPr>
        <w:jc w:val="both"/>
        <w:ind w:left="460" w:right="459"/>
        <w:spacing w:after="0" w:line="242" w:lineRule="auto"/>
        <w:rPr>
          <w:sz w:val="20"/>
          <w:szCs w:val="20"/>
          <w:color w:val="auto"/>
        </w:rPr>
      </w:pPr>
      <w:r>
        <w:rPr>
          <w:rFonts w:ascii="Times New Roman" w:cs="Times New Roman" w:eastAsia="Times New Roman" w:hAnsi="Times New Roman"/>
          <w:sz w:val="18"/>
          <w:szCs w:val="18"/>
          <w:color w:val="auto"/>
        </w:rPr>
        <w:t>about , 2021, such proposals must be received by the Combined Entity at its offices at c/o Gemini Therapeutics,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Massachusetts 02139, within a reasonable time before the Combined Entity begins to print and send its proxy materials for the meeting.</w:t>
      </w:r>
    </w:p>
    <w:p>
      <w:pPr>
        <w:spacing w:after="0" w:line="12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7"/>
          <w:szCs w:val="17"/>
          <w:color w:val="auto"/>
        </w:rPr>
        <w:t>In addition, the Amended By-laws, which will be effective upon the Closing, provide notice procedures for stockholders to propose business (other than director nominations) to be considered by stockholders at a meeting. To be timely, a stockholder’s notice must be received by the Secretary at the principal executive offices of the Combined Entity not later than the close of business on the 90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day nor earlier than the close of business 120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provided, however, that in the event that no annual meeting was held during the preceding year or the date of the annual meeting is advanced more than 30 days prior to or delayed by more than 30 days after such anniversary of the preceding year’s annual meeting, notice by the stockholder to be timely must be so received no earlier than the close of business on the 120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later of the 90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day prior to such annual meeting or the tenth day following the day on which public announcement of the date such meeting is first made. Thus, for our 2021 annual meeting of stockholders, notice of a proposal must be delivered</w:t>
      </w:r>
    </w:p>
    <w:p>
      <w:pPr>
        <w:spacing w:after="0" w:line="9"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to our Secretary no later than , 2021 and no earlier than , 2021. The Chairperson of the Combined Entity’s board of directors may refuse to acknowledge the introduction of any stockholder proposal not made in compliance with the foregoing procedures.</w:t>
      </w:r>
    </w:p>
    <w:p>
      <w:pPr>
        <w:spacing w:after="0" w:line="105"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Further, the Amended By-laws, which will be effective upon the Closing, provide notice procedures for stockholders to nominate a person as a director to be considered by stockholders at a meeting. To be timely, a stockholder’s notice must be received by the Secretary at the principal executive offices of the Combined Entity</w:t>
      </w:r>
    </w:p>
    <w:p>
      <w:pPr>
        <w:spacing w:after="0" w:line="1" w:lineRule="exact"/>
        <w:rPr>
          <w:sz w:val="20"/>
          <w:szCs w:val="20"/>
          <w:color w:val="auto"/>
        </w:rPr>
      </w:pPr>
    </w:p>
    <w:p>
      <w:pPr>
        <w:jc w:val="both"/>
        <w:ind w:left="460" w:right="459" w:hanging="6"/>
        <w:spacing w:after="0" w:line="237" w:lineRule="auto"/>
        <w:tabs>
          <w:tab w:leader="none" w:pos="70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meeting, not later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provided, however, that in the event that no annual meeting was held during the preceding year or the date of the annual meeting is advanced more than 30 days prior to or delayed by more than 60 days after the anniversary of the preceding year’s annual meeting, notice by the stockholder to be timely must be so received no 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such annual meeting and not later than the close of business on the later of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such annual meeting or the tenth day following the day on which public announcement of the date of such meeting was first made. Thus, for our 2021 annual meeting of stockholders,</w:t>
      </w:r>
    </w:p>
    <w:p>
      <w:pPr>
        <w:spacing w:after="0" w:line="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notice of a nomination must be delivered to our Secretary no later than , 2021 and no earlier than , 2021. The Chairperson of the Combined Entity’s board of directors may refuse to acknowledge the introduction of any stockholder nomination not made in compliance with the foregoing procedures.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16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Stockholders and interested parties may communicate with the Board, any committee chairperson or the non-management directors as a group by writing to the board or committee chairperson in care FS Development, 600 Montgomery Street, Suite 4500, San Francisco, California 94111. Following the Business Combination, such communications should be sent to Gemini Therapeutics,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Massachusetts 02139. Each communication will be forwarded, depending on the subject matter, to the board of directors, the appropriate committee chairperson or all non-management directors.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9" w:name="page230"/>
    <w:bookmarkEnd w:id="2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validity of the shares of Class A Common Stock to be issued in connection with the Business Combination will be passed upon by White &amp; Case LLP, New York, New York.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financial statements of FS Development as of June 30, 2020, and for the period from June 25, 2020 (inception) through June 30, 2020 appearing in this proxy statement/prospectus have been audited by WithumSmith+Brown, PC, independent registered public accounting firm, as set forth in their report thereon, appearing elsewhere in this prospectus, and are included in reliance on such report given on the authority of such firm as experts in auditing and accounting.</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financial statements of Gemini Therapeutics, Inc. as of December 31, 2018 and December 31, 2019, and for the years then ended included in the Proxy Statement of FS Development Corp., which is referred to and made part of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rules of the SEC, FS Development and servicers that it employs to deliver communications to its stockholders are permitted to deliver to two or more stockholders sharing the same address a single copy of this proxy statement/prospectus. Upon written or oral request, FS Development will deliver a separate copy of this proxy statement/prospectus to any stockholder at a shared address to which a single copy of this proxy statement/prospectus was delivered and who wishes to receive separate copies in the future. Stockholders receiving multiple copies of this proxy statement/prospectus may likewise request delivery of single copies of this proxy statement/prospectus in the future. Stockholders may notify FS Development of their requests by calling or writing FS Development at its principal executive offices 600 Montgomery Street, Suite 4500, San Francisco, California 94111.</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registrar and transfer agent for the shares of Common Stock is Continental Stock Transfer &amp; Trust Company. FS Development has agreed to indemnify Continental Stock Transfer &amp; Trust Company in its role as transfer agent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0" w:name="page231"/>
    <w:bookmarkEnd w:id="2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as required by the Exchange Act. You can read FS Development’s SEC filings, including this proxy statement/prospectus,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statement/prospectus or if you have questions about the Business Combination or the proposals to be presented at the Special Meeting, you should contact FS Development by telephone or in writing:</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You may also obtain these documents by requesting them in writing or by telephone from FS Development’s proxy solicitation agent at the following address and telephone number: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Morrow Sodali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470 West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Stamford CT 06902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Individuals call toll-free (800) 662-5200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call (203) 658-9400Email: FSDC.info@investor.morrowsodali.com</w:t>
      </w:r>
    </w:p>
    <w:p>
      <w:pPr>
        <w:spacing w:after="0" w:line="12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you are a stockholder of FS Development and would like to request documents, please do so by one week prior to the Special Meeting in order to receive them before the Special Meeting. If you request any documents from FS Development, FS Development will mail them to you by first class mail, or another equally prompt means.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All information contained in this proxy statement/prospectus relating to FS Development has been supplied by FS Development, and all such information relating to Gemini has been supplied by Gemini. Information provided by either FS Development or Gemini does not constitute any representation, estimate or projection of any other party.</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This document is a proxy statement/prospectus of FS Development for the Special Meeting. FS Development has not authorized anyone to give any information or make any representation about the Business Combination, FS Development or Gemini that is different from, or in addition to, that contained in this proxy statement/prospectus. Therefore, if anyone does give you information of this sort, you should not rely on it. The information contained in this proxy statement/prospectus speaks only as of the date of this proxy statement/prospectus, unless the information specifically indicates that another date applies.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1" w:name="page232"/>
    <w:bookmarkEnd w:id="2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2"/>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47"/>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c>
          <w:tcPr>
            <w:tcW w:w="178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57"/>
        </w:trPr>
        <w:tc>
          <w:tcPr>
            <w:tcW w:w="736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 of FS Development Corp.</w:t>
            </w: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33">
              <w:r>
                <w:rPr>
                  <w:rFonts w:ascii="Times New Roman" w:cs="Times New Roman" w:eastAsia="Times New Roman" w:hAnsi="Times New Roman"/>
                  <w:sz w:val="18"/>
                  <w:szCs w:val="18"/>
                  <w:u w:val="single" w:color="auto"/>
                  <w:color w:val="0000EE"/>
                </w:rPr>
                <w:t>Unaudited Condensed Balance Sheet as of September 30, 2020</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76"/>
        </w:trPr>
        <w:tc>
          <w:tcPr>
            <w:tcW w:w="73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34">
              <w:r>
                <w:rPr>
                  <w:rFonts w:ascii="Times New Roman" w:cs="Times New Roman" w:eastAsia="Times New Roman" w:hAnsi="Times New Roman"/>
                  <w:sz w:val="18"/>
                  <w:szCs w:val="18"/>
                  <w:color w:val="0000EE"/>
                </w:rPr>
                <w:t>Unaudited Condensed Statement of Operations for the three months ended September 30, 2020 and</w:t>
              </w:r>
            </w:hyperlink>
          </w:p>
        </w:tc>
        <w:tc>
          <w:tcPr>
            <w:tcW w:w="74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96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w:anchor="page234">
              <w:r>
                <w:rPr>
                  <w:rFonts w:ascii="Times New Roman" w:cs="Times New Roman" w:eastAsia="Times New Roman" w:hAnsi="Times New Roman"/>
                  <w:sz w:val="18"/>
                  <w:szCs w:val="18"/>
                  <w:color w:val="0000EE"/>
                </w:rPr>
                <w:t>for the period from June 25, 2020 (inception) through September 30, 2020</w:t>
              </w:r>
            </w:hyperlink>
          </w:p>
        </w:tc>
        <w:tc>
          <w:tcPr>
            <w:tcW w:w="220" w:type="dxa"/>
            <w:vAlign w:val="bottom"/>
            <w:tcBorders>
              <w:top w:val="single" w:sz="8" w:color="CCEEFF"/>
            </w:tcBorders>
            <w:gridSpan w:val="3"/>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0000EE"/>
            </w:tcBorders>
            <w:shd w:val="clear" w:color="auto" w:fill="CCEEFF"/>
          </w:tcPr>
          <w:p>
            <w:pPr>
              <w:spacing w:after="0"/>
              <w:rPr>
                <w:sz w:val="5"/>
                <w:szCs w:val="5"/>
                <w:color w:val="auto"/>
              </w:rPr>
            </w:pPr>
          </w:p>
        </w:tc>
        <w:tc>
          <w:tcPr>
            <w:tcW w:w="178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6"/>
        </w:trPr>
        <w:tc>
          <w:tcPr>
            <w:tcW w:w="7360" w:type="dxa"/>
            <w:vAlign w:val="bottom"/>
            <w:gridSpan w:val="17"/>
          </w:tcPr>
          <w:p>
            <w:pPr>
              <w:spacing w:after="0" w:line="176" w:lineRule="exact"/>
              <w:rPr>
                <w:rFonts w:ascii="Times New Roman" w:cs="Times New Roman" w:eastAsia="Times New Roman" w:hAnsi="Times New Roman"/>
                <w:sz w:val="18"/>
                <w:szCs w:val="18"/>
                <w:color w:val="0000EE"/>
              </w:rPr>
            </w:pPr>
            <w:hyperlink w:anchor="page235">
              <w:r>
                <w:rPr>
                  <w:rFonts w:ascii="Times New Roman" w:cs="Times New Roman" w:eastAsia="Times New Roman" w:hAnsi="Times New Roman"/>
                  <w:sz w:val="18"/>
                  <w:szCs w:val="18"/>
                  <w:color w:val="0000EE"/>
                </w:rPr>
                <w:t>Unaudited Condensed Statement of Changes in Stockholder’s equity for the three months ended</w:t>
              </w:r>
            </w:hyperlink>
          </w:p>
        </w:tc>
        <w:tc>
          <w:tcPr>
            <w:tcW w:w="7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35">
              <w:r>
                <w:rPr>
                  <w:rFonts w:ascii="Times New Roman" w:cs="Times New Roman" w:eastAsia="Times New Roman" w:hAnsi="Times New Roman"/>
                  <w:sz w:val="18"/>
                  <w:szCs w:val="18"/>
                  <w:color w:val="0000EE"/>
                </w:rPr>
                <w:t>September 30, 2020 and for the period from June 25, 2020 (inception) through September</w:t>
              </w:r>
            </w:hyperlink>
          </w:p>
        </w:tc>
        <w:tc>
          <w:tcPr>
            <w:tcW w:w="46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780" w:type="dxa"/>
            <w:vAlign w:val="bottom"/>
            <w:gridSpan w:val="4"/>
          </w:tcPr>
          <w:p>
            <w:pPr>
              <w:ind w:left="180"/>
              <w:spacing w:after="0" w:line="196" w:lineRule="exact"/>
              <w:rPr>
                <w:rFonts w:ascii="Times New Roman" w:cs="Times New Roman" w:eastAsia="Times New Roman" w:hAnsi="Times New Roman"/>
                <w:sz w:val="18"/>
                <w:szCs w:val="18"/>
                <w:color w:val="0000EE"/>
              </w:rPr>
            </w:pPr>
            <w:hyperlink w:anchor="page235">
              <w:r>
                <w:rPr>
                  <w:rFonts w:ascii="Times New Roman" w:cs="Times New Roman" w:eastAsia="Times New Roman" w:hAnsi="Times New Roman"/>
                  <w:sz w:val="18"/>
                  <w:szCs w:val="18"/>
                  <w:color w:val="0000EE"/>
                </w:rPr>
                <w:t>30, 2020</w:t>
              </w:r>
            </w:hyperlink>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6"/>
        </w:trPr>
        <w:tc>
          <w:tcPr>
            <w:tcW w:w="73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36">
              <w:r>
                <w:rPr>
                  <w:rFonts w:ascii="Times New Roman" w:cs="Times New Roman" w:eastAsia="Times New Roman" w:hAnsi="Times New Roman"/>
                  <w:sz w:val="18"/>
                  <w:szCs w:val="18"/>
                  <w:color w:val="0000EE"/>
                </w:rPr>
                <w:t>Unaudited Condensed Statement of Cash Flows for the period from June 25, 2020 (inception)</w:t>
              </w:r>
            </w:hyperlink>
          </w:p>
        </w:tc>
        <w:tc>
          <w:tcPr>
            <w:tcW w:w="74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60" w:type="dxa"/>
            <w:vAlign w:val="bottom"/>
            <w:tcBorders>
              <w:top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w:anchor="page236">
              <w:r>
                <w:rPr>
                  <w:rFonts w:ascii="Times New Roman" w:cs="Times New Roman" w:eastAsia="Times New Roman" w:hAnsi="Times New Roman"/>
                  <w:sz w:val="18"/>
                  <w:szCs w:val="18"/>
                  <w:color w:val="0000EE"/>
                </w:rPr>
                <w:t>through September 30, 2020</w:t>
              </w:r>
            </w:hyperlink>
          </w:p>
        </w:tc>
        <w:tc>
          <w:tcPr>
            <w:tcW w:w="620" w:type="dxa"/>
            <w:vAlign w:val="bottom"/>
            <w:tcBorders>
              <w:top w:val="single" w:sz="8" w:color="CCEEFF"/>
            </w:tcBorders>
            <w:gridSpan w:val="7"/>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1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37">
              <w:r>
                <w:rPr>
                  <w:rFonts w:ascii="Times New Roman" w:cs="Times New Roman" w:eastAsia="Times New Roman" w:hAnsi="Times New Roman"/>
                  <w:sz w:val="18"/>
                  <w:szCs w:val="18"/>
                  <w:u w:val="single" w:color="auto"/>
                  <w:color w:val="0000EE"/>
                </w:rPr>
                <w:t>Notes to Unaudited Condensed Financial Statements</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3"/>
        </w:trPr>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73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FS Development Corp.</w:t>
            </w:r>
          </w:p>
        </w:tc>
        <w:tc>
          <w:tcPr>
            <w:tcW w:w="740" w:type="dxa"/>
            <w:vAlign w:val="bottom"/>
          </w:tcPr>
          <w:p>
            <w:pPr>
              <w:spacing w:after="0"/>
              <w:rPr>
                <w:sz w:val="21"/>
                <w:szCs w:val="21"/>
                <w:color w:val="auto"/>
              </w:rPr>
            </w:pPr>
          </w:p>
        </w:tc>
      </w:tr>
      <w:tr>
        <w:trPr>
          <w:trHeight w:val="41"/>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50">
              <w:r>
                <w:rPr>
                  <w:rFonts w:ascii="Times New Roman" w:cs="Times New Roman" w:eastAsia="Times New Roman" w:hAnsi="Times New Roman"/>
                  <w:sz w:val="18"/>
                  <w:szCs w:val="18"/>
                  <w:u w:val="single" w:color="auto"/>
                  <w:color w:val="0000EE"/>
                </w:rPr>
                <w:t>Report of Independent Registered Public Accounting Firm</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F-19</w:t>
            </w: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51">
              <w:r>
                <w:rPr>
                  <w:rFonts w:ascii="Times New Roman" w:cs="Times New Roman" w:eastAsia="Times New Roman" w:hAnsi="Times New Roman"/>
                  <w:sz w:val="18"/>
                  <w:szCs w:val="18"/>
                  <w:u w:val="single" w:color="auto"/>
                  <w:color w:val="0000EE"/>
                </w:rPr>
                <w:t>Balance Sheet as of June 30, 2020</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F-20</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52">
              <w:r>
                <w:rPr>
                  <w:rFonts w:ascii="Times New Roman" w:cs="Times New Roman" w:eastAsia="Times New Roman" w:hAnsi="Times New Roman"/>
                  <w:sz w:val="18"/>
                  <w:szCs w:val="18"/>
                  <w:u w:val="single" w:color="auto"/>
                  <w:color w:val="0000EE"/>
                </w:rPr>
                <w:t>Statements of Operations for the period from June 25, 2020 (inception) through June 30, 2020</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F-21</w:t>
            </w:r>
          </w:p>
        </w:tc>
      </w:tr>
      <w:tr>
        <w:trPr>
          <w:trHeight w:val="176"/>
        </w:trPr>
        <w:tc>
          <w:tcPr>
            <w:tcW w:w="668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w:anchor="page253">
              <w:r>
                <w:rPr>
                  <w:rFonts w:ascii="Times New Roman" w:cs="Times New Roman" w:eastAsia="Times New Roman" w:hAnsi="Times New Roman"/>
                  <w:sz w:val="18"/>
                  <w:szCs w:val="18"/>
                  <w:color w:val="0000EE"/>
                </w:rPr>
                <w:t>Statement of Changes in Stockholder’s Equity for the period from June 25, 2020 (inception)</w:t>
              </w:r>
            </w:hyperlink>
          </w:p>
        </w:tc>
        <w:tc>
          <w:tcPr>
            <w:tcW w:w="680" w:type="dxa"/>
            <w:vAlign w:val="bottom"/>
            <w:gridSpan w:val="8"/>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80" w:type="dxa"/>
            <w:vAlign w:val="bottom"/>
            <w:gridSpan w:val="16"/>
          </w:tcPr>
          <w:p>
            <w:pPr>
              <w:spacing w:after="0" w:line="196" w:lineRule="exact"/>
              <w:rPr>
                <w:rFonts w:ascii="Times New Roman" w:cs="Times New Roman" w:eastAsia="Times New Roman" w:hAnsi="Times New Roman"/>
                <w:sz w:val="18"/>
                <w:szCs w:val="18"/>
                <w:color w:val="0000EE"/>
              </w:rPr>
            </w:pPr>
            <w:hyperlink w:anchor="page253">
              <w:r>
                <w:rPr>
                  <w:rFonts w:ascii="Times New Roman" w:cs="Times New Roman" w:eastAsia="Times New Roman" w:hAnsi="Times New Roman"/>
                  <w:sz w:val="18"/>
                  <w:szCs w:val="18"/>
                  <w:color w:val="0000EE"/>
                </w:rPr>
                <w:t>through June 30, 2020</w:t>
              </w:r>
            </w:hyperlink>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F-22</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54">
              <w:r>
                <w:rPr>
                  <w:rFonts w:ascii="Times New Roman" w:cs="Times New Roman" w:eastAsia="Times New Roman" w:hAnsi="Times New Roman"/>
                  <w:sz w:val="18"/>
                  <w:szCs w:val="18"/>
                  <w:u w:val="single" w:color="auto"/>
                  <w:color w:val="0000EE"/>
                </w:rPr>
                <w:t>Statement of Cash Flows for the period from June 25, 2020 (inception) through June 30, 2020</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F-23</w:t>
            </w: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55">
              <w:r>
                <w:rPr>
                  <w:rFonts w:ascii="Times New Roman" w:cs="Times New Roman" w:eastAsia="Times New Roman" w:hAnsi="Times New Roman"/>
                  <w:sz w:val="18"/>
                  <w:szCs w:val="18"/>
                  <w:u w:val="single" w:color="auto"/>
                  <w:color w:val="0000EE"/>
                </w:rPr>
                <w:t>Notes to Financial Statements</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F-24</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4"/>
        </w:trPr>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73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Gemini Therapeutics, Inc.</w:t>
            </w:r>
          </w:p>
        </w:tc>
        <w:tc>
          <w:tcPr>
            <w:tcW w:w="74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63">
              <w:r>
                <w:rPr>
                  <w:rFonts w:ascii="Times New Roman" w:cs="Times New Roman" w:eastAsia="Times New Roman" w:hAnsi="Times New Roman"/>
                  <w:sz w:val="18"/>
                  <w:szCs w:val="18"/>
                  <w:u w:val="single" w:color="auto"/>
                  <w:color w:val="0000EE"/>
                </w:rPr>
                <w:t>Report of Independent Registered Public Accounting Firm</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F-32</w:t>
            </w: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64">
              <w:r>
                <w:rPr>
                  <w:rFonts w:ascii="Times New Roman" w:cs="Times New Roman" w:eastAsia="Times New Roman" w:hAnsi="Times New Roman"/>
                  <w:sz w:val="18"/>
                  <w:szCs w:val="18"/>
                  <w:u w:val="single" w:color="auto"/>
                  <w:color w:val="0000EE"/>
                </w:rPr>
                <w:t>Balance Sheets as of December 31, 2018 and 2019, and (unaudited) as of September 30, 2020</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F-33</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75"/>
        </w:trPr>
        <w:tc>
          <w:tcPr>
            <w:tcW w:w="686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65">
              <w:r>
                <w:rPr>
                  <w:rFonts w:ascii="Times New Roman" w:cs="Times New Roman" w:eastAsia="Times New Roman" w:hAnsi="Times New Roman"/>
                  <w:sz w:val="18"/>
                  <w:szCs w:val="18"/>
                  <w:color w:val="0000EE"/>
                  <w:w w:val="99"/>
                </w:rPr>
                <w:t>Statements of Operations and Comprehensive Loss for the years ended December 31, 2018 and</w:t>
              </w:r>
            </w:hyperlink>
          </w:p>
        </w:tc>
        <w:tc>
          <w:tcPr>
            <w:tcW w:w="500" w:type="dxa"/>
            <w:vAlign w:val="bottom"/>
            <w:tcBorders>
              <w:bottom w:val="single" w:sz="8" w:color="CCEEFF"/>
            </w:tcBorders>
            <w:gridSpan w:val="6"/>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16"/>
            <w:shd w:val="clear" w:color="auto" w:fill="CCEEFF"/>
          </w:tcPr>
          <w:p>
            <w:pPr>
              <w:spacing w:after="0"/>
              <w:rPr>
                <w:rFonts w:ascii="Times New Roman" w:cs="Times New Roman" w:eastAsia="Times New Roman" w:hAnsi="Times New Roman"/>
                <w:sz w:val="18"/>
                <w:szCs w:val="18"/>
                <w:u w:val="single" w:color="auto"/>
                <w:color w:val="0000EE"/>
              </w:rPr>
            </w:pPr>
            <w:hyperlink w:anchor="page265">
              <w:r>
                <w:rPr>
                  <w:rFonts w:ascii="Times New Roman" w:cs="Times New Roman" w:eastAsia="Times New Roman" w:hAnsi="Times New Roman"/>
                  <w:sz w:val="18"/>
                  <w:szCs w:val="18"/>
                  <w:u w:val="single" w:color="auto"/>
                  <w:color w:val="0000EE"/>
                </w:rPr>
                <w:t>2019, and (unaudited) for the nine months ended September 30, 2019 and 2020</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F-34</w:t>
            </w:r>
          </w:p>
        </w:tc>
      </w:tr>
      <w:tr>
        <w:trPr>
          <w:trHeight w:val="175"/>
        </w:trPr>
        <w:tc>
          <w:tcPr>
            <w:tcW w:w="70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w w:val="99"/>
              </w:rPr>
            </w:pPr>
            <w:hyperlink w:anchor="page266">
              <w:r>
                <w:rPr>
                  <w:rFonts w:ascii="Times New Roman" w:cs="Times New Roman" w:eastAsia="Times New Roman" w:hAnsi="Times New Roman"/>
                  <w:sz w:val="18"/>
                  <w:szCs w:val="18"/>
                  <w:color w:val="0000EE"/>
                  <w:w w:val="99"/>
                </w:rPr>
                <w:t>Statements of Convertible Preferred Stock and Stockholders’ Equity (Deficit) for the years ended</w:t>
              </w:r>
            </w:hyperlink>
          </w:p>
        </w:tc>
        <w:tc>
          <w:tcPr>
            <w:tcW w:w="360" w:type="dxa"/>
            <w:vAlign w:val="bottom"/>
            <w:gridSpan w:val="4"/>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0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266">
              <w:r>
                <w:rPr>
                  <w:rFonts w:ascii="Times New Roman" w:cs="Times New Roman" w:eastAsia="Times New Roman" w:hAnsi="Times New Roman"/>
                  <w:sz w:val="18"/>
                  <w:szCs w:val="18"/>
                  <w:color w:val="0000EE"/>
                  <w:w w:val="99"/>
                </w:rPr>
                <w:t>December 31, 2018 and 2019, and (unaudited) for the nine months ended September 30, 2019 and</w:t>
              </w:r>
            </w:hyperlink>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800" w:type="dxa"/>
            <w:vAlign w:val="bottom"/>
            <w:gridSpan w:val="3"/>
          </w:tcPr>
          <w:p>
            <w:pPr>
              <w:ind w:left="180"/>
              <w:spacing w:after="0" w:line="196" w:lineRule="exact"/>
              <w:rPr>
                <w:rFonts w:ascii="Times New Roman" w:cs="Times New Roman" w:eastAsia="Times New Roman" w:hAnsi="Times New Roman"/>
                <w:sz w:val="18"/>
                <w:szCs w:val="18"/>
                <w:color w:val="0000EE"/>
              </w:rPr>
            </w:pPr>
            <w:hyperlink w:anchor="page266">
              <w:r>
                <w:rPr>
                  <w:rFonts w:ascii="Times New Roman" w:cs="Times New Roman" w:eastAsia="Times New Roman" w:hAnsi="Times New Roman"/>
                  <w:sz w:val="18"/>
                  <w:szCs w:val="18"/>
                  <w:color w:val="0000EE"/>
                </w:rPr>
                <w:t>2020</w:t>
              </w:r>
            </w:hyperlink>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F-35</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6"/>
        </w:trPr>
        <w:tc>
          <w:tcPr>
            <w:tcW w:w="72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68">
              <w:r>
                <w:rPr>
                  <w:rFonts w:ascii="Times New Roman" w:cs="Times New Roman" w:eastAsia="Times New Roman" w:hAnsi="Times New Roman"/>
                  <w:sz w:val="18"/>
                  <w:szCs w:val="18"/>
                  <w:color w:val="0000EE"/>
                  <w:w w:val="99"/>
                </w:rPr>
                <w:t>Statements of Cash Flows for the years ended December 31, 2018 and 2019, and (unaudited) for the</w:t>
              </w:r>
            </w:hyperlink>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w:anchor="page268">
              <w:r>
                <w:rPr>
                  <w:rFonts w:ascii="Times New Roman" w:cs="Times New Roman" w:eastAsia="Times New Roman" w:hAnsi="Times New Roman"/>
                  <w:sz w:val="18"/>
                  <w:szCs w:val="18"/>
                  <w:color w:val="0000EE"/>
                </w:rPr>
                <w:t>nine months ended September 30, 2019 and 2020</w:t>
              </w:r>
            </w:hyperlink>
          </w:p>
        </w:tc>
        <w:tc>
          <w:tcPr>
            <w:tcW w:w="7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0000EE"/>
            </w:tcBorders>
            <w:shd w:val="clear" w:color="auto" w:fill="CCEEFF"/>
          </w:tcPr>
          <w:p>
            <w:pPr>
              <w:spacing w:after="0"/>
              <w:rPr>
                <w:sz w:val="5"/>
                <w:szCs w:val="5"/>
                <w:color w:val="auto"/>
              </w:rPr>
            </w:pPr>
          </w:p>
        </w:tc>
        <w:tc>
          <w:tcPr>
            <w:tcW w:w="1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69">
              <w:r>
                <w:rPr>
                  <w:rFonts w:ascii="Times New Roman" w:cs="Times New Roman" w:eastAsia="Times New Roman" w:hAnsi="Times New Roman"/>
                  <w:sz w:val="18"/>
                  <w:szCs w:val="18"/>
                  <w:u w:val="single" w:color="auto"/>
                  <w:color w:val="0000EE"/>
                </w:rPr>
                <w:t>Notes to Financial Statements</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F-37</w:t>
            </w:r>
          </w:p>
        </w:tc>
      </w:tr>
      <w:tr>
        <w:trPr>
          <w:trHeight w:val="432"/>
        </w:trPr>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1"/>
          </w:tcPr>
          <w:p>
            <w:pPr>
              <w:ind w:left="180"/>
              <w:spacing w:after="0"/>
              <w:rPr>
                <w:sz w:val="20"/>
                <w:szCs w:val="20"/>
                <w:color w:val="auto"/>
              </w:rPr>
            </w:pPr>
            <w:r>
              <w:rPr>
                <w:rFonts w:ascii="Times New Roman" w:cs="Times New Roman" w:eastAsia="Times New Roman" w:hAnsi="Times New Roman"/>
                <w:sz w:val="18"/>
                <w:szCs w:val="18"/>
                <w:color w:val="auto"/>
              </w:rPr>
              <w:t>F-1</w:t>
            </w: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32" w:name="page233"/>
    <w:bookmarkEnd w:id="232"/>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UNAUDITED CONDENSED BALANCE SHEET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75"/>
        </w:trPr>
        <w:tc>
          <w:tcPr>
            <w:tcW w:w="6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1,437,928</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169,570</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1,607,498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held in Trust Account</w:t>
            </w:r>
          </w:p>
        </w:tc>
        <w:tc>
          <w:tcPr>
            <w:tcW w:w="14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120,751,489</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122,358,987</w:t>
            </w:r>
          </w:p>
        </w:tc>
        <w:tc>
          <w:tcPr>
            <w:tcW w:w="120" w:type="dxa"/>
            <w:vAlign w:val="bottom"/>
            <w:shd w:val="clear" w:color="auto" w:fill="CCEEFF"/>
          </w:tcPr>
          <w:p>
            <w:pPr>
              <w:spacing w:after="0"/>
              <w:rPr>
                <w:sz w:val="21"/>
                <w:szCs w:val="2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40,489</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461,999</w:t>
            </w: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Franchise tax payable</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49,914</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4,226,250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4,778,652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11,258,033 shares subject to possible redemption</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5"/>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$10.00 per share</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112,580,330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83"/>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140" w:type="dxa"/>
            <w:vAlign w:val="bottom"/>
          </w:tcPr>
          <w:p>
            <w:pPr>
              <w:spacing w:after="0"/>
              <w:rPr>
                <w:sz w:val="21"/>
                <w:szCs w:val="21"/>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100,000,000 shares authorized; 1,258,467 shares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5"/>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(excluding 11,258,033 shares subject to possible redemption)</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10,000,000 shares authorized; 3,018,750 shares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w:t>
            </w:r>
          </w:p>
        </w:tc>
        <w:tc>
          <w:tcPr>
            <w:tcW w:w="14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5,500,488</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(500,911)</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5,000,005</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122,358,987</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3" w:name="page234"/>
    <w:bookmarkEnd w:id="2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June 25,</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450,986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452,486</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49,914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49,914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cash equivalents held in Trust Account</w:t>
            </w: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(499,411)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(499,411</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A common stock</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vMerge w:val="continue"/>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12,516,500</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12,516,500</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Basic and diluted net income per share, Class 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B common stock</w:t>
            </w: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3,018,750</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3,018,750</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Basic and diluted net loss per share, Class B</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4" w:name="page235"/>
    <w:bookmarkEnd w:id="2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2020 AND FOR THE PERIOD FROM JUNE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 2020 (INCEPTION) THROUGH SEPTEMBER 30, 2020</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62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162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5"/>
                <w:szCs w:val="5"/>
                <w:color w:val="auto"/>
              </w:rPr>
            </w:pPr>
          </w:p>
        </w:tc>
        <w:tc>
          <w:tcPr>
            <w:tcW w:w="960" w:type="dxa"/>
            <w:vAlign w:val="bottom"/>
            <w:gridSpan w:val="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0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1620" w:type="dxa"/>
            <w:vAlign w:val="bottom"/>
          </w:tcPr>
          <w:p>
            <w:pPr>
              <w:spacing w:after="0"/>
              <w:rPr>
                <w:sz w:val="5"/>
                <w:szCs w:val="5"/>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 June 25,</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2020 (inception)</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 $</w:t>
            </w:r>
          </w:p>
        </w:tc>
        <w:tc>
          <w:tcPr>
            <w:tcW w:w="5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B</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to</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Sponsor</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167"/>
        </w:trPr>
        <w:tc>
          <w:tcPr>
            <w:tcW w:w="16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 June 30,</w:t>
            </w: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3,018,750</w:t>
            </w:r>
          </w:p>
        </w:tc>
        <w:tc>
          <w:tcPr>
            <w:tcW w:w="10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24,698</w:t>
            </w:r>
          </w:p>
        </w:tc>
        <w:tc>
          <w:tcPr>
            <w:tcW w:w="1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(1,500)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shares in initial</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public offering,</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12,075,000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120,748,792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120,750,000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Offering costs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(7,108,754)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(7,108,754)</w:t>
            </w:r>
          </w:p>
        </w:tc>
        <w:tc>
          <w:tcPr>
            <w:tcW w:w="0" w:type="dxa"/>
            <w:vAlign w:val="bottom"/>
          </w:tcPr>
          <w:p>
            <w:pPr>
              <w:spacing w:after="0"/>
              <w:rPr>
                <w:sz w:val="1"/>
                <w:szCs w:val="1"/>
                <w:color w:val="auto"/>
              </w:rPr>
            </w:pPr>
          </w:p>
        </w:tc>
      </w:tr>
      <w:tr>
        <w:trPr>
          <w:trHeight w:val="46"/>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private</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placement shares to</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Sponsor in private</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placement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4,414,956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4,415,000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subject</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possible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redemption</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(11,258,033)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(112,579,204)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(112,580,330)</w:t>
            </w: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(499,411)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(499,411)</w:t>
            </w:r>
          </w:p>
        </w:tc>
        <w:tc>
          <w:tcPr>
            <w:tcW w:w="0" w:type="dxa"/>
            <w:vAlign w:val="bottom"/>
          </w:tcPr>
          <w:p>
            <w:pPr>
              <w:spacing w:after="0"/>
              <w:rPr>
                <w:sz w:val="1"/>
                <w:szCs w:val="1"/>
                <w:color w:val="auto"/>
              </w:rPr>
            </w:pPr>
          </w:p>
        </w:tc>
      </w:tr>
      <w:tr>
        <w:trPr>
          <w:trHeight w:val="167"/>
        </w:trPr>
        <w:tc>
          <w:tcPr>
            <w:tcW w:w="16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 September</w:t>
            </w: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30, 2020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1,258,467</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3,018,750</w:t>
            </w:r>
          </w:p>
        </w:tc>
        <w:tc>
          <w:tcPr>
            <w:tcW w:w="100" w:type="dxa"/>
            <w:vAlign w:val="bottom"/>
          </w:tcPr>
          <w:p>
            <w:pPr>
              <w:spacing w:after="0"/>
              <w:rPr>
                <w:sz w:val="19"/>
                <w:szCs w:val="19"/>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5,500,488</w:t>
            </w:r>
          </w:p>
        </w:tc>
        <w:tc>
          <w:tcPr>
            <w:tcW w:w="12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(500,911)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5,000,005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5" w:name="page236"/>
    <w:bookmarkEnd w:id="23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JUNE 25, 2020 (INCEPTION) THROUGH SEPTEMBER 30, 2020</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(500,911)</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earned on cash equivalents held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(1,489)</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(169,570)</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39,489</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49,914</w:t>
            </w: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22"/>
                <w:szCs w:val="22"/>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391,999</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(190,568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77"/>
        </w:trPr>
        <w:tc>
          <w:tcPr>
            <w:tcW w:w="68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20" w:type="dxa"/>
            <w:vAlign w:val="bottom"/>
          </w:tcPr>
          <w:p>
            <w:pPr>
              <w:spacing w:after="0"/>
              <w:rPr>
                <w:sz w:val="22"/>
                <w:szCs w:val="22"/>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9"/>
              </w:rPr>
              <w:t>(120,750,000)</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(120,750,000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ectPr>
          <w:pgSz w:w="11900" w:h="16838" w:orient="portrait"/>
          <w:cols w:equalWidth="0" w:num="1">
            <w:col w:w="9019"/>
          </w:cols>
          <w:pgMar w:left="1440" w:top="270" w:right="1440" w:bottom="1440" w:gutter="0" w:footer="0" w:header="0"/>
        </w:sectPr>
      </w:pPr>
    </w:p>
    <w:p>
      <w:pPr>
        <w:spacing w:after="0" w:line="81" w:lineRule="exact"/>
        <w:rPr>
          <w:sz w:val="20"/>
          <w:szCs w:val="20"/>
          <w:color w:val="auto"/>
        </w:rPr>
      </w:pPr>
    </w:p>
    <w:p>
      <w:pPr>
        <w:ind w:left="460" w:right="1732"/>
        <w:spacing w:after="0" w:line="328" w:lineRule="auto"/>
        <w:rPr>
          <w:sz w:val="20"/>
          <w:szCs w:val="20"/>
          <w:color w:val="auto"/>
        </w:rPr>
      </w:pPr>
      <w:r>
        <w:rPr>
          <w:rFonts w:ascii="Times New Roman" w:cs="Times New Roman" w:eastAsia="Times New Roman" w:hAnsi="Times New Roman"/>
          <w:sz w:val="18"/>
          <w:szCs w:val="18"/>
          <w:color w:val="auto"/>
        </w:rPr>
        <w:t>Proceeds from issuance of Class B common stock to Sponsor Proceeds from note payable to related party 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-363855</wp:posOffset>
            </wp:positionV>
            <wp:extent cx="5143500" cy="1797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-3810</wp:posOffset>
            </wp:positionV>
            <wp:extent cx="5143500" cy="179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Proceeds received from initial public offering, gross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Offering costs paid</w:t>
      </w:r>
    </w:p>
    <w:p>
      <w:pPr>
        <w:spacing w:after="0" w:line="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803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242570</wp:posOffset>
            </wp:positionV>
            <wp:extent cx="5143500" cy="1797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200,000</w:t>
      </w:r>
    </w:p>
    <w:p>
      <w:pPr>
        <w:spacing w:after="0" w:line="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(200,000)</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120,750,000</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4,415,000</w:t>
      </w:r>
    </w:p>
    <w:p>
      <w:pPr>
        <w:spacing w:after="0" w:line="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(2,811,504)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7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122,378,496</w:t>
      </w:r>
    </w:p>
    <w:p>
      <w:pPr>
        <w:spacing w:after="0" w:line="360"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8"/>
          <w:szCs w:val="18"/>
          <w:color w:val="auto"/>
        </w:rPr>
        <w:t>1,437,928</w:t>
      </w:r>
    </w:p>
    <w:p>
      <w:pPr>
        <w:spacing w:after="0" w:line="374" w:lineRule="exact"/>
        <w:rPr>
          <w:sz w:val="20"/>
          <w:szCs w:val="20"/>
          <w:color w:val="auto"/>
        </w:rPr>
      </w:pPr>
    </w:p>
    <w:p>
      <w:pPr>
        <w:ind w:left="928"/>
        <w:spacing w:after="0"/>
        <w:rPr>
          <w:sz w:val="20"/>
          <w:szCs w:val="20"/>
          <w:color w:val="auto"/>
        </w:rPr>
      </w:pP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388" w:hanging="388"/>
        <w:spacing w:after="0"/>
        <w:tabs>
          <w:tab w:leader="none" w:pos="388"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1,437,928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0294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661" w:lineRule="exact"/>
        <w:rPr>
          <w:sz w:val="20"/>
          <w:szCs w:val="20"/>
          <w:color w:val="auto"/>
        </w:rPr>
      </w:pPr>
    </w:p>
    <w:p>
      <w:pPr>
        <w:sectPr>
          <w:pgSz w:w="11900" w:h="16838" w:orient="portrait"/>
          <w:cols w:equalWidth="0" w:num="2">
            <w:col w:w="6592" w:space="720"/>
            <w:col w:w="1707"/>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34"/>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 included in accounts payable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r>
      <w:tr>
        <w:trPr>
          <w:trHeight w:val="40"/>
        </w:trPr>
        <w:tc>
          <w:tcPr>
            <w:tcW w:w="6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70,000</w:t>
            </w:r>
          </w:p>
        </w:tc>
      </w:tr>
      <w:tr>
        <w:trPr>
          <w:trHeight w:val="243"/>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underwriting commissions in connection with the initial public offering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4,226,250</w:t>
            </w:r>
          </w:p>
        </w:tc>
      </w:tr>
      <w:tr>
        <w:trPr>
          <w:trHeight w:val="40"/>
        </w:trPr>
        <w:tc>
          <w:tcPr>
            <w:tcW w:w="6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Initial value of Class A common stock subject to possible redemption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113,053,770</w:t>
            </w:r>
          </w:p>
        </w:tc>
      </w:tr>
      <w:tr>
        <w:trPr>
          <w:trHeight w:val="243"/>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value of Class A common stock subject to possible redemption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(473,440)</w:t>
            </w: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6" w:name="page237"/>
    <w:bookmarkEnd w:id="2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Business Operations and Basis of Presentation</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September 30, 2020, the Company had not commenced any operations. All activity for the period from June 25, 2020 (inception) through September 30, 2020 relates to the Company’s formation and the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121"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Company’s sponsor is FS Development Holdings, LLC, a Delaware limited liability company (the “Sponsor”). The registration statement for the Company’s Initial Public Offering became effective on August 11, 2020. On August 14, 2020, the Company consummated its Initial Public Offering of 12,075,000 shares of Class A common stock, including the issuance of 1,575,000 shares of Class A Common Stock as a result of the underwriter’s exercise in full of its over-allotment option, (each, a “Public Share” and collectively, the “Public Shares”) at $10.00 per share, generating gross proceeds of approximately $120.8 million, and incurring offering costs of approximately $7.1 million, inclusive of approximately $4.2 million in deferred underwriting commissions (Note 5).</w:t>
      </w:r>
    </w:p>
    <w:p>
      <w:pPr>
        <w:spacing w:after="0" w:line="11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441,500 shares of Class A common stock (each, a “Private Placement Share” and collectively, the “Private Placement Shares”), at a price of $10.00 per Private Placement Share to the Sponsor, generating proceeds of approximately $4.4 million (Note 4).</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$120.8 million ($10.00 per share) of the net proceeds of the sale of the Public Shares in the Initial Public Offering and of the Private Placement Shares in the Private Placement were placed in a trust account (“Trust Account”) located in the United States at JP Morgan Chase Bank, N.A. with Continental Stock Transfer &amp; Trust Company acting as trustee, and are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of 1940, as amended (the “Investment Company Act”).</w:t>
      </w:r>
    </w:p>
    <w:p>
      <w:pPr>
        <w:spacing w:after="0" w:line="109"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w:t>
      </w:r>
    </w:p>
    <w:p>
      <w:pPr>
        <w:spacing w:after="0" w:line="1" w:lineRule="exact"/>
        <w:rPr>
          <w:sz w:val="20"/>
          <w:szCs w:val="20"/>
          <w:color w:val="auto"/>
        </w:rPr>
      </w:pPr>
    </w:p>
    <w:p>
      <w:pPr>
        <w:ind w:left="460" w:right="479" w:hanging="6"/>
        <w:spacing w:after="0" w:line="260" w:lineRule="auto"/>
        <w:tabs>
          <w:tab w:leader="none" w:pos="74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tender offer. The decision as to whether the Company will seek stockholder approval of a Business Combination or conduct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7" w:name="page238"/>
    <w:bookmarkEnd w:id="2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3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Initial Public Offering, or August 14,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2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on or after the Initial Public Offering, they will be entitled to liquidating distributions from the Trust Account with respect to such Public Shares if the Company fails to complete a Business Combination within the Combination Period. The underwriters have agreed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8" w:name="page239"/>
    <w:bookmarkEnd w:id="2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October 15, 2020, the Company entered into an agreement and plan of merger (the “Merger Agreement”) by and among the Company, FSG Merger Sub Inc., a Delaware corporation (“Merger Sub”), Gemini Therapeutics, Inc., a Delaware corporation (“Gemini”) and Shareholder Representative Services LLC, a Colorado limited liability company, in its capacity as the representative, agent and attorney-in-fact of the securityholders of Gemini (in such capacity, the “Stockholders’ Representative”). The Merger Agreement provides, among other things, that Merger Sub will merge with and into Gemini, with Gemini surviving as a wholly owned subsidiary of the Company (the “Merger”). See Note 7.</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of the Company have been prepared in accordance with United States generally accepted accounting principles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period from June 25, 2020 (inception) through September 30, 2020 are not necessarily indicative of the results that may be expected for the period ending December 31, 2020.</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financial statements and notes thereto included in the Form 8-K and the final prospectus filed by the Company with the SEC on August 20, 2020 and August 13, 2020, respectively.</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9" w:name="page240"/>
    <w:bookmarkEnd w:id="2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of September 30, 2020, the Company had $1.4 million in its operating bank account, working capital of approximately $1.1 million and cash equivalents held in the Trust Account of approximately $120.8 million. Interest income on the balance in the Trust Account may be used to pay the Company’s franchise and income tax obligations. Through September 30, 2020, the Company has not withdrawn any interest earned on the Trust Account to pay franchise and income tax obligations. Management intends to use substantially all of the funds held in the Trust Account to complete the initial Business Combination and to pay the Company’s expenses relating thereto. To the extent that the Company’s capital stock or debt is used, in whole or in part, as consideration to complete the initial Business Combination, the remaining proceeds held in the Trust Account will be used as working capital to finance the operations of the target business or businesses, make other acquisitions and pursue our growth strategies.</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Company’s liquidity needs to date have been satisfied through the $25,000 capital contribution to purchase Founder Shares (as defined below) by the Sponsor, the loan proceeds under the Note of $200,000 from the Sponsor (see Note 4) to the Company to cover offering costs in connection with the Initial Public Offering, and the net proceeds from the consummation of the Private Placement not held in the Trust Account. The Note was fully repaid on August 14, 2020. In addition, in order to finance transaction costs in connection with a Business Combination, the Sponsor or an affiliate of the Sponsor, or certain of the Company’s officers and directors may, but are not obligated to, provide the Company Working Capital Loans (see Note 4). As of September 30, 2020, there were no amounts outstanding under any Working Capital Loans.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the specific impact is not readily determinable as of the date of the balance sheet. The financial statements do not include any adjustments that might result from the outcome of this uncertainty.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0" w:name="page241"/>
    <w:bookmarkEnd w:id="2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4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approximately $120.8 million in cash equivalents held in the Trust Account as of September 30, 2020.</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Equivalents Held in Trust Account</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$120.8 million, was placed in the Trust Account and invested in money market funds that invest in U.S. government securities. All of the Company’s investments held in the Trust Account are classified as trading securities. Trading securities are presented on the balance sheet at fair value at the end of each reporting period.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September 30, 2020, the Company has not experienced losses on these accounts and management believes the Company is not exposed to significant risks on such accounts.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95" w:lineRule="exact"/>
        <w:rPr>
          <w:sz w:val="20"/>
          <w:szCs w:val="20"/>
          <w:color w:val="auto"/>
        </w:rPr>
      </w:pPr>
    </w:p>
    <w:p>
      <w:pPr>
        <w:ind w:left="1320" w:right="479" w:hanging="434"/>
        <w:spacing w:after="0" w:line="282" w:lineRule="auto"/>
        <w:tabs>
          <w:tab w:leader="none" w:pos="15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73"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1" w:name="page242"/>
    <w:bookmarkEnd w:id="2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1320" w:right="459" w:hanging="434"/>
        <w:spacing w:after="0" w:line="266" w:lineRule="auto"/>
        <w:tabs>
          <w:tab w:leader="none" w:pos="135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of September 30, 2020, the carrying values of cash, accounts payable and accrued expenses approximate their fair values due to the short-term nature of the instruments. As of September 30, 2020, the Company’s portfolio of investments held in the Trust Account is comprised entirely of investments in money market funds that invest in U.S. government securities. The Company uses NAV as a practical expedient to fair value for its investments in money market funds.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Offering costs consisted of legal, accounting, and other costs incurred that were directly related to the Initial Public Offering and that were charged to stockholders’ equity upon the completion of the Initial Public Offering.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Class A Common Stock Subject to Possible Redemption</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accounts for its Class A common stock subject to possible redemption in accordance with the guidance in ASC Topic 480 “Distinguishing Liabilities from Equity.” Class A common stock subject to mandatory redemption (if any) is classified as a liability instrument and measured at fair value. Conditionally redeemable Class A common stock (including Class A common stock that features redemption rights that are either within the control of the holder or subject to redemption upon the occurrence of uncertain events not solely within the Company’s control) is classified as temporary equity. At all other times, Class A common stock is classified as stockholders’ equity. The Company’s Class A common stock features certain redemption rights that are considered to be outside of the Company’s control and subject to the occurrence of uncertain future events. Accordingly, at September 30, 2020, 11,258,033 Class A common stock subject to possible redemption is presented as temporary equity, outside of the stockholders’ equity section of the Company’s unaudited condensed balance sheet.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September 30, 2020, the Company had a deferred tax asset of approximately $105,000, which had a full valuation allowance recorded against it of approximately $105,000. The deferred tax asset is comprised of $95,000 of organization and start-up costs and $10,000 of projected net operating loss for the current tax year.</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For tax benefits to be recognized, a tax position must be more likely than not to be sustained upon examination by taxing authorities. There were no unrecognized tax benefits as of September 30, 2020. The Company recognizes accrued interest and penalties related to unrecognized tax benefits as income tax expense. No amounts were accrued for the payment of interest and penalties as of September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2" w:name="page243"/>
    <w:bookmarkEnd w:id="2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Net income (loss) per share is computed by dividing net income (loss) by the weighted-average number of common stock outstanding during the periods. The Company’s unaudited condensed statements of operations include a presentation of income (loss) per share for common stock subject to redemption in a manner similar to the two-class method of income (loss) per share. Net income (loss) per common share, basic and diluted for Class A common stock is calculated by dividing the interest earned on cash equivalents held in the Trust Account of approximately $1,000 for the three months ended September 30, 2020 and for the period from June 25, 2020 (inception) through September 30, 2020, net of applicable taxes available to be withdrawn from the Trust Account of approximately $1,000 for the three months ended September 30, 2020 and for the period from June 25, 2020 (inception) through September 30, 2020, resulting in net income of $0 for the three months ended September 30, 2020 and for the period from June 25, 2020 (inception) through September 30, 2020, by the weighted average number of Class A common stock outstanding for each period. Net loss per share, basic and diluted for Class B common stock is calculated by dividing the net loss of approximately $499,000 and $501,000 for the three months ended September 30, 2020 and for the period from June 25, 2020 (inception) through September 30, 2020, respectively, less income attributable to Class A common stock of $0 for each period, by the weighted average number of Class B common stock outstanding for the period.</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 if currently adopted would have a material effect on the Company’s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August 14, 2020, the Company consummated its Initial Public Offering of 12,075,000 Public Shares, including the issuance of 1,575,000 Public Shares as a result of the underwriter’s exercise in full of its over-allotment option, at $10.00 per share, generating gross proceeds of approximately $120.8 million, and incurring offering costs of approximately $7.1 million, inclusive of approximately $4.2 million in deferred underwriting commissions.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 and Private Placement Shares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agreed to forfeit up to 393,750 Founder Shares to the extent that the over-allotment option is not exercised in full by the underwriter, so that the Founder Shares would represent 20.0% of the Company’s issued and outstanding shares of common stock after the Initial Public Offering (excluding the Private Placement Shares). On August 14, 2020, the underwriter exercised the over-allotment option; thus, these Founder Shares were no longer subject to forfeiture.</w:t>
      </w:r>
    </w:p>
    <w:p>
      <w:pPr>
        <w:spacing w:after="0" w:line="12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441,500 Private Placement Shares, at a price of $10.00 per Private Placement Share to the Sponsor, generating proceeds of approximately $4.4 million.</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Initial Stockholders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the initial Business Combination that results in all of the Company’s stockholders having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3" w:name="page244"/>
    <w:bookmarkEnd w:id="2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Related Party Transactions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June 30, 2020, the Sponsor agreed to loan the Company an aggregate of up to $200,000 to cover expenses related to the Initial Public Offering pursuant to a promissory note (the “Note”). This loan is non-interest bearing and payable upon the completion of the Initial Public Offering. The Company borrowed $200,000 under the Note, and fully repaid it on August 14, 2020.</w:t>
      </w:r>
    </w:p>
    <w:p>
      <w:pPr>
        <w:spacing w:after="0" w:line="8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in connection with initial Business Combination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 The Company incurred approximately $20,000 in administrative expenses under the agreement, which is recognized in the accompanying unaudited condensed statements of operations for both the three months ended September 30, 2020 and for the period from June 25, 2020 (inception) through September 30, 2020 within general and administrative expense.</w:t>
      </w:r>
    </w:p>
    <w:p>
      <w:pPr>
        <w:spacing w:after="0" w:line="97"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4" w:name="page245"/>
    <w:bookmarkEnd w:id="2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Proposed Business Combination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Sponsor entered into a subscription agreement to purchase 1,500,000 shares of Class A Common Stock at a purchase price of $10 per share in a private placement that would occur concurrently with the closing of the Merger (the “Closing”). In addition, the Initial Stockholders entered into the Parent Support Agreement in which they agreed to vote, at any meeting of the stockholders of the Company, and in any action by written consent of the stockholders of the Company, all of such holders’ Class A common stock and Class B common stock (i) 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Also, in connection with the Closing, the Sponsor and certain other stockholders will enter into a Voting Agreement with the Company and the Initial Stockholders and certain other stockholders will enter into a Registration Rights Agreement with the Company. See Note 7 for a discussion of certain agreements entered into, or to be entered into, in connection with the execution of the Merger Agreement.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62" w:lineRule="exact"/>
        <w:rPr>
          <w:sz w:val="20"/>
          <w:szCs w:val="20"/>
          <w:color w:val="auto"/>
        </w:rPr>
      </w:pPr>
    </w:p>
    <w:p>
      <w:pPr>
        <w:jc w:val="both"/>
        <w:ind w:left="460" w:right="479"/>
        <w:spacing w:after="0" w:line="277" w:lineRule="auto"/>
        <w:rPr>
          <w:sz w:val="20"/>
          <w:szCs w:val="20"/>
          <w:color w:val="auto"/>
        </w:rPr>
      </w:pPr>
      <w:r>
        <w:rPr>
          <w:rFonts w:ascii="Times New Roman" w:cs="Times New Roman" w:eastAsia="Times New Roman" w:hAnsi="Times New Roman"/>
          <w:sz w:val="17"/>
          <w:szCs w:val="17"/>
          <w:color w:val="auto"/>
        </w:rPr>
        <w:t>The underwriter was entitled to an underwriting discount of $0.20 per share, or approximately $2.4 million in the aggregate, paid upon the closing of the Initial Public Offering. In addition, $0.35 per share, or approximately $4.2 million in the aggregate will be payable to the underwriter for deferred underwriting commissions. The deferred fee will become payable to the underwriter from the amounts held in the Trust Account solely in the event that the Company completes a Business Combination, subject to the terms of the underwriting agreement.</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4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100,000,000 shares of Class A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As of September 30, 2020, there were 12,516,500 Class A common stock outstanding, including 11,258,033 Class A common stock subject to possible conversion were classified as temporary equity in the accompanying balance sheet.</w:t>
      </w:r>
    </w:p>
    <w:p>
      <w:pPr>
        <w:spacing w:after="0" w:line="10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10,000,000 shares of Class B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On June 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are subject to forfeiture by the Sponsor, to the Company by the Initial Stockholders for no consideration to the extent that the underwriters’ over-allotment option is not exercised in full or in part, so that the Initial Stockholders would collectively own 20% of the Company’s issued and outstanding common stock (excluding the Private Placement Shares) after the Initial Public Offering (excluding the Private Placement Shares). All shares and the associated amounts have been retroactively restated to reflect the aforementioned stock split. On August 14, 2020, the underwriter exercised the over-allotment option; thus, these Founder Shares were no longer subject to forfeiture.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5" w:name="page246"/>
    <w:bookmarkEnd w:id="2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6 — Stockholders’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1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par value $0.0001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share, with such designations, voting and other rights and preferences as may be determined from time to time by the Company’s board of directors. As of September 30, 2020, there were no shares of preferred stock issued or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Subsequent Events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October 15, 2020, the Company entered into an agreement and plan of merger (the “Merger Agreement”) by and among the Company, FSG Merger Sub Inc., a Delaware corporation (“Merger Sub”), Gemini Therapeutics, Inc., a Delaware corporation (“Gemini”) and Shareholder Representative Services LLC, a Colorado limited liability company, in its capacity as the representative, agent and attorney-in-fact of the securityholders of Gemini (in such capacity, the “Stockholders’ Representative”). The Merger Agreement provides, among other things, that Merger Sub will merge with and into Gemini, with Gemini surviving as a wholly owned subsidiary of the Company (the “Merger”).</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Under the Merger Agreement, subject to customary representations, warranties and covenants, the Company has agreed to acquire all of the outstanding equity interests of Gemini in exchange for up to 21,500,000 shares of Company Class A common stock, subject to adjustments, to be paid at the effective time of the Merger. The aggregate number of shares of Class A Common Stock to be issued in connection with the Merger (including the shares being placed in escrow as described below) will be equal to the difference between (a) 21,500,000 shares of FS Development Class A Common Stock; minus (b) a number of shares of FS Development Class A Common Stock equal to one half (1/2) of the initial unallocated shares of the Company’s Class A Stock reserved for issuance under the new equity incentive plan to be adopted by the Company pursuant to the Merger Agreement (which shall not exceed two and one-half percent (2.5%) of the issued and outstanding shares of the Company’s Class A Common Stock as of immediately following the effective time of the Merger as set forth in the capitalization schedule delivered prior to Closing pursuant to the Merger Agreement (and approved by the Company, such approval not to be unreasonably withheld, conditioned or delayed)). At or prior to the effective time of the Merger, each option exercisable for Gemini equity that is outstanding immediately prior to the effective time of the Merger shall be assumed by the Company and continue in full force and effect on the same terms and conditions as are currently applicable to such options, subject to adjustments to exercise price and number of shares of Company Class A common stock issued upon exercise. In addition, the Merger Agreement contemplates that at Closing, the Company will deliver 2,150,000 of its shares of Class A common stock to be placed into escrow for indemnification purposes, as further described in the Merger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6" w:name="page247"/>
    <w:bookmarkEnd w:id="2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Under the Merger Agreement, the obligations of the parties to consummate the Merger are subject to the satisfaction or waiver of certain customary closing conditions of the respective parties, including, without limitation: (i) the approval and adoption of the Merger Agreement and transactions contemplated thereby by requisite vote of the Company’s stockholders (the “Company Stockholder Approval”) and the Gemini’s stockholders (the “Gemini Stockholder Approval”); (ii) the receipt of consents or approvals from the applicable governmental, regulatory or administrative authorities; (iii) the aggregate cash proceeds from Company’s trust account, together with the proceeds from the Subscriptions (as defined below), equaling no less than $170,000,000 (after deducting any amounts paid to Company stockholders that exercise their redemption rights in connection with the Merger and net of the Company’s unpaid liabilities), (iv) the absence of a Material Adverse Effect (as defined in the Merger Agreement) since the date of the Merger Agreement that is continuing;</w:t>
      </w:r>
    </w:p>
    <w:p>
      <w:pPr>
        <w:spacing w:after="0" w:line="4" w:lineRule="exact"/>
        <w:rPr>
          <w:sz w:val="20"/>
          <w:szCs w:val="20"/>
          <w:color w:val="auto"/>
        </w:rPr>
      </w:pPr>
    </w:p>
    <w:p>
      <w:pPr>
        <w:jc w:val="both"/>
        <w:ind w:left="460" w:right="459" w:hanging="6"/>
        <w:spacing w:after="0" w:line="250" w:lineRule="auto"/>
        <w:tabs>
          <w:tab w:leader="none" w:pos="737"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redeemed the Class A of common stock of the Company in an amount that would cause the Company to have net tangible assets of less than $5,000,001 upon consummation of the Merger; and</w:t>
      </w:r>
    </w:p>
    <w:p>
      <w:pPr>
        <w:jc w:val="both"/>
        <w:ind w:left="460" w:right="479" w:hanging="6"/>
        <w:spacing w:after="0" w:line="252" w:lineRule="auto"/>
        <w:tabs>
          <w:tab w:leader="none" w:pos="76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initial listing application with Nasdaq in connection with the Merger has been conditionally approved and, immediately following the effective time of the Merger, the Company has satisfied any applicable initial and continuing listing requirements of Nasdaq, and the Company has not received any notice of non-compliance therewith, and the shares of the Company’s Class A common stock has been approved for listing on Nasdaq. The Company and Gemini have agreed to waive the condition that the By-Laws of the combined entity be approved by the stockholders of the Company.</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may be terminated under certain customary and limited circumstances at any time prior to the Closing, including, without limitation, (i) by the Company or Gemini, if (A) the Closing has not occurred by April 15, 2021, which date shall be automatically extended to May 15, 2021 if the U.S. Securities and Exchange Commission (the “SEC”) has not declared the proxy statement/prospectus effective on or prior to January 15, 2021 and (B) the party (the Company or Merger Sub, on one hand, or Gemini, on the other hand) seeking to terminate the Merger Agreement is not in material breach of the Merger Agreement; (ii) by the Company or Gemini, in the event an applicable governmental, regulatory or administrative authority has issued a final and non-appealable order having the effect of permanently restraining, enjoining or otherwise prohibiting the Merger; (iii) by the Company or Gemini, in the event any applicable law is in effect making the consummation of the Merger illegal; or (iv) by the Company or Gemini, if the Company or Gemini, as applicable, has breached any of its respective representations, warranties, agreements or its respective covenants contained in the Merger Agreement, such failure or breach would render certain conditions precedents to the Closing incapable of being satisfied, and such breach or failure is not cured by the time allotted.</w:t>
      </w:r>
    </w:p>
    <w:p>
      <w:pPr>
        <w:spacing w:after="0" w:line="10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Merger Agreement contemplates the execution of various additional agreements and instruments, on or before the Closing, including, among others, the following:</w:t>
      </w:r>
    </w:p>
    <w:p>
      <w:pPr>
        <w:spacing w:after="0" w:line="9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Parent Support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execution of the Merger Agreement,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the Company (the “Parent Supporting Stockholders”) entered into support agreements with the Company and Gemini (the “Parent Support Agreements”). Under the Parent Support Agreements, each Parent Supporting Stockholder agreed to vote, at any meeting of the stockholders of the Company, and in any action by written consent of the stockholders of the Company, all of such Parent Supporting Stockholder’s Class A common stock and Class B common stock (i) 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In addition, the Parent Support Agreements prohibit the Parent Supporting Stockholders from, among other things, selling, assigning or transferring any Class A Common Stock or Class B Common Stock held by the Parent Supporting Stockholders or taking any action that would prevent or disable the Parent Support Stockholders from performing its obligations thereunder.</w:t>
      </w:r>
    </w:p>
    <w:p>
      <w:pPr>
        <w:spacing w:after="0" w:line="120"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Gemini Support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execution of the Merger Agreement, certain Gemini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(the “Gemini Supporting Stockholders”) entered into support agreements with the Company (the “Gemini Support Agreements”). Under the Gemini Support Agreements, each Gemini Supporting Stockholder agreed, as promptly as reasonably practicable (and in any event within two (2) business days) following the SEC declaring effective the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7" w:name="page248"/>
    <w:bookmarkEnd w:id="2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proxy statement/prospectus relating to the approval by the Company stockholders of the Merger, to execute and deliver a written consent with respect to the outstanding shares of Gemini common stock, Series A preferred stock and Series B preferred stock held by such Gemini Supporting Stockholder (the “Subject Gemini Shares”) approving the Merger Agreement and the transactions contemplated thereby. In addition to the foregoing, each Gemini Supporting Stockholder agreed that at any meeting of the holders of Gemini capital stock, each such Gemini Supporting Stockholder will appear at the meeting, in person or by proxy, and cause its Subject Gemini Shares to be voted (i) to approve and adopt the Merger Agreement and the transactions contemplated thereby, including the Merger (ii) against any Alternative Transaction (as defined in the Merger Agreement); and</w:t>
      </w:r>
    </w:p>
    <w:p>
      <w:pPr>
        <w:spacing w:after="0" w:line="1" w:lineRule="exact"/>
        <w:rPr>
          <w:sz w:val="20"/>
          <w:szCs w:val="20"/>
          <w:color w:val="auto"/>
        </w:rPr>
      </w:pPr>
    </w:p>
    <w:p>
      <w:pPr>
        <w:jc w:val="both"/>
        <w:ind w:left="460" w:right="459" w:hanging="6"/>
        <w:spacing w:after="0" w:line="251" w:lineRule="auto"/>
        <w:tabs>
          <w:tab w:leader="none" w:pos="80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or agreement that would impede or frustrate the provisions of the Gemini Support Agreements, the Merger Agreement or the transactions contemplated thereby. Pursuant to the Gemini Support Agreements, certain stockholder agreements of Gemini shall be automatically terminated and of no further force and effect (other than certain indemnity provisions that, by their terms, survive such termination), effective as of, and subject to and condition upon the occurrence of, the Closing. In addition, the Gemini Support Agreements prohibits the Gemini Supporting Stockholders from, among other things, (i) transferring any of the Subject Gemini Shares; (ii) entering into (a) any option, warrant, purchase right, or other contact that would require the Gemini Support Stockholders to transfer the Subject Gemini Shares, or (b) any voting trust, proxy or other contract with respect to the voting or transfer of the Subject Gemini Shares; or (iii) or taking any action in furtherance of the forgoing.</w:t>
      </w:r>
    </w:p>
    <w:p>
      <w:pPr>
        <w:spacing w:after="0" w:line="12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Subscription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Merger, the Company entered into subscription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certain investors, including the Sponsor (the “Subscription Agreements”), pursuant to which, among other things, such investors have agreed to purchase an aggregate of 9,506,000 shares of Class A common stock of the Company (together, the “Subscriptions”) for a purchase price of $10.00 per share, for aggregate gross proceeds of $95,060,000, to be issued at the Closing. The obligations of each party to consummate the Subscriptions are conditioned upon, among other things, customary closing conditions and the consummation of the transactions contemplated by the Merger Agreement.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public stockholders of the Company entered into non-redemption letter agreements with the Company, pursuant to which, among other things, such stockholders owning shares of Class A Common Stock agreed not to elect to redeem or tender or submit for redemption 2,742,529 shares of Class A Common Stock held in the aggregate by such stockholders.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Closing, the holders of the Founder Shares, Private Placement Shares and certain other stockholders will enter into a registration rights agreement with the Company and Gemini, pursuant to which such stockholders can each demand that the combined entity register their registrable securities under certain circumstances and will each also have piggyback registration rights for these securities. In addition, following the consummation of the business combination,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As part of the Registration Rights Agreement, holders of the registrable securities agree to a one hundred eighty (180) day lock-up period with respect to such registrable securities.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Agreement</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connection with the Closing, the Sponsor, FS Development, certain stockholders of the Company and certain stockholders of Gemini will enter into a voting agreement, pursuant to which: (a) Gemini will have the right to designate four (4) directors to the board of directors of the combined entity and (b) the Sponsor will have the right to designate one (1) individual for election as a member of the board of directors of the combined entity until the fifth (5th) anniversary of the date of the voting agreement, subject to certain terms and holding requirements set forth therein.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8" w:name="page249"/>
    <w:bookmarkEnd w:id="2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Subsequent Events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connection with the Closing, certain stockholders of Gemini will enter into a lockup agreement, pursuant to which the stockholder parties thereto will agree to not (i) sell, hypothecate, pledge, grant any option to purchase or establish or increase a put equivalent position or liquidate or decrease a call equivalent position or (ii) enter into any swap or other arrangement that transfers any of the economic consequences of ownership, in each case, of the combined entity’s common stock for a period of one hundred eighty (180) days after the Closing.</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above description of the Proposed Business Combination should be read in conjunction with the disclosures contained in the Form S-4 filed by the Company with the SEC on November 2, 2020.</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November 10, 2020, the date the financial statements were available for issuance, require potential adjustment to or disclosure in the financial statements and has concluded that all such events that would require recognition or disclosure have been recognized or disclosed.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9" w:name="page250"/>
    <w:bookmarkEnd w:id="2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 and the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 of FS Development Corp. (the “Company”) as of June 30, 2020, the related statements of operations, changes in stockholder’s equity and cash flows for the period from June 25, 2020 (inception) through June 30, 2020, and the related notes (collectively referred to as the “financial statements”). In our opinion, the financial statements present fairly, in all material respects, the financial position of the Company as of June 30, 2020, and the results of its operations and its cash flows for the period from June 25, 2020 (inception) through June 30, 2020,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August 11, 2020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0" w:name="page251"/>
    <w:bookmarkEnd w:id="250"/>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June 30, 2020</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75"/>
        </w:trPr>
        <w:tc>
          <w:tcPr>
            <w:tcW w:w="6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 Cash</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25,000</w:t>
            </w: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associated with proposed public offering</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53,000</w:t>
            </w:r>
          </w:p>
        </w:tc>
      </w:tr>
      <w:tr>
        <w:trPr>
          <w:trHeight w:val="284"/>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78,000</w:t>
            </w:r>
          </w:p>
        </w:tc>
        <w:tc>
          <w:tcPr>
            <w:tcW w:w="140" w:type="dxa"/>
            <w:vAlign w:val="bottom"/>
            <w:tcBorders>
              <w:bottom w:val="single" w:sz="8" w:color="CCEEFF"/>
            </w:tcBorders>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54,500</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100,000,000 shares authorized; none issued and</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3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10,000,000 shares authorized; 3,018,750 shares</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5"/>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w:t>
            </w:r>
            <w:r>
              <w:rPr>
                <w:rFonts w:ascii="Times New Roman" w:cs="Times New Roman" w:eastAsia="Times New Roman" w:hAnsi="Times New Roman"/>
                <w:sz w:val="20"/>
                <w:szCs w:val="20"/>
                <w:color w:val="auto"/>
                <w:vertAlign w:val="superscript"/>
              </w:rPr>
              <w:t>(1)(2)</w:t>
            </w:r>
          </w:p>
        </w:tc>
        <w:tc>
          <w:tcPr>
            <w:tcW w:w="3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24,698</w:t>
            </w: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78,000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899"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includes up to 393,750 shares of Class B common stock subject to forfeiture by our sponsor if the over-allotment option is not exercised in full or in part by the underwriters.</w:t>
      </w:r>
    </w:p>
    <w:p>
      <w:pPr>
        <w:ind w:left="880" w:right="479" w:hanging="426"/>
        <w:spacing w:after="0" w:line="288" w:lineRule="auto"/>
        <w:tabs>
          <w:tab w:leader="none" w:pos="105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the associated amounts have been retroactively restated to reflect a 1:1.05 stock split of each outstanding share of Class B common stock in August 2020 (see Note 4).</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1" w:name="page252"/>
    <w:bookmarkEnd w:id="251"/>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STATEMENT OF OPERATIONS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For the period from June 25, 2020 (inception) through June 30, 2020</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basic and diluted</w:t>
            </w:r>
            <w:r>
              <w:rPr>
                <w:rFonts w:ascii="Times New Roman" w:cs="Times New Roman" w:eastAsia="Times New Roman" w:hAnsi="Times New Roman"/>
                <w:sz w:val="20"/>
                <w:szCs w:val="20"/>
                <w:b w:val="1"/>
                <w:bCs w:val="1"/>
                <w:color w:val="auto"/>
                <w:vertAlign w:val="superscript"/>
              </w:rPr>
              <w:t>(1)(2)</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2,625,000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6860" w:type="dxa"/>
            <w:vAlign w:val="bottom"/>
            <w:vMerge w:val="continue"/>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958"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excludes an aggregate of up to 393,750 shares of Class B common stock subject to forfeiture by our sponsor if the over-allotment option is not exercised in full or in part by the underwriters.</w:t>
      </w:r>
    </w:p>
    <w:p>
      <w:pPr>
        <w:ind w:left="880" w:right="479" w:hanging="426"/>
        <w:spacing w:after="0" w:line="288" w:lineRule="auto"/>
        <w:tabs>
          <w:tab w:leader="none" w:pos="105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the associated amounts have been retroactively restated to reflect a 1:1.05 stock split of each outstanding share of Class B common stock in August 2020 (see Note 4).</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2" w:name="page253"/>
    <w:bookmarkEnd w:id="2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STATEMENT OF CHANGES IN STOCKHOLDER’S EQUITY</w:t>
      </w:r>
    </w:p>
    <w:p>
      <w:pPr>
        <w:spacing w:after="0" w:line="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For the period from June 25, 2020 (inception) through June 30, 2020</w:t>
      </w:r>
    </w:p>
    <w:p>
      <w:pPr>
        <w:spacing w:after="0" w:line="209" w:lineRule="exact"/>
        <w:rPr>
          <w:sz w:val="20"/>
          <w:szCs w:val="20"/>
          <w:color w:val="auto"/>
        </w:rPr>
      </w:pPr>
    </w:p>
    <w:tbl>
      <w:tblPr>
        <w:tblLayout w:type="fixed"/>
        <w:tblInd w:w="2520" w:type="dxa"/>
        <w:tblCellMar>
          <w:top w:w="0" w:type="dxa"/>
          <w:left w:w="0" w:type="dxa"/>
          <w:bottom w:w="0" w:type="dxa"/>
          <w:right w:w="0" w:type="dxa"/>
        </w:tblCellMar>
      </w:tblPr>
      <w:tr>
        <w:trPr>
          <w:trHeight w:val="212"/>
        </w:trPr>
        <w:tc>
          <w:tcPr>
            <w:tcW w:w="3040" w:type="dxa"/>
            <w:vAlign w:val="bottom"/>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90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50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9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54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90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98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47"/>
        </w:trPr>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9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Shares   Amount</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   Amount   Capital</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29" w:lineRule="auto"/>
        <w:rPr>
          <w:sz w:val="20"/>
          <w:szCs w:val="20"/>
          <w:color w:val="auto"/>
        </w:rPr>
      </w:pPr>
      <w:r>
        <w:rPr>
          <w:rFonts w:ascii="Times New Roman" w:cs="Times New Roman" w:eastAsia="Times New Roman" w:hAnsi="Times New Roman"/>
          <w:sz w:val="14"/>
          <w:szCs w:val="14"/>
          <w:b w:val="1"/>
          <w:bCs w:val="1"/>
          <w:color w:val="auto"/>
        </w:rPr>
        <w:t>Stockholder’s</w:t>
      </w:r>
    </w:p>
    <w:p>
      <w:pPr>
        <w:ind w:left="220"/>
        <w:spacing w:after="0"/>
        <w:rPr>
          <w:sz w:val="20"/>
          <w:szCs w:val="20"/>
          <w:color w:val="auto"/>
        </w:rPr>
      </w:pPr>
      <w:r>
        <w:rPr>
          <w:rFonts w:ascii="Times New Roman" w:cs="Times New Roman" w:eastAsia="Times New Roman" w:hAnsi="Times New Roman"/>
          <w:sz w:val="14"/>
          <w:szCs w:val="14"/>
          <w:b w:val="1"/>
          <w:bCs w:val="1"/>
          <w:color w:val="auto"/>
        </w:rPr>
        <w:t>Equity</w:t>
      </w:r>
    </w:p>
    <w:p>
      <w:pPr>
        <w:spacing w:after="0" w:line="15" w:lineRule="exact"/>
        <w:rPr>
          <w:sz w:val="20"/>
          <w:szCs w:val="20"/>
          <w:color w:val="auto"/>
        </w:rPr>
      </w:pPr>
    </w:p>
    <w:p>
      <w:pPr>
        <w:sectPr>
          <w:pgSz w:w="11900" w:h="16838" w:orient="portrait"/>
          <w:cols w:equalWidth="0" w:num="2">
            <w:col w:w="7440" w:space="180"/>
            <w:col w:w="1399"/>
          </w:cols>
          <w:pgMar w:left="1440" w:top="270" w:right="1440" w:bottom="1440" w:gutter="0" w:footer="0" w:header="0"/>
        </w:sectPr>
      </w:pPr>
    </w:p>
    <w:tbl>
      <w:tblPr>
        <w:tblLayout w:type="fixed"/>
        <w:tblInd w:w="460" w:type="dxa"/>
        <w:tblCellMar>
          <w:top w:w="0" w:type="dxa"/>
          <w:left w:w="0" w:type="dxa"/>
          <w:bottom w:w="0" w:type="dxa"/>
          <w:right w:w="0" w:type="dxa"/>
        </w:tblCellMar>
      </w:tblPr>
      <w:tr>
        <w:trPr>
          <w:trHeight w:val="194"/>
        </w:trPr>
        <w:tc>
          <w:tcPr>
            <w:tcW w:w="20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June 25, 2020</w:t>
            </w: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104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2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B</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to</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Sponsor </w:t>
            </w:r>
            <w:r>
              <w:rPr>
                <w:rFonts w:ascii="Times New Roman" w:cs="Times New Roman" w:eastAsia="Times New Roman" w:hAnsi="Times New Roman"/>
                <w:sz w:val="20"/>
                <w:szCs w:val="20"/>
                <w:color w:val="auto"/>
                <w:vertAlign w:val="superscript"/>
              </w:rPr>
              <w:t>(1)(2)</w:t>
            </w: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3,018,750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24,698</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 June 30, 2020</w:t>
            </w: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vMerge w:val="continue"/>
          </w:tcPr>
          <w:p>
            <w:pPr>
              <w:spacing w:after="0"/>
              <w:rPr>
                <w:sz w:val="21"/>
                <w:szCs w:val="21"/>
                <w:color w:val="auto"/>
              </w:rPr>
            </w:pP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3,018,750</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302</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24,698</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899"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includes up to 393,750 shares of Class B common stock subject to forfeiture by our sponsor if the over-allotment option is not exercised in full or in part by the underwriters.</w:t>
      </w:r>
    </w:p>
    <w:p>
      <w:pPr>
        <w:ind w:left="880" w:right="479" w:hanging="426"/>
        <w:spacing w:after="0" w:line="288" w:lineRule="auto"/>
        <w:tabs>
          <w:tab w:leader="none" w:pos="105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the associated amounts have been retroactively restated to reflect a 1:1.05 stock split of each outstanding share of Class B common stock in August 2020 (see Note 4).</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3" w:name="page254"/>
    <w:bookmarkEnd w:id="253"/>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STATEMENT OF CASH FLOWS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For the period from June 25, 2020 (inception) through June 30, 2020</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1797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Proceeds from issuance of Class B common stock to Sponsor</w:t>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increase in cash</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5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6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9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608" w:hanging="608"/>
        <w:spacing w:after="0"/>
        <w:tabs>
          <w:tab w:leader="none" w:pos="608"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0294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77" w:lineRule="exact"/>
        <w:rPr>
          <w:sz w:val="20"/>
          <w:szCs w:val="20"/>
          <w:color w:val="auto"/>
        </w:rPr>
      </w:pPr>
    </w:p>
    <w:p>
      <w:pPr>
        <w:sectPr>
          <w:pgSz w:w="11900" w:h="16838" w:orient="portrait"/>
          <w:cols w:equalWidth="0" w:num="2">
            <w:col w:w="6592" w:space="720"/>
            <w:col w:w="1707"/>
          </w:cols>
          <w:pgMar w:left="1440" w:top="270" w:right="1440" w:bottom="1440" w:gutter="0" w:footer="0" w:header="0"/>
          <w:type w:val="continuous"/>
        </w:sectPr>
      </w:pPr>
    </w:p>
    <w:p>
      <w:pPr>
        <w:ind w:left="640"/>
        <w:spacing w:after="0"/>
        <w:tabs>
          <w:tab w:leader="none" w:pos="7300" w:val="left"/>
          <w:tab w:leader="none" w:pos="7900" w:val="left"/>
        </w:tabs>
        <w:rPr>
          <w:sz w:val="20"/>
          <w:szCs w:val="20"/>
          <w:color w:val="auto"/>
        </w:rPr>
      </w:pPr>
      <w:r>
        <w:rPr>
          <w:rFonts w:ascii="Times New Roman" w:cs="Times New Roman" w:eastAsia="Times New Roman" w:hAnsi="Times New Roman"/>
          <w:sz w:val="18"/>
          <w:szCs w:val="18"/>
          <w:color w:val="auto"/>
        </w:rPr>
        <w:t>Deferred offering costs included in accrued expenses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53,000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4" w:name="page255"/>
    <w:bookmarkEnd w:id="25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Business Operations and Basis of Presentation</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of June 30, 2020, the Company had not commenced any operations. All activity for the period from June 25, 2020 (inception) through June 30, 2020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Company’s sponsor is FS Development Holdings, LLC, a Delaware limited liability company (the “Sponsor”). The Company’s ability to commence operations is contingent upon obtaining adequate financial resources through a proposed public offering (the “Proposed Public Offering”) of 10,500,000 shares of Class A common stock (each, a “Public Share” and collectively, the “Public Shares”) at $10.00 per share (or 12,075,000 shares if the underwriters’ over-allotment option is exercised in full), which is discussed in Note 3, and the sale of 410,000 shares of Class A common stock (or 441,500 shares if the underwriters’ over-allotment option is exercised in full) (each, a “Private Placement Share” and collectively, the “Private Placement Shares”), at a price of $10.00 per Private Placement Share in a private placement to the Sponsor that will close simultaneously with the Proposed Public Offering.</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Proposed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1940, as amended (the “Investment Company Act”). Upon the closing of the Proposed Public Offering, management has agreed that an amount equal to at least $10.00 per share sold in the Proposed Public Offering, including the proceeds from the sale of the Private Placement Shares to the Sponsor, will be held in a trust account (“Trust Account”) located in the United States at JP Morgan Chase Bank, N.A. with Continental Stock Transfer &amp; Trust Company acting as trustee, and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2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w:t>
      </w:r>
    </w:p>
    <w:p>
      <w:pPr>
        <w:spacing w:after="0" w:line="1" w:lineRule="exact"/>
        <w:rPr>
          <w:sz w:val="20"/>
          <w:szCs w:val="20"/>
          <w:color w:val="auto"/>
        </w:rPr>
      </w:pPr>
    </w:p>
    <w:p>
      <w:pPr>
        <w:jc w:val="both"/>
        <w:ind w:left="460" w:right="459" w:hanging="6"/>
        <w:spacing w:after="0" w:line="251" w:lineRule="auto"/>
        <w:tabs>
          <w:tab w:leader="none" w:pos="743"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Proposed Public Offering in accordance with the Financial Accounting Standards Board’s (“FASB”)</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5" w:name="page256"/>
    <w:bookmarkEnd w:id="2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Proposed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2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in or after the Proposed Public Offering, they will be entitled to liquidating distributions from the Trust Account with respect to such Public Shares if the Company fails to complete a Business Combination within the Combination Period. The underwriters have agreed 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6" w:name="page257"/>
    <w:bookmarkEnd w:id="25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95"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issuance of these financial statements.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7" w:name="page258"/>
    <w:bookmarkEnd w:id="2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limit of $250,000. At June 30, 2020, the Company has not experienced losses on these accounts and management believes the Company is not exposed to significant risks on such accounts.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FASB ASC 820, “Fair Value Measurements and Disclosures,” approximates the carrying amounts represented in the balance sheet.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 Associated with the Proposed Public Offering</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per share is computed by dividing net loss by the weighted average number of shares of common stock outstanding during the period, excluding common stock subject to forfeiture. Weighted average shares at June 30, 2020 were reduced for the effect of an aggregate of 393,750 shares of Class B common stock that are subject to forfeiture by our sponsor if the over-allotment option is not exercised in full or in part by the underwriters (see Note 6). At June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Deferred tax assets were deemed immaterial as of June 30, 2020.</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June 30, 2020. The Company recognizes accrued interest and penalties related to unrecognized tax benefits as income tax expense. No amounts were accrued for the payment of interest and penalties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8" w:name="page259"/>
    <w:bookmarkEnd w:id="2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as of June 30, 2020. The Company is currently not aware of any issues under review that could result in significant payments, accruals or material deviation from its position. The Company is subject to income tax examinations by major taxing authorities since inception. The provision for income taxes was deemed to be de minimis for the period from June 25, 2020 (inception) through June 30, 2020.</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recently issued, but not yet effective, accounting standards if currently adopted would have a material effect on the accompanying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Proposed Public Offering</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the Proposed Public Offering, the Company intends to offer for sale 10,500,000 shares of Class A Common stock at a price of $10.00 per share.</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will grant the underwriters a 45-day option from the date of the final prospectus relating to the Proposed Public Offering to purchase up to 1,575,000 additional shares to cover over-allotments, if any, at the Proposed Public Offering price, less underwriting discounts and commissions.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has agreed to forfeit up to 393,750 Founder Shares to the extent that the over-allotment option is not exercised in full by the underwriters. The forfeiture will be adjusted to the extent that the over-allotment option is not exercised in full by the underwriters so that the Founder Shares will represent 20.0% of the Company’s issued and outstanding shares of common stock after the Proposed Public Offering (excluding the Private Placement Shares).</w:t>
      </w:r>
    </w:p>
    <w:p>
      <w:pPr>
        <w:spacing w:after="0" w:line="10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Sponsor has agreed to purchase an aggregate of 410,000 Private Placement Shares (or 441,500 Private Placement Shares if the underwriters’ over-allotment option is exercised in full), at a price of $10.00 per Private Placement Share ($4,100,000 in the aggregate, or $4,415,000 if the underwriters’ over-allotment option is exercised in full) in a private placement that will occur simultaneously with the closing of the Proposed Public Offering.</w:t>
      </w:r>
    </w:p>
    <w:p>
      <w:pPr>
        <w:spacing w:after="0" w:line="11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Initial Stockholders has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our initial Business Combination that results in all of the Company’s stockholders having 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9" w:name="page260"/>
    <w:bookmarkEnd w:id="2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June 30, 2020, the Sponsor agreed to loan the Company an aggregate of up to $200,000 to cover expenses related to the Proposed Public Offering pursuant to a promissory note (the “Note”). This loan is non-interest bearing and payable on the earlier of December 31, 2020 or the completion of the Proposed Public Offering. As of June 30, 2020, the Company has not borrowed any amount under the Note. Subsequent to June 30, 2020, the Company received $200,000 in loan proceeds under the Note.</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in connection with initial Business Combination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w:t>
      </w:r>
    </w:p>
    <w:p>
      <w:pPr>
        <w:spacing w:after="0" w:line="11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0" w:name="page261"/>
    <w:bookmarkEnd w:id="2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underwriters are entitled to an underwriting discount of $0.20 per share, or $2,100,000 in the aggregate (or $2,415,000 in the aggregate if the underwriters’ over-allotment option is exercised in full), payable upon the closing of the Proposed Public Offering. $0.35 per share, or $3,675,000 in the aggregate (or $4,226,250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44"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100,000,000 shares of Class A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As of June 30, 2020, there were no shares of Class A common stock issued or outstanding.</w:t>
      </w:r>
    </w:p>
    <w:p>
      <w:pPr>
        <w:spacing w:after="0" w:line="10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10,000,000 shares of Class B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On June 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are subject to forfeiture by the Sponsor, to the Company by the Initial Stockholders for no consideration to the extent that the underwriters’ over-allotment option is not exercised in full or in part, so that the Initial Stockholders will collectively own 20% of the Company’s issued and outstanding common stock (excluding the Private Placement Shares) after the Proposed Public Offering (excluding the Private Placement Shares). All shares and the associated amounts have been retroactively restated to reflect the aforementioned stock split.</w:t>
      </w:r>
    </w:p>
    <w:p>
      <w:pPr>
        <w:spacing w:after="0" w:line="12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9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1" w:name="page262"/>
    <w:bookmarkEnd w:id="2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6 — Stockholder’s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17"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par value $0.0001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share, with such designations, voting and other rights and preferences as may be determined from time to time by the Company’s board of directors. As of June 30, 2020, there were no shares of preferred stock issued or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Subsequent Events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Subsequent to June 30, 2020, the Company received $200,000 in loan proceeds under the Note.</w:t>
      </w:r>
    </w:p>
    <w:p>
      <w:pPr>
        <w:spacing w:after="0" w:line="15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July 24, 2020, the Sponsor transferred 30,000 Founder Shares to each of its independent director nominees at their original per-share purchase price, for an aggregate of 90,000 Founder Shares transferred.</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through the date that the financial statements were available to be issued. Based on this review, except as noted above, the Company did not identify any subsequent events that would have required adjustment or disclosure in the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2" w:name="page263"/>
    <w:bookmarkEnd w:id="2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right="1439" w:firstLine="969"/>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Gemini Therapeutics, Inc.</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Gemini Therapeutics, Inc. (the Company) as of December 31, 2019 and 2018, the related statements of operations and comprehensive loss,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suffered recurring losses from operations, has limited financial resources,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11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October 30, 2020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3" w:name="page264"/>
    <w:bookmarkEnd w:id="2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4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6"/>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18,528</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2,986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2,239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20,555</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5,225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21,608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6,144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16,253</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Equity</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2,330</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3,797</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2,689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8,986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18,033</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net of current portion and discount</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7,411</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16,576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1">
            <w:col w:w="9019"/>
          </w:cols>
          <w:pgMar w:left="1440" w:top="270" w:right="1440" w:bottom="353" w:gutter="0" w:footer="0" w:header="0"/>
        </w:sectPr>
      </w:pPr>
    </w:p>
    <w:p>
      <w:pPr>
        <w:ind w:left="460"/>
        <w:spacing w:after="0"/>
        <w:rPr>
          <w:sz w:val="20"/>
          <w:szCs w:val="20"/>
          <w:color w:val="auto"/>
        </w:rPr>
      </w:pPr>
      <w:r>
        <w:rPr>
          <w:rFonts w:ascii="Times New Roman" w:cs="Times New Roman" w:eastAsia="Times New Roman" w:hAnsi="Times New Roman"/>
          <w:sz w:val="16"/>
          <w:szCs w:val="16"/>
          <w:color w:val="auto"/>
        </w:rPr>
        <w:t>Convertible Preferred Stock:</w:t>
      </w:r>
    </w:p>
    <w:p>
      <w:pPr>
        <w:spacing w:after="0" w:line="59" w:lineRule="exact"/>
        <w:rPr>
          <w:sz w:val="20"/>
          <w:szCs w:val="20"/>
          <w:color w:val="auto"/>
        </w:rPr>
      </w:pPr>
    </w:p>
    <w:p>
      <w:pPr>
        <w:ind w:left="640" w:hanging="179"/>
        <w:spacing w:after="0" w:line="275" w:lineRule="auto"/>
        <w:rPr>
          <w:sz w:val="20"/>
          <w:szCs w:val="20"/>
          <w:color w:val="auto"/>
        </w:rPr>
      </w:pPr>
      <w:r>
        <w:rPr>
          <w:rFonts w:ascii="Times New Roman" w:cs="Times New Roman" w:eastAsia="Times New Roman" w:hAnsi="Times New Roman"/>
          <w:sz w:val="16"/>
          <w:szCs w:val="16"/>
          <w:color w:val="auto"/>
        </w:rPr>
        <w:t>Series A convertible preferred stock, $0.001 par value; 39,722,088 shares authorized at December 31, 2018 and 2019, and at September 30, 2020 (unaudited); 39,722,088 shares issued and outstanding at December 31, 2018 and 2019, and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-525780</wp:posOffset>
            </wp:positionV>
            <wp:extent cx="5143500" cy="5397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00" cy="539750"/>
                    </a:xfrm>
                    <a:prstGeom prst="rect">
                      <a:avLst/>
                    </a:prstGeom>
                    <a:noFill/>
                  </pic:spPr>
                </pic:pic>
              </a:graphicData>
            </a:graphic>
          </wp:anchor>
        </w:drawing>
      </w:r>
    </w:p>
    <w:p>
      <w:pPr>
        <w:ind w:left="640" w:right="40" w:hanging="179"/>
        <w:spacing w:after="0" w:line="272" w:lineRule="auto"/>
        <w:rPr>
          <w:sz w:val="20"/>
          <w:szCs w:val="20"/>
          <w:color w:val="auto"/>
        </w:rPr>
      </w:pPr>
      <w:r>
        <w:rPr>
          <w:rFonts w:ascii="Times New Roman" w:cs="Times New Roman" w:eastAsia="Times New Roman" w:hAnsi="Times New Roman"/>
          <w:sz w:val="16"/>
          <w:szCs w:val="16"/>
          <w:color w:val="auto"/>
        </w:rPr>
        <w:t>Series B convertible preferred stock, $0.001 par value; zero and 37,001,401 shares authorized at December 31, 2018 and 2019, and 37,001,401 shares authorized at September 30, 2020 (unaudited); zero and 9,916,375 shares issued and outstanding at December 31, 2018 and 2019, and 24,790,938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wp:posOffset>
            </wp:positionV>
            <wp:extent cx="5143500" cy="1803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Total Convertible Preferred Stock</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Stockholders’ Equity (Deficit):</w:t>
      </w:r>
    </w:p>
    <w:p>
      <w:pPr>
        <w:spacing w:after="0" w:line="59" w:lineRule="exact"/>
        <w:rPr>
          <w:sz w:val="20"/>
          <w:szCs w:val="20"/>
          <w:color w:val="auto"/>
        </w:rPr>
      </w:pPr>
    </w:p>
    <w:p>
      <w:pPr>
        <w:ind w:left="640" w:right="240" w:hanging="179"/>
        <w:spacing w:after="0" w:line="272" w:lineRule="auto"/>
        <w:rPr>
          <w:sz w:val="20"/>
          <w:szCs w:val="20"/>
          <w:color w:val="auto"/>
        </w:rPr>
      </w:pPr>
      <w:r>
        <w:rPr>
          <w:rFonts w:ascii="Times New Roman" w:cs="Times New Roman" w:eastAsia="Times New Roman" w:hAnsi="Times New Roman"/>
          <w:sz w:val="16"/>
          <w:szCs w:val="16"/>
          <w:color w:val="auto"/>
        </w:rPr>
        <w:t>Common stock, $0.001 par value; 55,000,000 and 95,000,000 shares authorized at December 31, 2018 and 2019, and 95,000,000 shares authorized at September 30, 2020 (unaudited); 4,968,155 and 5,313,766 shares issued and outstanding at December 31, 2018 and 2019 and 5,629,130 shares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-652780</wp:posOffset>
            </wp:positionV>
            <wp:extent cx="5143500" cy="6686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00" cy="668655"/>
                    </a:xfrm>
                    <a:prstGeom prst="rect">
                      <a:avLst/>
                    </a:prstGeom>
                    <a:noFill/>
                  </pic:spPr>
                </pic:pic>
              </a:graphicData>
            </a:graphic>
          </wp:anchor>
        </w:drawing>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803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1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Total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885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0"/>
        <w:spacing w:after="0"/>
        <w:tabs>
          <w:tab w:leader="none" w:pos="1420" w:val="left"/>
          <w:tab w:leader="none" w:pos="2620" w:val="left"/>
        </w:tabs>
        <w:rPr>
          <w:sz w:val="20"/>
          <w:szCs w:val="20"/>
          <w:color w:val="auto"/>
        </w:rPr>
      </w:pPr>
      <w:r>
        <w:rPr>
          <w:rFonts w:ascii="Times New Roman" w:cs="Times New Roman" w:eastAsia="Times New Roman" w:hAnsi="Times New Roman"/>
          <w:sz w:val="16"/>
          <w:szCs w:val="16"/>
          <w:color w:val="auto"/>
        </w:rPr>
        <w:t>47,113</w:t>
      </w:r>
      <w:r>
        <w:rPr>
          <w:sz w:val="20"/>
          <w:szCs w:val="20"/>
          <w:color w:val="auto"/>
        </w:rPr>
        <w:tab/>
      </w:r>
      <w:r>
        <w:rPr>
          <w:rFonts w:ascii="Times New Roman" w:cs="Times New Roman" w:eastAsia="Times New Roman" w:hAnsi="Times New Roman"/>
          <w:sz w:val="16"/>
          <w:szCs w:val="16"/>
          <w:color w:val="auto"/>
        </w:rPr>
        <w:t>47,113</w:t>
      </w:r>
      <w:r>
        <w:rPr>
          <w:sz w:val="20"/>
          <w:szCs w:val="20"/>
          <w:color w:val="auto"/>
        </w:rPr>
        <w:tab/>
      </w:r>
      <w:r>
        <w:rPr>
          <w:rFonts w:ascii="Times New Roman" w:cs="Times New Roman" w:eastAsia="Times New Roman" w:hAnsi="Times New Roman"/>
          <w:sz w:val="16"/>
          <w:szCs w:val="16"/>
          <w:color w:val="auto"/>
        </w:rPr>
        <w:t>47,113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13,252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33,336</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47,113</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60,365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80,449</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8"/>
                <w:szCs w:val="18"/>
                <w:color w:val="auto"/>
              </w:rPr>
            </w:pPr>
          </w:p>
        </w:tc>
      </w:tr>
      <w:tr>
        <w:trPr>
          <w:trHeight w:val="284"/>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736</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1,182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9,773</w:t>
            </w:r>
          </w:p>
        </w:tc>
        <w:tc>
          <w:tcPr>
            <w:tcW w:w="60" w:type="dxa"/>
            <w:vAlign w:val="bottom"/>
          </w:tcPr>
          <w:p>
            <w:pPr>
              <w:spacing w:after="0"/>
              <w:rPr>
                <w:sz w:val="24"/>
                <w:szCs w:val="24"/>
                <w:color w:val="auto"/>
              </w:rPr>
            </w:pPr>
          </w:p>
        </w:tc>
      </w:tr>
      <w:tr>
        <w:trPr>
          <w:trHeight w:val="297"/>
        </w:trPr>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(30,584)</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(71,984)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(98,506)</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1"/>
        </w:trPr>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(29,843)</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(70,797)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(88,727)</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220" w:space="100"/>
            <w:col w:w="3699"/>
          </w:cols>
          <w:pgMar w:left="1440" w:top="270" w:right="1440" w:bottom="353" w:gutter="0" w:footer="0" w:header="0"/>
          <w:type w:val="continuous"/>
        </w:sectPr>
      </w:pPr>
    </w:p>
    <w:p>
      <w:pPr>
        <w:spacing w:after="0" w:line="70" w:lineRule="exact"/>
        <w:rPr>
          <w:sz w:val="20"/>
          <w:szCs w:val="20"/>
          <w:color w:val="auto"/>
        </w:rPr>
      </w:pPr>
    </w:p>
    <w:tbl>
      <w:tblPr>
        <w:tblLayout w:type="fixed"/>
        <w:tblInd w:w="640" w:type="dxa"/>
        <w:tblCellMar>
          <w:top w:w="0" w:type="dxa"/>
          <w:left w:w="0" w:type="dxa"/>
          <w:bottom w:w="0" w:type="dxa"/>
          <w:right w:w="0" w:type="dxa"/>
        </w:tblCellMar>
      </w:tblP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w:t>
            </w: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4"/>
        </w:trPr>
        <w:tc>
          <w:tcPr>
            <w:tcW w:w="4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(Deficit)</w:t>
            </w: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21,608</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6,144</w:t>
            </w:r>
          </w:p>
        </w:tc>
        <w:tc>
          <w:tcPr>
            <w:tcW w:w="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12065</wp:posOffset>
            </wp:positionV>
            <wp:extent cx="1954530"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954530" cy="26035"/>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353" w:gutter="0" w:footer="0" w:header="0"/>
          <w:type w:val="continuous"/>
        </w:sectPr>
      </w:pPr>
    </w:p>
    <w:bookmarkStart w:id="264" w:name="page265"/>
    <w:bookmarkEnd w:id="2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6"/>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5"/>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6"/>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37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7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5"/>
          </w:tcPr>
          <w:p>
            <w:pPr>
              <w:jc w:val="center"/>
              <w:ind w:right="41"/>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14,651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34,472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26,673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20,472</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6,753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4,996</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20,191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41,225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31,669</w:t>
            </w:r>
          </w:p>
        </w:tc>
        <w:tc>
          <w:tcPr>
            <w:tcW w:w="14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24,246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83"/>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1"/>
        </w:trPr>
        <w:tc>
          <w:tcPr>
            <w:tcW w:w="3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(20,167)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(41,400)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(31,733)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(26,522)</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4,811,641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5,171,537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5,133,773</w:t>
            </w:r>
          </w:p>
        </w:tc>
        <w:tc>
          <w:tcPr>
            <w:tcW w:w="14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5,507,900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5" w:name="page266"/>
    <w:bookmarkEnd w:id="265"/>
    <w:p>
      <w:pPr>
        <w:spacing w:after="0" w:line="62"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37"/>
        </w:trPr>
        <w:tc>
          <w:tcPr>
            <w:tcW w:w="1120" w:type="dxa"/>
            <w:vAlign w:val="bottom"/>
          </w:tcPr>
          <w:p>
            <w:pPr>
              <w:spacing w:after="0"/>
              <w:rPr>
                <w:sz w:val="3"/>
                <w:szCs w:val="3"/>
                <w:color w:val="auto"/>
              </w:rPr>
            </w:pPr>
          </w:p>
        </w:tc>
        <w:tc>
          <w:tcPr>
            <w:tcW w:w="1780" w:type="dxa"/>
            <w:vAlign w:val="bottom"/>
            <w:gridSpan w:val="6"/>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84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0" w:type="dxa"/>
            <w:vAlign w:val="bottom"/>
          </w:tcPr>
          <w:p>
            <w:pPr>
              <w:spacing w:after="0"/>
              <w:rPr>
                <w:sz w:val="3"/>
                <w:szCs w:val="3"/>
                <w:color w:val="auto"/>
              </w:rPr>
            </w:pPr>
          </w:p>
        </w:tc>
        <w:tc>
          <w:tcPr>
            <w:tcW w:w="12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120" w:type="dxa"/>
            <w:vAlign w:val="bottom"/>
          </w:tcPr>
          <w:p>
            <w:pPr>
              <w:spacing w:after="0"/>
              <w:rPr>
                <w:sz w:val="10"/>
                <w:szCs w:val="10"/>
                <w:color w:val="auto"/>
              </w:rPr>
            </w:pPr>
          </w:p>
        </w:tc>
        <w:tc>
          <w:tcPr>
            <w:tcW w:w="1780" w:type="dxa"/>
            <w:vAlign w:val="bottom"/>
            <w:gridSpan w:val="6"/>
            <w:vMerge w:val="continue"/>
          </w:tcPr>
          <w:p>
            <w:pPr>
              <w:spacing w:after="0"/>
              <w:rPr>
                <w:sz w:val="10"/>
                <w:szCs w:val="10"/>
                <w:color w:val="auto"/>
              </w:rPr>
            </w:pPr>
          </w:p>
        </w:tc>
        <w:tc>
          <w:tcPr>
            <w:tcW w:w="184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20" w:type="dxa"/>
            <w:vAlign w:val="bottom"/>
            <w:gridSpan w:val="5"/>
            <w:vMerge w:val="continue"/>
          </w:tcPr>
          <w:p>
            <w:pPr>
              <w:spacing w:after="0"/>
              <w:rPr>
                <w:sz w:val="10"/>
                <w:szCs w:val="10"/>
                <w:color w:val="auto"/>
              </w:rPr>
            </w:pPr>
          </w:p>
        </w:tc>
        <w:tc>
          <w:tcPr>
            <w:tcW w:w="7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620" w:type="dxa"/>
            <w:vAlign w:val="bottom"/>
            <w:gridSpan w:val="10"/>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Convertible Preferred Stock Convertible Preferred Stock</w:t>
            </w:r>
          </w:p>
        </w:tc>
        <w:tc>
          <w:tcPr>
            <w:tcW w:w="20" w:type="dxa"/>
            <w:vAlign w:val="bottom"/>
            <w:shd w:val="clear" w:color="auto" w:fill="000000"/>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860" w:type="dxa"/>
            <w:vAlign w:val="bottom"/>
            <w:gridSpan w:val="5"/>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5"/>
                <w:szCs w:val="5"/>
                <w:color w:val="auto"/>
              </w:rPr>
            </w:pPr>
          </w:p>
        </w:tc>
        <w:tc>
          <w:tcPr>
            <w:tcW w:w="960" w:type="dxa"/>
            <w:vAlign w:val="bottom"/>
            <w:gridSpan w:val="3"/>
            <w:vMerge w:val="restart"/>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1120" w:type="dxa"/>
            <w:vAlign w:val="bottom"/>
          </w:tcPr>
          <w:p>
            <w:pPr>
              <w:spacing w:after="0"/>
              <w:rPr>
                <w:sz w:val="5"/>
                <w:szCs w:val="5"/>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5"/>
                <w:szCs w:val="5"/>
                <w:color w:val="auto"/>
              </w:rPr>
            </w:pPr>
          </w:p>
        </w:tc>
        <w:tc>
          <w:tcPr>
            <w:tcW w:w="7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shd w:val="clear" w:color="auto" w:fill="000000"/>
          </w:tcPr>
          <w:p>
            <w:pPr>
              <w:spacing w:after="0"/>
              <w:rPr>
                <w:sz w:val="5"/>
                <w:szCs w:val="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86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Amount in Capital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31, 2017</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14,091,837</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16,625</w:t>
            </w:r>
          </w:p>
        </w:tc>
        <w:tc>
          <w:tcPr>
            <w:tcW w:w="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4,672,144</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(10,417)</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(10,048)</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A</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25,630,251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30,488</w:t>
            </w:r>
          </w:p>
        </w:tc>
        <w:tc>
          <w:tcPr>
            <w:tcW w:w="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32,037</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Vesting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263,974</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(20,167)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(20,167)</w:t>
            </w:r>
          </w:p>
        </w:tc>
        <w:tc>
          <w:tcPr>
            <w:tcW w:w="0" w:type="dxa"/>
            <w:vAlign w:val="bottom"/>
          </w:tcPr>
          <w:p>
            <w:pPr>
              <w:spacing w:after="0"/>
              <w:rPr>
                <w:sz w:val="1"/>
                <w:szCs w:val="1"/>
                <w:color w:val="auto"/>
              </w:rPr>
            </w:pPr>
          </w:p>
        </w:tc>
      </w:tr>
      <w:tr>
        <w:trPr>
          <w:trHeight w:val="3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31, 2018</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39,722,088</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47,113</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4,968,155</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736</w:t>
            </w: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(30,584)</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(29,843)</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B</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$148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9,916,375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13,252</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80,118</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87"/>
              </w:rPr>
              <w:t>23</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Vesting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265,493</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(41,400)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(41,400)</w:t>
            </w:r>
          </w:p>
        </w:tc>
        <w:tc>
          <w:tcPr>
            <w:tcW w:w="0" w:type="dxa"/>
            <w:vAlign w:val="bottom"/>
          </w:tcPr>
          <w:p>
            <w:pPr>
              <w:spacing w:after="0"/>
              <w:rPr>
                <w:sz w:val="1"/>
                <w:szCs w:val="1"/>
                <w:color w:val="auto"/>
              </w:rPr>
            </w:pPr>
          </w:p>
        </w:tc>
      </w:tr>
      <w:tr>
        <w:trPr>
          <w:trHeight w:val="3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39,722,088</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47,113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9,916,375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13,252</w:t>
            </w:r>
          </w:p>
        </w:tc>
        <w:tc>
          <w:tcPr>
            <w:tcW w:w="20" w:type="dxa"/>
            <w:vAlign w:val="bottom"/>
            <w:shd w:val="clear" w:color="auto" w:fill="000000"/>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5,313,766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1,182</w:t>
            </w:r>
          </w:p>
        </w:tc>
        <w:tc>
          <w:tcPr>
            <w:tcW w:w="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(71,984)</w:t>
            </w:r>
          </w:p>
        </w:tc>
        <w:tc>
          <w:tcPr>
            <w:tcW w:w="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(70,797)</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31, 2018</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39,722,088</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47,113</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4,968,155</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(30,584)</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(29,843)</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B</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$141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9,102,345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12,159</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76,680</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87"/>
              </w:rPr>
              <w:t>21</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0" w:right="1440" w:bottom="0" w:gutter="0" w:footer="0" w:header="0"/>
        </w:sectPr>
      </w:pPr>
    </w:p>
    <w:bookmarkStart w:id="266" w:name="page267"/>
    <w:bookmarkEnd w:id="266"/>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Vesting of</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199,118</w:t>
            </w:r>
          </w:p>
        </w:tc>
        <w:tc>
          <w:tcPr>
            <w:tcW w:w="2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51"/>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(31,733)</w:t>
            </w: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(31,733)</w:t>
            </w:r>
          </w:p>
        </w:tc>
      </w:tr>
      <w:tr>
        <w:trPr>
          <w:trHeight w:val="3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30, 2019</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9"/>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39,722,088</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47,113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9,102,345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12,159</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5,243,953</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1,054</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(62,317)</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(61,258)</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87"/>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31, 2019</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39,722,088</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47,113</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9,916,375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13,252</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5,313,766</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(71,984)</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(70,797)</w:t>
            </w: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B</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14,874,563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20,084</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Beneficial</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conversion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feature</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relating to</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discount 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promissory</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(Note</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7)</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8,177</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116,239</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r>
      <w:tr>
        <w:trPr>
          <w:trHeight w:val="47"/>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Vesting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199,125</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Pr>
          <w:p>
            <w:pPr>
              <w:spacing w:after="0"/>
              <w:rPr>
                <w:sz w:val="18"/>
                <w:szCs w:val="18"/>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84"/>
        </w:trPr>
        <w:tc>
          <w:tcPr>
            <w:tcW w:w="1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(26,522)</w:t>
            </w: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(26,522)</w:t>
            </w:r>
          </w:p>
        </w:tc>
      </w:tr>
      <w:tr>
        <w:trPr>
          <w:trHeight w:val="167"/>
        </w:trPr>
        <w:tc>
          <w:tcPr>
            <w:tcW w:w="11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30, 2020</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9"/>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39,722,088</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47,113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24,790,938</w:t>
            </w:r>
          </w:p>
        </w:tc>
        <w:tc>
          <w:tcPr>
            <w:tcW w:w="100" w:type="dxa"/>
            <w:vAlign w:val="bottom"/>
          </w:tcPr>
          <w:p>
            <w:pPr>
              <w:spacing w:after="0"/>
              <w:rPr>
                <w:sz w:val="20"/>
                <w:szCs w:val="20"/>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33,336</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5,629,130</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9,773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(98,506)</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(88,727)</w:t>
            </w:r>
          </w:p>
        </w:tc>
      </w:tr>
      <w:tr>
        <w:trPr>
          <w:trHeight w:val="20"/>
        </w:trPr>
        <w:tc>
          <w:tcPr>
            <w:tcW w:w="1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67" w:name="page268"/>
    <w:bookmarkEnd w:id="2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4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i w:val="1"/>
                <w:iCs w:val="1"/>
                <w:color w:val="auto"/>
                <w:w w:val="99"/>
              </w:rPr>
              <w:t>(unaudited)</w:t>
            </w: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(20,167)</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5"/>
              </w:rPr>
              <w:t>(41,400)</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(31,733)</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(26,522)</w:t>
            </w: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net cash used in</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expense</w:t>
            </w:r>
          </w:p>
        </w:tc>
        <w:tc>
          <w:tcPr>
            <w:tcW w:w="1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213</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297</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8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Accretion of discount on convertible notes</w:t>
            </w:r>
          </w:p>
        </w:tc>
        <w:tc>
          <w:tcPr>
            <w:tcW w:w="18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489</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2,998</w:t>
            </w:r>
          </w:p>
        </w:tc>
        <w:tc>
          <w:tcPr>
            <w:tcW w:w="22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(1,478)</w:t>
            </w: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403</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0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(18,340)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5"/>
              </w:rPr>
              <w:t>(38,530)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(27,175)</w:t>
            </w:r>
          </w:p>
        </w:tc>
        <w:tc>
          <w:tcPr>
            <w:tcW w:w="22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(23,855)</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8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(201)</w:t>
            </w:r>
          </w:p>
        </w:tc>
        <w:tc>
          <w:tcPr>
            <w:tcW w:w="22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(201)</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of Series A convertible</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preferred stock, net</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Series B convertible</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preferred stock, net</w:t>
            </w:r>
          </w:p>
        </w:tc>
        <w:tc>
          <w:tcPr>
            <w:tcW w:w="1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12,159</w:t>
            </w: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term loan, net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7,446</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convertible notes</w:t>
            </w:r>
          </w:p>
        </w:tc>
        <w:tc>
          <w:tcPr>
            <w:tcW w:w="18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30,497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19,626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34,106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Increase (decrease) in cash, cash equivalents and</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11,728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(15,542)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(7,750)</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10,229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beginning of period</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18,851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18,851</w:t>
            </w: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3,309</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11,101</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13,538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interest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183</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Financing Activities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purchases included in</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Issuance of warrants in connection with term loan facility</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2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on convertible notes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8,177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Deferred offering costs included in accounts payable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8" w:name="page269"/>
    <w:bookmarkEnd w:id="26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Therapeutics Inc. (the “Company”) is a clinical-stage precision medicine company developing novel therapeutic compounds to treat genetically defined, age-related macular degeneration. The Company was founded on March 3, 2015 and is currently located in Cambridge, Massachusetts.</w:t>
      </w:r>
    </w:p>
    <w:p>
      <w:pPr>
        <w:spacing w:after="0" w:line="10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If the Company does not successfully commercialize any of its product candidates, it will be unable to generate recurring product revenue or achieve profitability.</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Company’s product candidates are in development and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and consultants.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of December 31, 2019 and September 30, 2020 (unaudited), the Company had $3.0 million and $13.2 million of cash and cash equivalents, respectively. To date, the Company has primarily financed its operations through the sale of preferred stock, borrowings under convertible promissory notes and borrowings under loan agreements. The Company has experienced significant negative cash flows from operations since inception including net losses of $41.4 million and $26.5 million for periods ended December 31, 2019 and September 30, 2020 (unaudited), respectively. In addition, as of December 31, 2019 and September 30, 2020 (unaudited), the Company has an accumulated deficit of $72.0 million and $98.5 million, respectively. The Company expects to incur substantial operating losses and negative cash flows from operations for the foreseeable future. As of October 30, 2020, the Company expected its existing cash and cash equivalents would not be sufficient to fund its operating expenses and capital expenditure requirements for at least the next year following the date that the financial statements were issued.</w:t>
      </w:r>
    </w:p>
    <w:p>
      <w:pPr>
        <w:spacing w:after="0" w:line="12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As of December 7, 2020 (unaudited), the issuance date of the interim financial statements for the nine months ended September 30, 2020, the Company expects its existing cash and cash equivalents will not be sufficient to fund its operating expenses and capital expenditure requirements for at least the next year following the date that the interim financial statements are issued.</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is seeking to complete a merger with FS Development Corp. (“FS Development”), which would result in FS Development acquiring 100% of the Company’s issued and outstanding securities. Together with FS Development’s cash resources, additional funding for the Company’s operations would be provided through a Private Investment in Public Equity (“PIPE”) offering to be completed concurrently with the merger. In the event a merger is not consummated, the Company may be required to obtain additional funding whether through future collaboration agreements, private or public offerings, debt or a combination thereof and such additional funding may not be available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9" w:name="page270"/>
    <w:bookmarkEnd w:id="26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Nature of the business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terms the Company finds acceptable or favorable. There is inherent uncertainty associated with these fundraising activities and they are not considered probable. If the Company is unable to obtain sufficient capital to continue to advance its programs, the Company would be forced to delay, reduce or eliminate its research and development programs and any future commercialization efforts. Accordingly, substantial doubt is deemed to exist about the Company’s ability to continue as a going concern within one year after the date these financial statements are issued.</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Impact of the COVID-19 Pandemic</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a novel coronavirus (COVID-19) a pandemic. The COVID-19 pandemic is evolving, and to date has led to the implementation of various responses, including government-imposed quarantines, travel restrictions and other public health safety measures.</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is closely monitoring the impact of the COVID-19 pandemic on all aspects of our business, including how it will impact our operations and the operations of our customers, suppliers, vendors and business partners. The Company does not yet know the full extent of potential delays or impacts on its business, its clinical trials, its research programs, healthcare systems or the global economy and it cannot presently predict the scope and severity of any potential business shutdowns or disruptions. The extent to which COVID-19 impacts its business, results of operation and financial condition will depend on future developments, which are highly uncertain and cannot be predicted with confidence, such as the duration of the outbreak, new information that may emerge concerning the severity of COVID-19 or the effectiveness of actions to contain COVID-19 or treat its impact, among others. If the Company or any of the third parties with whom the Company engages, however, were to experience shutdowns or other business disruptions, its ability to conduct its business in the manner and on the timelines presently planned could be materially and negatively affected, which could have a material adverse impact on its business, results of operation and financial condition.</w:t>
      </w:r>
    </w:p>
    <w:p>
      <w:pPr>
        <w:spacing w:after="0" w:line="122"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Company has not incurred impairment losses in the carrying values of its assets as a result of the pandemic and it is not aware of any specific related event or circumstance that would require to revise its estimates reflected in these financial statements. The full extent to which the COVID-19 outbreak will impact the company’s business, results of operations, financial condition and cash flows will depend on future developments that are highly uncertain and the estimates of the impact on the company’s business may change based on new information that may emerge concerning COVID-19 and the actions to contain it or treat its impact and the economic impact on local, regional, national and international markets.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contained within these financial statements include, but are not limited to, the estimated fair value of the Company’s common stock, share-based awards utilized for stock-based compensation purposes, warrant liability, prepaid expenses, and the accruals of research and development expenses.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 Actual results may differ materially from those estimates or assumptions.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0" w:name="page271"/>
    <w:bookmarkEnd w:id="2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accompanying balance sheet as of September 30, 2020, the statements of operations, of convertible preferred stock and stockholders’ deficit and of cash flows for the nine months ended September 30, 2019 and 2020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2020 and the results of its operations and its cash flows for the nine months ended September 30, 2019 and 2020. The financial data and other information disclosed in these notes related to the nine months ended September 30, 2019 and 2020 are also unaudited. The results for the nine months ended September 30, 2020 are not necessarily indicative of results to be expected for the year ending December 31, 2020, any other interim periods, or any future year or period.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initial purchase to be cash equivalents. The objectives of the Company’s cash management policy are to safeguard and preserve funds to maintain liquidity sufficient to meet the Company’s cash flow requirements, and to attain a market rate of return. The Company’s cash equivalents consist of amounts invested in money market mutual funds at December 31, 2018 and 2019, and at September 30, 2020 (unaudited).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Restricted cash amounted to $323 thousand at December 31, 2018 and 2019, and September 30, 2019 and 2020 (unaudited), which represents $100 thousand to collateralize the Company’s credit card and $223 thousand to collateralize its irrevocable standby letter of credit for its facility lease arrangement. The letter of credit is in the name of the landlord and is required to fulfill lease requirements in the event the Company should default on its lease obligation.</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 reconciliation of the cash and cash equivalents and restricted cash as presented in the Company’s balance sheets to the Company’s statements of cash flows is as follows:</w:t>
      </w:r>
    </w:p>
    <w:p>
      <w:pPr>
        <w:sectPr>
          <w:pgSz w:w="11900" w:h="16838" w:orient="portrait"/>
          <w:cols w:equalWidth="0" w:num="1">
            <w:col w:w="9019"/>
          </w:cols>
          <w:pgMar w:left="1440" w:top="270" w:right="1440" w:bottom="1440" w:gutter="0" w:footer="0" w:header="0"/>
        </w:sectPr>
      </w:pPr>
    </w:p>
    <w:p>
      <w:pPr>
        <w:spacing w:after="0" w:line="178"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47625</wp:posOffset>
            </wp:positionV>
            <wp:extent cx="123444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3" w:lineRule="exact"/>
        <w:rPr>
          <w:sz w:val="20"/>
          <w:szCs w:val="20"/>
          <w:color w:val="auto"/>
        </w:rPr>
      </w:pPr>
    </w:p>
    <w:p>
      <w:pPr>
        <w:ind w:left="4740"/>
        <w:spacing w:after="0"/>
        <w:tabs>
          <w:tab w:leader="none" w:pos="5740" w:val="left"/>
        </w:tabs>
        <w:rPr>
          <w:sz w:val="20"/>
          <w:szCs w:val="20"/>
          <w:color w:val="auto"/>
        </w:rPr>
      </w:pPr>
      <w:r>
        <w:rPr>
          <w:rFonts w:ascii="Times New Roman" w:cs="Times New Roman" w:eastAsia="Times New Roman" w:hAnsi="Times New Roman"/>
          <w:sz w:val="16"/>
          <w:szCs w:val="16"/>
          <w:b w:val="1"/>
          <w:bCs w:val="1"/>
          <w:color w:val="auto"/>
        </w:rPr>
        <w:t>2018</w:t>
      </w:r>
      <w:r>
        <w:rPr>
          <w:sz w:val="20"/>
          <w:szCs w:val="20"/>
          <w:color w:val="auto"/>
        </w:rPr>
        <w:tab/>
      </w:r>
      <w:r>
        <w:rPr>
          <w:rFonts w:ascii="Times New Roman" w:cs="Times New Roman" w:eastAsia="Times New Roman" w:hAnsi="Times New Roman"/>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47625</wp:posOffset>
            </wp:positionV>
            <wp:extent cx="123444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47625</wp:posOffset>
            </wp:positionV>
            <wp:extent cx="13201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47625</wp:posOffset>
            </wp:positionV>
            <wp:extent cx="132016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6080" w:space="700"/>
            <w:col w:w="2239"/>
          </w:cols>
          <w:pgMar w:left="1440" w:top="270" w:right="1440" w:bottom="1440" w:gutter="0" w:footer="0" w:header="0"/>
          <w:type w:val="continuous"/>
        </w:sectPr>
      </w:pPr>
    </w:p>
    <w:p>
      <w:pPr>
        <w:ind w:left="714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18,528</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2,986</w:t>
            </w: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10,778</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r>
      <w:tr>
        <w:trPr>
          <w:trHeight w:val="25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7"/>
        </w:trPr>
        <w:tc>
          <w:tcPr>
            <w:tcW w:w="36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18,851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The Company maintains deposits in accredited financial institutions in amounts that could exceed federally insured limits. Cash equivalents are invested in money market funds. The Company maintains each of its cash balances with high-quality and accredited financial institutions and accordingly, such funds are not exposed to unusual credit risk beyond the normal credit risk associated with commercial banking relationships.</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1" w:name="page272"/>
    <w:bookmarkEnd w:id="2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on the straight-line basis over the estimated useful lives of the assets. The estimated useful lives are as follows: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Shorter of the useful life of the asset or the life of the lease</w:t>
            </w:r>
          </w:p>
        </w:tc>
      </w:tr>
    </w:tbl>
    <w:p>
      <w:pPr>
        <w:spacing w:after="0" w:line="19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Costs for capital assets not yet placed in service are capitalized and depreciated once placed into service. 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or disposals on long-lived assets.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capitalized certain legal, professional accounting and other third-party fees that are directly associated with the in-process merger with FS Development as deferred offering costs until such merger is consummated. After consummation of the merger, these costs will be recorded as a reduction to additional paid-in capital generated as a result of the merger. Should the merger be abandoned, the deferred offering costs will be expensed immediately as a charge to operating expenses in the statement of operations. The Company had no deferred offering costs as of December 31, 2018 and 2019. As of September 30, 2020 (unaudited), the Company recorded deferred offering costs of $1.3 million.</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Level 1 – Quoted prices in active markets that are identical assets or liabilities.</w:t>
      </w:r>
    </w:p>
    <w:p>
      <w:pPr>
        <w:spacing w:after="0" w:line="144"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2" w:name="page273"/>
    <w:bookmarkEnd w:id="2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Company’s cash equivalents and preferred stock warrant liability are carried at fair value, determined according to the fair value hierarchy described above (see Note 3). The carrying values of the Company’s prepaid expenses and other current assets, and accounts payable and accrued expenses approximate their fair values due to the short-term nature of these assets and liabilities. The carrying value of the Company’s term loan as of December 31, 2019 and September 30, 2020 (unaudited) (see Note 6) approximated fair value based on interest rates currently available to the Company.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term loan was recorded net of issuance costs and discount relating to the issuance of warrants. The debt discounts are amortized over the term of the debt using the effective interest method and recognized as interest expense.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February 2019, concurrent with the Company’s term loan agreement (see Note 6), the Company issued warrants to purchase shares of the Company’s Series A preferred stock. The Company accounts for the warrants to purchase Series A preferred as a liability as these warrants are freestanding financial instruments that may require the Company to transfer assets upon exercise. The fair value of the warrants classified as liabilities is estimated using the Black-Scholes Option Pricing Model and adjusted to fair value at the end of each reporting period. Changes in the fair value of the warrant are recognized as a component of other income (expense) in the statements of operations and comprehensive loss. The estimates in the Black-Scholes Option Pricing Model are based, in part, on subjective assumptions, including, stock price volatility, term of the warrants, risk free interest rate, dividend yield, and fair value of the preferred stock underlying the warrants. Such assumptions could differ materially in the future.</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These warrants are subject to revaluation at the end of each reporting period until the earlier of the exercise or expiration of the applicable warrants or until such time that the underlying preferred stock is reclassified to permanent equity.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of convertible preferred stock</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records all preferred convertible stock upon issuance at its respective fair value or original issuance price less direct and incremental issuance costs, as stipulated by its terms. The Company’s convertible preferred stock is classified outside of stockholders’ deficit because the holders of such shares have liquidation rights in the event of a deemed liquidation that, in certain situations, are not solely within the control of the Company.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Company’s singular focus is the development of novel therapies for genetically defined, age-related macular degeneration. The Company has determined that it operates as a single operating segment and has one reportable segment. The Company’s long-lived assets are located in the United States.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 contract costs and accruals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employee payroll, consulting, contract research, depreciation, rent and other corporate costs attributable to research and development activities, and are expensed as incurred.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3" w:name="page274"/>
    <w:bookmarkEnd w:id="2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expenses all patent-related costs incurred in connection with filing and prosecuting patent applications. It records such costs within general and administrative expenses in its accompanying statement of operations and comprehensive loss.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directors and non-employees based on the fair value on the date of grant and recognizes compensation expense of those awards over the requisite service period, which is generally the vesting period of the respective award. Forfeitures are accounted for as they occur. The Company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The Company estimates the probability that certain performance criteria will be met and does not recognize compensation expense until it is probable that the performance-based vesting condition will be achieved.</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statements of operations and comprehensive loss in the same manner in which the award recipient’s payroll costs are classified or in which the award recipient’s service payments are classified.</w:t>
      </w:r>
    </w:p>
    <w:p>
      <w:pPr>
        <w:spacing w:after="0" w:line="108"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As there has been no public market for the Company’s common stock to date, the estimated fair value of its common stock has been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Issued as Compensation</w:t>
      </w:r>
      <w:r>
        <w:rPr>
          <w:rFonts w:ascii="Times New Roman" w:cs="Times New Roman" w:eastAsia="Times New Roman" w:hAnsi="Times New Roman"/>
          <w:sz w:val="18"/>
          <w:szCs w:val="18"/>
          <w:color w:val="auto"/>
        </w:rPr>
        <w:t>. The Company’s common stock valuations were prepared using an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method, or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Gemini’s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securities, the superior rights and preferences of securities senior to the common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4" w:name="page275"/>
    <w:bookmarkEnd w:id="2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securities at the time of, and the likelihood of, achieving a liquidity event, such as an IPO or sale. Significant changes to the key assumptions used in the valuations could result in different fair values of common stock at each valuation date.</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fair value of each restricted common stock award is estimated on the date of grant based on the fair value of the Company’s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(see Note 10).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To the extent an income tax provision is necessary, the provision for income taxes would include the effects of any resulting tax reserves, or unrecognized tax benefits, that are considered appropriate as well as the related net interest and penalties.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financial statements.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5" w:name="page276"/>
    <w:bookmarkEnd w:id="2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the net income (loss) attributable to common stockholders by the weighted average number of common shares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common shares outstanding for the period, including potential dilutive common stock. For purpose of this calculation, outstanding options, unvested restricted common stock and convertible preferred stock are considered potential dilutive common stock and are excluded from the computation of net income (loss) per share as their effect is anti-dilutive.</w:t>
      </w:r>
    </w:p>
    <w:p>
      <w:pPr>
        <w:spacing w:after="0" w:line="11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Company’s convertible preferred stock contractually entitles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 assumed to be outstanding if their effect is anti-dilutive. The Company reported a net loss attributable to common stockholders for the years ended December 31, 2018 and 2019 and for the nine months ended September 30, 2019 and 2020 (unaudited).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is expected to be an “emerging growth company” (“EGC”) upon merger,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(“ASU 2014-09”). ASU 2014-09 outlines a new, single comprehensive model for entities to use in accounting for revenue arising from contracts 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Company early adopted this ASU 2014-09 on January 1, 2017 using the full retrospective approach. The Company did not have any revenue arrangements and therefore, its adoption did not have any impact on the Company’s financial statements.</w:t>
      </w:r>
    </w:p>
    <w:p>
      <w:pPr>
        <w:spacing w:after="0" w:line="107"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Employee Share-Based Payment Accounting </w:t>
      </w:r>
      <w:r>
        <w:rPr>
          <w:rFonts w:ascii="Times New Roman" w:cs="Times New Roman" w:eastAsia="Times New Roman" w:hAnsi="Times New Roman"/>
          <w:sz w:val="18"/>
          <w:szCs w:val="18"/>
          <w:color w:val="auto"/>
        </w:rPr>
        <w:t>(“ASU 2016-09”). ASU 2016-09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provisions intended to simplify various aspects of the accounting for share-based payments, including the income tax consequences, classification of awards as either equity or liabilities, an option to recognize gross share compensation expense with actual forfeitures recognized as they occur, as well as certain classifications on the statement of cash flows. The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6" w:name="page277"/>
    <w:bookmarkEnd w:id="2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Company early adopted this pronouncement at its inception and has elected to recognize actual forfeitures as they occur. The adoption of ASU 2016-09 did not have any impact on the Company’s financial statements since it was adopted at its inception.</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early adopted Accounting Standards Update 2018-07 (“ASU 2018-07”) </w:t>
      </w:r>
      <w:r>
        <w:rPr>
          <w:rFonts w:ascii="Times New Roman" w:cs="Times New Roman" w:eastAsia="Times New Roman" w:hAnsi="Times New Roman"/>
          <w:sz w:val="18"/>
          <w:szCs w:val="18"/>
          <w:i w:val="1"/>
          <w:iCs w:val="1"/>
          <w:color w:val="auto"/>
        </w:rPr>
        <w:t xml:space="preserve">Compensation — Stock Compensation: Improvements to Non-Employee Share-Based Compensation Accounting </w:t>
      </w:r>
      <w:r>
        <w:rPr>
          <w:rFonts w:ascii="Times New Roman" w:cs="Times New Roman" w:eastAsia="Times New Roman" w:hAnsi="Times New Roman"/>
          <w:sz w:val="18"/>
          <w:szCs w:val="18"/>
          <w:color w:val="auto"/>
        </w:rPr>
        <w:t>as of the date of January 1, 2017. ASU 2018-07 generally allows the Company to treat stock-based awards to non-employees similar to employees for purposes of measuring and recognition stock-based compensation. The adoption of this pronouncement did not have a material impact on its financial statements based on the fair value of the Company’s common stock at January 1, 2017.</w:t>
      </w:r>
    </w:p>
    <w:p>
      <w:pPr>
        <w:spacing w:after="0" w:line="104"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Statement of Cash Flows: </w:t>
      </w:r>
      <w:r>
        <w:rPr>
          <w:rFonts w:ascii="Times New Roman" w:cs="Times New Roman" w:eastAsia="Times New Roman" w:hAnsi="Times New Roman"/>
          <w:sz w:val="18"/>
          <w:szCs w:val="18"/>
          <w:i w:val="1"/>
          <w:iCs w:val="1"/>
          <w:color w:val="auto"/>
        </w:rPr>
        <w:t>Classification of Certain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Receipts and Cash Payments </w:t>
      </w:r>
      <w:r>
        <w:rPr>
          <w:rFonts w:ascii="Times New Roman" w:cs="Times New Roman" w:eastAsia="Times New Roman" w:hAnsi="Times New Roman"/>
          <w:sz w:val="18"/>
          <w:szCs w:val="18"/>
          <w:color w:val="auto"/>
        </w:rPr>
        <w:t>(“ASU 2016-15”), to address diversity in practice in how certain cash receipts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payments are presented and classified in the statement of cash flows. The standard is effective for annual periods beginning after December 15, 2018, including interim periods within those fiscal years. The Company adopted ASU 2016-15 at January 1, 2019. The adoption of this pronouncement did not have a material impact on the Company’s financial statements.</w:t>
      </w:r>
    </w:p>
    <w:p>
      <w:pPr>
        <w:spacing w:after="0" w:line="115"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(“ASU 2016-18”), which requires that amounts generally described as restricted cash and restricted cash equivalents should be included with cash and cash equivalents when reconciling the beginning-of-period and end-of-period total amounts shown on the statement of cash flows. ASU 2016-18 is effective for fiscal years beginning after December 15, 2018, and interim periods within those years, and should be applied using a retrospective transition method to each period presented. The Company elected to early adopt this pronouncement at January 1, 2017 and has presented its statement of cash flows in accordance with ASU 2016-18.</w:t>
      </w:r>
    </w:p>
    <w:p>
      <w:pPr>
        <w:spacing w:after="0" w:line="11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No. 2017-01, Business Combinations (Topic 805): Clarifying the Definition of a Business (“ASU 2017-01”), which clarifies the definition of a business to assist entities with evaluating whether transactions should be accounted for as acquisitions (or disposals) of assets or businesses. The guidance is effective for annual reporting periods beginning after December 15, 2018 and interim periods within those fiscal years, and early adoption is permitted. The Company adopted ASU 2017-01 at January 1, 2019. The adoption of this pronouncement did not have a material impact on the Company’s financial statements.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No. 2016-02, Leases (“ASU 2016-02”). ASU 2016-02 will require lessees to recognize most leases on their balance sheet as a right-of-use asset and a lease liability. Leases will be classified as either operating or finance, and classification will be based on criteria similar to current lease accounting, but without explicit bright lines. The guidance is effective for annual reporting periods beginning after December 15, 2021 and interim periods beginning after December 15, 2022, and early adoption is permitted. The Company is currently evaluating the impact that the adoption of ASU 2016-02 will have on its financial statements.</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(“ASU 2018-13”). The new standard removes certain disclosures, modifies certain disclosures and adds additional disclosures related to fair value measurement. ASU 2018-13 is effective for annual periods after December 15, 2019. The Company is currently evaluating the potential impact ASU 2018-13 may have on its disclosures upon adoption.</w:t>
      </w:r>
    </w:p>
    <w:p>
      <w:pPr>
        <w:spacing w:after="0" w:line="11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In November 2018, the FASB issued ASU 2018-18, Collaborative Arrangements (Topic 808): </w:t>
      </w:r>
      <w:r>
        <w:rPr>
          <w:rFonts w:ascii="Times New Roman" w:cs="Times New Roman" w:eastAsia="Times New Roman" w:hAnsi="Times New Roman"/>
          <w:sz w:val="18"/>
          <w:szCs w:val="18"/>
          <w:i w:val="1"/>
          <w:iCs w:val="1"/>
          <w:color w:val="auto"/>
        </w:rPr>
        <w:t>Clarifying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Interaction between Topic 808 and Topic 606</w:t>
      </w:r>
      <w:r>
        <w:rPr>
          <w:rFonts w:ascii="Times New Roman" w:cs="Times New Roman" w:eastAsia="Times New Roman" w:hAnsi="Times New Roman"/>
          <w:sz w:val="18"/>
          <w:szCs w:val="18"/>
          <w:color w:val="auto"/>
        </w:rPr>
        <w:t>, (“ASU 2018-18”). The amendments in this update clarify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transactions between collaborative arrangement participants should be accounted for as revenue when the collaborative arrangement participant is a customer in the context of a unit of account and precludes recognizing as revenue consideration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7" w:name="page278"/>
    <w:bookmarkEnd w:id="2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received from a collaborative arrangement participant if the participant is not a customer. ASU 2018-18 is effective for annual reporting periods after December 15, 2020. The Company is currently evaluating the potential impact ASU 2018-18 will have on its financial statements.</w:t>
      </w:r>
    </w:p>
    <w:p>
      <w:pPr>
        <w:spacing w:after="0" w:line="10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(“ASU 2019-12”), which is intended to simplify the accounting for income taxes. ASU 2019-12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certain exceptions to the general principles in Topic 740 and also clarifies and amends existing guidance to improve consistent application. The new standard will be effective beginning January 1, 2021. The Company is currently evaluating the potential impact ASU 2019-12 may have on its financial position and results of operations upon adoption.</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w:t>
      </w:r>
    </w:p>
    <w:p>
      <w:pPr>
        <w:spacing w:after="0" w:line="164" w:lineRule="exact"/>
        <w:rPr>
          <w:sz w:val="20"/>
          <w:szCs w:val="20"/>
          <w:color w:val="auto"/>
        </w:rPr>
      </w:pPr>
    </w:p>
    <w:p>
      <w:pPr>
        <w:ind w:left="460"/>
        <w:spacing w:after="0"/>
        <w:tabs>
          <w:tab w:leader="none" w:pos="4620" w:val="left"/>
          <w:tab w:leader="none" w:pos="5640" w:val="left"/>
          <w:tab w:leader="none" w:pos="6680" w:val="left"/>
          <w:tab w:leader="none" w:pos="7840" w:val="left"/>
        </w:tabs>
        <w:rPr>
          <w:sz w:val="20"/>
          <w:szCs w:val="20"/>
          <w:color w:val="auto"/>
        </w:rPr>
      </w:pPr>
      <w:r>
        <w:rPr>
          <w:rFonts w:ascii="Times New Roman" w:cs="Times New Roman" w:eastAsia="Times New Roman" w:hAnsi="Times New Roman"/>
          <w:sz w:val="16"/>
          <w:szCs w:val="16"/>
          <w:b w:val="1"/>
          <w:bCs w:val="1"/>
          <w:color w:val="auto"/>
        </w:rPr>
        <w:t>December 31, 2018</w:t>
      </w:r>
      <w:r>
        <w:rPr>
          <w:sz w:val="20"/>
          <w:szCs w:val="20"/>
          <w:color w:val="auto"/>
        </w:rPr>
        <w:tab/>
      </w:r>
      <w:r>
        <w:rPr>
          <w:rFonts w:ascii="Times New Roman" w:cs="Times New Roman" w:eastAsia="Times New Roman" w:hAnsi="Times New Roman"/>
          <w:sz w:val="16"/>
          <w:szCs w:val="16"/>
          <w:b w:val="1"/>
          <w:bCs w:val="1"/>
          <w:color w:val="auto"/>
        </w:rPr>
        <w:t>Level 1</w:t>
      </w:r>
      <w:r>
        <w:rPr>
          <w:sz w:val="20"/>
          <w:szCs w:val="20"/>
          <w:color w:val="auto"/>
        </w:rPr>
        <w:tab/>
      </w:r>
      <w:r>
        <w:rPr>
          <w:rFonts w:ascii="Times New Roman" w:cs="Times New Roman" w:eastAsia="Times New Roman" w:hAnsi="Times New Roman"/>
          <w:sz w:val="16"/>
          <w:szCs w:val="16"/>
          <w:b w:val="1"/>
          <w:bCs w:val="1"/>
          <w:color w:val="auto"/>
        </w:rPr>
        <w:t>Level 2</w:t>
      </w:r>
      <w:r>
        <w:rPr>
          <w:sz w:val="20"/>
          <w:szCs w:val="20"/>
          <w:color w:val="auto"/>
        </w:rPr>
        <w:tab/>
      </w:r>
      <w:r>
        <w:rPr>
          <w:rFonts w:ascii="Times New Roman" w:cs="Times New Roman" w:eastAsia="Times New Roman" w:hAnsi="Times New Roman"/>
          <w:sz w:val="16"/>
          <w:szCs w:val="16"/>
          <w:b w:val="1"/>
          <w:bCs w:val="1"/>
          <w:color w:val="auto"/>
        </w:rPr>
        <w:t>Level 3</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885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24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17,521</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17,521</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17,521</w:t>
            </w: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3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57"/>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2,037</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2,037</w:t>
            </w: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63"/>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September 30, 2020 (unaudited)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3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57"/>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12,274</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12,274</w:t>
            </w: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63"/>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Money market funds were valued by the Company using quoted prices in active markets for similar securities, which represent a Level 1 measurement within the fair value hierarchy. During the years ended December 31, 2018 and 2019 and the nine months ended September 30, 2020 (unaudited), there were no transfers between Level 1, Level 2 and Level 3.</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value for the warrant liability balance is based on significant inputs not observable in the market, which represents a Level 3 measurement within the fair value hierarchy.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Warrants to purchase Series A Preferred Stock</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February 2019, concurrent with the Company’s term loan agreement, the Company issued warrants to purchase 70,000 shares of the Company’s Series A Preferred Stock. The warrants have an exercise price of $1.19 per share and expire in February 2029, representing a contractual term of ten years from issuance. No warrants were exercised during the year ended December 31, 2019 and nine months ended September 30, 2020 (unaudited). The fair value of the warrants was recorded as a liability on the date of issuance.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8" w:name="page279"/>
    <w:bookmarkEnd w:id="2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the activities of the Company’s Series A Preferred Stock warrant liability which represents a recurring measurement that is classified within Level 3 of the fair value hierarchy wherein fair value is estimated using significant unobservable inputs: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12"/>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6"/>
        </w:trPr>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A Preferred Stock warrants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6"/>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2020 (unaudited)</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fair value of the warrants to purchase shares of the Company’s Series A Preferred Stock at an exercise price of $1.19 per share, including subsequent remeasurements, was estimated using the Black-Scholes Option Pricing Model using the following assumptions: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Pr>
          <w:p>
            <w:pPr>
              <w:spacing w:after="0"/>
              <w:rPr>
                <w:sz w:val="17"/>
                <w:szCs w:val="17"/>
                <w:color w:val="auto"/>
              </w:rPr>
            </w:pPr>
          </w:p>
        </w:tc>
        <w:tc>
          <w:tcPr>
            <w:tcW w:w="2480" w:type="dxa"/>
            <w:vAlign w:val="bottom"/>
            <w:gridSpan w:val="3"/>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94"/>
        </w:trPr>
        <w:tc>
          <w:tcPr>
            <w:tcW w:w="40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2480" w:type="dxa"/>
            <w:vAlign w:val="bottom"/>
            <w:gridSpan w:val="3"/>
            <w:vMerge w:val="restart"/>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18"/>
        </w:trPr>
        <w:tc>
          <w:tcPr>
            <w:tcW w:w="4080" w:type="dxa"/>
            <w:vAlign w:val="bottom"/>
          </w:tcPr>
          <w:p>
            <w:pPr>
              <w:spacing w:after="0"/>
              <w:rPr>
                <w:sz w:val="10"/>
                <w:szCs w:val="10"/>
                <w:color w:val="auto"/>
              </w:rPr>
            </w:pPr>
          </w:p>
        </w:tc>
        <w:tc>
          <w:tcPr>
            <w:tcW w:w="1320" w:type="dxa"/>
            <w:vAlign w:val="bottom"/>
            <w:gridSpan w:val="2"/>
            <w:vMerge w:val="restart"/>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408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20"/>
                <w:szCs w:val="20"/>
                <w:color w:val="auto"/>
              </w:rPr>
            </w:pPr>
          </w:p>
        </w:tc>
        <w:tc>
          <w:tcPr>
            <w:tcW w:w="12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6"/>
        </w:trPr>
        <w:tc>
          <w:tcPr>
            <w:tcW w:w="40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3"/>
          </w:tcPr>
          <w:p>
            <w:pPr>
              <w:jc w:val="center"/>
              <w:ind w:right="152"/>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7"/>
        </w:trPr>
        <w:tc>
          <w:tcPr>
            <w:tcW w:w="4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the underlying instrument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1.20 – $1.28</w:t>
            </w: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 $1.24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 $1.41</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3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1.70% –</w:t>
            </w:r>
          </w:p>
        </w:tc>
        <w:tc>
          <w:tcPr>
            <w:tcW w:w="22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1.70% –</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 – 0.64%</w:t>
            </w:r>
          </w:p>
        </w:tc>
        <w:tc>
          <w:tcPr>
            <w:tcW w:w="0" w:type="dxa"/>
            <w:vAlign w:val="bottom"/>
          </w:tcPr>
          <w:p>
            <w:pPr>
              <w:spacing w:after="0"/>
              <w:rPr>
                <w:sz w:val="1"/>
                <w:szCs w:val="1"/>
                <w:color w:val="auto"/>
              </w:rPr>
            </w:pPr>
          </w:p>
        </w:tc>
      </w:tr>
      <w:tr>
        <w:trPr>
          <w:trHeight w:val="40"/>
        </w:trPr>
        <w:tc>
          <w:tcPr>
            <w:tcW w:w="40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 – 10.0</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 10.0</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 8.9</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3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73.4% –</w:t>
            </w:r>
          </w:p>
        </w:tc>
        <w:tc>
          <w:tcPr>
            <w:tcW w:w="22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73.6% –</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 – 74.4%</w:t>
            </w:r>
          </w:p>
        </w:tc>
        <w:tc>
          <w:tcPr>
            <w:tcW w:w="0" w:type="dxa"/>
            <w:vAlign w:val="bottom"/>
          </w:tcPr>
          <w:p>
            <w:pPr>
              <w:spacing w:after="0"/>
              <w:rPr>
                <w:sz w:val="1"/>
                <w:szCs w:val="1"/>
                <w:color w:val="auto"/>
              </w:rPr>
            </w:pPr>
          </w:p>
        </w:tc>
      </w:tr>
      <w:tr>
        <w:trPr>
          <w:trHeight w:val="40"/>
        </w:trPr>
        <w:tc>
          <w:tcPr>
            <w:tcW w:w="40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40"/>
        </w:trPr>
        <w:tc>
          <w:tcPr>
            <w:tcW w:w="40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risk-free interest rate used is the rate for a U.S. Treasury zero coupon issue with a term consistent with the remaining contractual term of the warrant on the date of measurement. The Company has not paid, and does not expect to pay, any cash dividends in the foreseeable future. The Company based the expected term assumption on the actual remaining contractual term of the respective warrants as of the date of measurement. The expected volatility is based on historical volatilities from guideline companies, since there is no active market for the Company’s common stock. The fair value on the date of measurement of the Series A preferred stock, the underlying instrument, was estimated by management with the assistance of a third-party valuation specialist.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616</w:t>
            </w:r>
          </w:p>
        </w:tc>
        <w:tc>
          <w:tcPr>
            <w:tcW w:w="340" w:type="dxa"/>
            <w:vAlign w:val="bottom"/>
            <w:tcBorders>
              <w:bottom w:val="single" w:sz="8" w:color="CCEEFF"/>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759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Depreciation expense for the years ended December 31, 2018 and 2019 and for the nine months ended September 30, 2019 and 2020 (unaudited) was approximately $114 thousand, $290 thousand, $213 thousand and $235 thousand,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04" w:gutter="0" w:footer="0" w:header="0"/>
        </w:sectPr>
      </w:pPr>
    </w:p>
    <w:bookmarkStart w:id="279" w:name="page280"/>
    <w:bookmarkEnd w:id="2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96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3"/>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1,133</w:t>
            </w:r>
          </w:p>
        </w:tc>
        <w:tc>
          <w:tcPr>
            <w:tcW w:w="78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2,123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external research and development</w:t>
            </w:r>
          </w:p>
        </w:tc>
        <w:tc>
          <w:tcPr>
            <w:tcW w:w="74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7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740" w:type="dxa"/>
            <w:vAlign w:val="bottom"/>
          </w:tcPr>
          <w:p>
            <w:pPr>
              <w:spacing w:after="0"/>
              <w:rPr>
                <w:sz w:val="22"/>
                <w:szCs w:val="2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2,004</w:t>
            </w:r>
          </w:p>
        </w:tc>
        <w:tc>
          <w:tcPr>
            <w:tcW w:w="7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2,689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6. Term loan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February 8, 2019 (the “Closing Date”), the Company entered into a term loan facility of up to $10.0 million (the “Term Loan”) with Silicon Valley Bank (“SVB”). The proceeds were used for general corporate and working capital purposes. Concurrent with the Term Loan, the Company issued SVB warrants to purchase 70,000 shares of the Company’s Series A preferred stock at an exercise price of $1.19 (Note 3). As of December 31, 2019 and September 30, 2020 (unaudited), the Company had $10.0 million in principal outstanding under the Term Loan.</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Term Loan is governed by a loan and security agreement, dated February 8, 2019, between the Company and SVB (the “SVB Loan Agreement”). The SVB Loan Agreement provided for two separate tranches under which the Company could borrow. The first tranche for $7,500,000 was available as single term loan advance until January 31, 2020. The second tranche was also available until January 31, 2020, as single term loan advance for $2,500,000, and required that the Company meet a certain milestone event. On April 18, 2019, the Company borrowed $7,500,000 under the first tranche and on December 17, 2019, the Company borrowed $2,500,000 under the second tranche having satisfied the milestone requirement.</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Term Loan initially matured on July 1, 2022 and accrues interest at a floating rate per annum equal to the greater of 3.75% or the prime rate minus 1.5% (3.25% as of December 31, 2019). The Term Loan initially provided for monthly interest-only payments until July 31, 2020. Thereafter, payments are payable in equal monthly installments of principal, plus all accrued and unpaid interest. The Company may prepay the Term Loan in whole upon 5 days’ prior written notice to SVB. Any such prepayment of the Term Loan is subject to a prepayment charge as follows: for a prepayment made on or prior to February 8, 2020, 2.0% of the then outstanding principal amount; for a prepayment made after February 8, 2020, but on or prior to February 8, 2021, 1.0% of the then outstanding principal amount; and for a prepayment made after February 8, 2021 but prior to the loan maturity date, 0.5% of the then outstanding principal balance. Amounts outstanding during an event of default are payable upon SVB’s demand and will accrue interest at an additional rate of 5.0% per annum of the past due amount outstanding.</w:t>
      </w:r>
    </w:p>
    <w:p>
      <w:pPr>
        <w:spacing w:after="0" w:line="11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April 7, 2020, the Company entered into a deferral agreement with Silicon Valley Bank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is deferred until February 2021. The required monthly interest-only payment was not impacted by the deferral. The term loan’s new maturity date is January 1, 2023. After considering the debt guidance in ASC 470, the Company concluded that it did not meet the indicators of a trouble debt restructuring and accounted for the deferral of principal payment as a debt modification. Since there were no fees paid to SVB in connection with the deferral agreement, the modification had no impact to the Company’s financial statements.</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December 31, 2019 and September 30, 2020 (unaudited), the Company accrued $104 thousand and $200 thousand, respectively, related to the end of term charge, which has been classified as other long-term liabilities.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0" w:name="page281"/>
    <w:bookmarkEnd w:id="2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6. Term loan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December 31, 2019.</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2019, scheduled principal payments for the Term Loan are as follows (in thousands):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1"/>
                <w:szCs w:val="21"/>
                <w:color w:val="auto"/>
              </w:rPr>
            </w:pP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principal</w:t>
            </w:r>
          </w:p>
        </w:tc>
        <w:tc>
          <w:tcPr>
            <w:tcW w:w="3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discounts</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r>
      <w:tr>
        <w:trPr>
          <w:trHeight w:val="22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w:t>
            </w:r>
          </w:p>
        </w:tc>
      </w:tr>
      <w:tr>
        <w:trPr>
          <w:trHeight w:val="24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Interest expense for the years ended December 31, 2018 and 2019 and for the nine months ended September 30, 2019 and 2020 (unaudited) was approximately $0 thousand, $350 thousand, $218 thousand and $407 thousand,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Convertible promissory notes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August 21, 2020, the Company entered into a purchase agreement with various investors to issue $14,000,000 in convertible promissory notes (the “Notes”). The Notes accrue simple interest at 8% per annum and mature on February 21, 2021. If the Notes remain outstanding at the maturity date, the principal and unpaid interest of the Notes will automatically be converted into Series B Preferred Stock at $1.3513 per share on the maturity date. The Company determined that a beneficial conversion feature (“BCF”) exists and should be recognized on the issuance date. The Company recorded the Notes at the original issuance price, net of the BCF discount. The BCF discount will be accreted to the face value of the Notes over the period from the issuance date until the maturity date, offset against interest expense.</w:t>
      </w:r>
    </w:p>
    <w:p>
      <w:pPr>
        <w:spacing w:after="0" w:line="12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Notes served as a bridge loan prior to a PIPE transaction in connection with the proposed merger of the Company and FS Development Corp.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2020, the carrying value of the Notes is as follows: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 (beneficial conversion feature)</w:t>
            </w:r>
          </w:p>
        </w:tc>
        <w:tc>
          <w:tcPr>
            <w:tcW w:w="3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(6,400)</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5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(7,600)</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(unaudited), the Company recognized interest expense of $1.9 million, of which $123 thousand is included in accrued expenses and other current liabilities in the accompanying balance sheet as of September 30, 2020 (unaudited).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1" w:name="page282"/>
    <w:bookmarkEnd w:id="2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Convertible preferred stock</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of December 31, 2019 and September 30, 2020 (unaudited), the Company’s Certificate of Incorporation, as amended and restated, designated 76,723,489 authorized shares to be issued as convertible preferred stock with a par value of $0.001 per share, of which 39,722,088 shares have been further designated as Series A convertible preferred stock (the “Series A Preferred Stock”) and 37,001,401 shares have been further designated as Series B convertible preferred stock (the “Series B Preferred Stock”).</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holders of Series A Preferred Stock and Series B Preferred Stock (collectively, the “Preferred Stock”) have liquidation rights in the event of a deemed liquidation that, in certain situations, are not solely within the control of the Company. Therefore, Preferred Stock is classified outside of stockholders’ deficit.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financing</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May 24, 2017, the Company issued and sold 10,084,035 shares of Series A Preferred Stock at a price of $1.19 per share for gross proceeds of $12.0 million. The sale of shares of Series A Preferred Stock met the definition of a qualified equity financing, which triggered the automatic conversion of the Company’s outstanding notes payable plus accrued interest into 4,007,802 shares of Series A Preferred Stock.</w:t>
      </w:r>
    </w:p>
    <w:p>
      <w:pPr>
        <w:spacing w:after="0" w:line="99"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Series A Preferred Stock financing included a provision for two subsequent closings. A second closing for an additional 9,243,696 shares of Series A Preferred Stock at a price of $1.19 in exchange for gross proceeds of $11.0 million and a third closing for an additional 16,386,555 shares of Series A Preferred Stock at a price of $1.19 per share in exchange for gross proceeds of $19.5 million. The Company determined that these tranche rights do not meet the definition of a freestanding financial instrument and do not require bifurcation.</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second closing occurred on March 30, 2018 for the issuance of 9,243,696 shares of Series A Preferred Stock. The third closing occurred on November 2, 2018 for the issuance of 16,386,555 shares of Series A Preferred Stock.</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September 26, 2019, the Company issued 9,916,375 shares of Series B Preferred Stock at a purchase price of $1.3513 per share for gross proceeds in the amount of $13.4 million.</w:t>
      </w:r>
    </w:p>
    <w:p>
      <w:pPr>
        <w:spacing w:after="0" w:line="81"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issuance of the Series B Preferred Stock resulted in changes to certain terms of the Series A Preferred Stock, primarily to align the rights of all preferred stockholders upon declaration of a dividend. The Company concluded such changes lacked sufficient significance and therefore were consistent with a modification rather than an extinguishment. These changes were administrative in nature and not consequential, with no change in the underlying value of the shares. Since the Company concluded there was no incremental value associated with the modification, there was no impact to the accounting for the Series A Preferred Stock.</w:t>
      </w:r>
    </w:p>
    <w:p>
      <w:pPr>
        <w:spacing w:after="0" w:line="120"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Series B Preferred Stock financing included a provision for the issuance of an additional 14,874,563 shares of Series B Preferred Stock at a price of $1.3513 per share in exchange for gross proceeds of $20.1 million. Consistent with the accounting considerations for the Series A tranche right, the Company determined that the Series B tranche right did not meet the definition of a freestanding financial instrument and does not require bifurcation. The second closing occurred on January 21, 2020, during which the Company issued 14,874,563 shares of Series B preferred stock at a price of $1.3513 per share in exchange for net proceeds of $20.1 million.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2" w:name="page283"/>
    <w:bookmarkEnd w:id="2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Convertible preferred stock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each balance sheet date, the Preferred Stock consisted of the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 issued</w:t>
            </w: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80" w:type="dxa"/>
            <w:vAlign w:val="bottom"/>
          </w:tcPr>
          <w:p>
            <w:pPr>
              <w:spacing w:after="0"/>
              <w:rPr>
                <w:sz w:val="17"/>
                <w:szCs w:val="17"/>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outstanding</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r>
      <w:tr>
        <w:trPr>
          <w:trHeight w:val="47"/>
        </w:trPr>
        <w:tc>
          <w:tcPr>
            <w:tcW w:w="29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63"/>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0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39,722,088</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39,722,088</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47,113</w:t>
            </w: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47,269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369"/>
        </w:trPr>
        <w:tc>
          <w:tcPr>
            <w:tcW w:w="2900" w:type="dxa"/>
            <w:vAlign w:val="bottom"/>
          </w:tcPr>
          <w:p>
            <w:pPr>
              <w:spacing w:after="0"/>
              <w:rPr>
                <w:sz w:val="24"/>
                <w:szCs w:val="24"/>
                <w:color w:val="auto"/>
              </w:rPr>
            </w:pPr>
          </w:p>
        </w:tc>
        <w:tc>
          <w:tcPr>
            <w:tcW w:w="9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issued</w:t>
            </w:r>
          </w:p>
        </w:tc>
        <w:tc>
          <w:tcPr>
            <w:tcW w:w="120" w:type="dxa"/>
            <w:vAlign w:val="bottom"/>
          </w:tcPr>
          <w:p>
            <w:pPr>
              <w:spacing w:after="0"/>
              <w:rPr>
                <w:sz w:val="24"/>
                <w:szCs w:val="24"/>
                <w:color w:val="auto"/>
              </w:rPr>
            </w:pP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outstanding</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r>
      <w:tr>
        <w:trPr>
          <w:trHeight w:val="46"/>
        </w:trPr>
        <w:tc>
          <w:tcPr>
            <w:tcW w:w="29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2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60" w:type="dxa"/>
            <w:vAlign w:val="bottom"/>
            <w:gridSpan w:val="2"/>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44"/>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90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39,722,088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37,001,401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9,916,375</w:t>
            </w: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13,252</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w:t>
            </w:r>
          </w:p>
        </w:tc>
      </w:tr>
      <w:tr>
        <w:trPr>
          <w:trHeight w:val="27"/>
        </w:trPr>
        <w:tc>
          <w:tcPr>
            <w:tcW w:w="2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3"/>
        </w:trPr>
        <w:tc>
          <w:tcPr>
            <w:tcW w:w="29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76,723,489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49,638,463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60,365</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60,669</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349"/>
        </w:trPr>
        <w:tc>
          <w:tcPr>
            <w:tcW w:w="2900" w:type="dxa"/>
            <w:vAlign w:val="bottom"/>
          </w:tcPr>
          <w:p>
            <w:pPr>
              <w:spacing w:after="0"/>
              <w:rPr>
                <w:sz w:val="24"/>
                <w:szCs w:val="24"/>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 issued</w:t>
            </w: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80" w:type="dxa"/>
            <w:vAlign w:val="bottom"/>
          </w:tcPr>
          <w:p>
            <w:pPr>
              <w:spacing w:after="0"/>
              <w:rPr>
                <w:sz w:val="24"/>
                <w:szCs w:val="24"/>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2020 (unaudited)</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outstanding</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r>
      <w:tr>
        <w:trPr>
          <w:trHeight w:val="47"/>
        </w:trPr>
        <w:tc>
          <w:tcPr>
            <w:tcW w:w="29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2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60" w:type="dxa"/>
            <w:vAlign w:val="bottom"/>
            <w:gridSpan w:val="2"/>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4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90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39,722,088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37,001,401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24,790,938</w:t>
            </w: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33,336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w:t>
            </w:r>
          </w:p>
        </w:tc>
      </w:tr>
      <w:tr>
        <w:trPr>
          <w:trHeight w:val="27"/>
        </w:trPr>
        <w:tc>
          <w:tcPr>
            <w:tcW w:w="2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3"/>
        </w:trPr>
        <w:tc>
          <w:tcPr>
            <w:tcW w:w="29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76,723,489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64,513,026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80,449</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80,769</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holders of the Preferred Stock have the following rights and preferences: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holders of Preferred Stock are entitled to vote, together with the holders of common stock, on all matters submitted to stockholders for a vote. Each holder of outstanding shares of Preferred Stock shall be entitled to cast the number of votes equal to the number of shares of common stock into which the shares of Preferred Stock held by such holder are convertible at the time of such vote. Except as provided by law or by the other provisions of the Amended and Restated Certificate of Incorporation, holders of Preferred Stock vote together with the holders of common stock as a single class.</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holders of record of the shares of Series B Preferred Stock, exclusively and as a separate class, are entitled to elect two directors of the Company (the “Series B Directors”); the holders of record of the shares of Series A Preferred Stock, exclusively and as a separate class, are entitled to elect three directors of the Company (the “Series A Directors” and together with the Series B Directors, the “Preferred Directors”).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share of Preferred Stock shall be convertible, at the option of the holder, at any time and from time to time, and without the payment of additional consideration by the holder thereof, into such number of fully paid and non-assessable shares of common stock as is determined by dividing the original issue price by the conversion price (as defined below) in effect at the time of conversion.</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Series A original issue price and Series A conversion price were equal to $1.19 as of December 31, 2018 and 2019 and September 30, 2020 (unaudited). The Series B original issue price and Series B conversion price were equal to $1.3513 as of December 31, 2019 and September 30, 2020 (unaudited). Such Series A and Series B original issue prices and Series A and Series B conversion prices, the rate at which each series of Preferred Stock may be converted into common stock, are subject to adjustment from time to time to reflect future stock dividends, splits, combinations, recapitalizations and similar events. As of December 31, 2018 and 2019 and September 30, 2020 (unaudited), each share of Series A Preferred Stock was convertible into one share of common stock. As of December 31, 2019 and September 30, 2020 (unaudited), each share of Series B Preferred Stock was convertible into one share of common stock.</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Upon either (a) the closing of the sale of shares of common stock to the public in a firm-commitment underwritten public offering pursuant to an effective registration statement under the Securities Act resulting in at least $50.0 million of gross proceeds to the Company and a per share price of $4.05 per share, or (b) the vote or written consent of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3" w:name="page284"/>
    <w:bookmarkEnd w:id="2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Convertible preferred stock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holders of a majority in voting power of the then outstanding shares of the Series B Preferred Stock, voting as a single class, then (i) all outstanding shares of Preferred Stock shall automatically be converted into shares of common stock, at the then effective conversion rate and (ii) such shares may not be reissued by the Company.</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holders of the Preferred Stock are entitled to receive noncumulative dividends when in preference to any dividend on common stock at the rate of eight percent (8%) of the applicable original purchase price per annum, if and as declared by Company’s board of directors. The Company may not declare, pay or set aside any dividends on any other class or series of stock of the Company, other than dividends on common stock payable in common stock, unless the holders of the Preferred Stock first receive, or simultaneously receive, a dividend on each outstanding Preferred Stock in an amount at least equal to (a) in the case of a dividend on any class of common stock or any class or series that is convertible into common stock, that dividend per Preferred Stock as would equal the product of (i) the dividend payable on each share of such class or series determined, if applicable, as if all shares of such class or series had been converted into common stock and (ii) the number of common stock issuable upon conversion of a stock the applicable series of preferred stock, or (b) in the case of a dividend on any class or series that is not convertible into common stock, at a rate per Preferred Stock determined by (i) dividing the amount of the dividend payable on each share of such class or series of stock by the original issue price of such class or series (subject to appropriate adjustment in the event of any stock dividend, stock split, combination of or other similar recapitalization with respect to such class or series) and</w:t>
      </w:r>
    </w:p>
    <w:p>
      <w:pPr>
        <w:spacing w:after="0" w:line="12" w:lineRule="exact"/>
        <w:rPr>
          <w:sz w:val="20"/>
          <w:szCs w:val="20"/>
          <w:color w:val="auto"/>
        </w:rPr>
      </w:pPr>
    </w:p>
    <w:p>
      <w:pPr>
        <w:jc w:val="both"/>
        <w:ind w:left="460" w:right="459" w:hanging="6"/>
        <w:spacing w:after="0" w:line="255" w:lineRule="auto"/>
        <w:tabs>
          <w:tab w:leader="none" w:pos="73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multiplying such fraction by an amount equal to the applicable Series A or Series B original issue price. No cash dividends were declared or paid during the years ended December 31, 2018 or 2019 or the nine months ended September 30, 2020 (unaudited).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4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the event of any liquidation, dissolution, winding up of the Company, each holder of a share of Series B Preferred Stock and Series A Preferred Stock shall be entitled to receive, prior and in preference to any distribution of any of the assets or surplus funds of the Company to the holders of common stock, an amount equal to an issuance price of $1.3513 to the holders of Series B Preferred Stock and $1.19 to the holders of Series A Preferred Stock, respectively, plus any declared but unpaid dividends.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remaining proceeds are then payable to the holders of the Series B Preferred Stock and Series A Preferred Stock together with holders of common stock, however, that if the aggregate amount which the holders of Series B Preferred Stock and Series A Preferred Stock are entitled to receive under this provision and their amounts received exceed $2.7026 per share and $2.17 per share, respectively, each holder of Series B Preferred Stock and Series A Preferred Stock shall be entitled to receive upon such any liquidation, dissolution or winding up of the Company or Deemed Liquidation Event the greater of (i) $2.7026 and $2.17 per share, respectively or</w:t>
      </w:r>
    </w:p>
    <w:p>
      <w:pPr>
        <w:spacing w:after="0" w:line="5" w:lineRule="exact"/>
        <w:rPr>
          <w:sz w:val="20"/>
          <w:szCs w:val="20"/>
          <w:color w:val="auto"/>
        </w:rPr>
      </w:pPr>
    </w:p>
    <w:p>
      <w:pPr>
        <w:jc w:val="both"/>
        <w:ind w:left="460" w:right="459" w:hanging="6"/>
        <w:spacing w:after="0" w:line="255" w:lineRule="auto"/>
        <w:tabs>
          <w:tab w:leader="none" w:pos="72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such holder would have received if all shares of Series B Preferred Stock and Series A Preferred Stock had been converted to common stock immediately prior to such liquidation, dissolution or winding up of the Company or Deemed Liquidation Event.</w:t>
      </w:r>
    </w:p>
    <w:p>
      <w:pPr>
        <w:spacing w:after="0" w:line="11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Unless a majority of the holders of the then outstanding Preferred Stock, on an as-if-converted to common stock basis, which majority must include the holders of at least a majority of the outstanding shares of Series B Preferred Stock, voting together as a separate class, elect otherwise, a deemed liquidation event shall include a merger or consolidation (other than one in which stockholders of the Company own a majority by voting power of the outstanding shares of the surviving or acquiring company or corporation) or a sale, lease, transfer, exclusive license or other disposition of all or substantially all of the assets of the Company.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4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does not provide redemption rights to the holders of Preferred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4" w:name="page285"/>
    <w:bookmarkEnd w:id="2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Convertible preferred stock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holders of shares of Preferred Stock have liquidation rights in the event of a deemed liquidation that, in certain situations, are not solely within the control of the Company. Therefore, the Preferred Stock is classified outside of stockholders’ deficit.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As of December 31, 2018, the Amended and Restated Certificate of Incorporation authorized the Company to issue 55,000,000 shares of common stock with a par value of $0.001. As of December 31, 2019 and September 30, 2020 (unaudited), the Amended and Restated Certificate of Incorporation authorized the Company to issue 95,000,000 shares of common stock with a par value of $0.001. The voting, dividend and liquidation rights of the holders of the Company’s common stock are subject to and qualified by the rights, powers and preferences of the holders of the Preferred Stock as described above.</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had reserved 50,031,845 shares and 89,686,234 shares as of December 31, 2018 and 2019, respectively, and 89,370,870 shares as of September 30, 2020 (unaudited), of common stock for the conversion of outstanding shares of Preferred Stock (see Note 8), the exercise of outstanding stock options, the number of shares remaining available for grant under the Company’s 2017 Equity Incentive Plan (see Note 10) and the exercise of the outstanding warrants to purchase shares of Series A Preferred Stock (see Note 3), assuming all warrants to purchase shares of Series A Preferred Stock became warrants to purchase shares of common stock at the applicable conversion ratio.</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Common stockholders are entitled to receive dividends, as may be declared by the board of directors. These dividends are subject to the preferential dividend rights of the holders of Preferred Stock. When dividends are declared on shares of common stock, the Company must declare at the same time a dividend payable to the holders of Preferred Stock equivalent to the dividend amount they would receive if each share of Preferred Stock was converted into common stock. The Company may not pay dividends to common stockholders until all dividends declared but unpaid on the Preferred Stock have been paid in full. No cash dividends were declared or paid during the years ended December 31, 2018 or 2019 or the nine months ended September 30, 2020 (unaudited).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Equity incentive plan</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Company’s 2017 Stock Option and Grant Plan, as amended (the “2017 Plan”), provides for the Company to grant qualified incentive options, nonqualified options, stock grants and other stock-based awards to employees and non-employees to purchase the Company’s common stock. The 2017 Plan is administered by the board of directors, or at the discretion of the board of directors, by a committee of the board of directors.</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2017 Plan was 7,898,675 shares as of December 31, 2018. The total number of shares of common stock that may be issued under the 2017 Plan was 11,834,437 as of December 31, 2019 and September 30, 2020 (unaudited), of which 3,789,697 and 4,089,779 shares remained available for future grant as of December 31, 2019 and September 30, 2020 (unaudited), respectively.</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exercise price for incentive options is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5" w:name="page286"/>
    <w:bookmarkEnd w:id="2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Equity incentive plan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is determined at the discretion of the board of directors, which is generally four years. For awards granted to employees and non-employees with four-year vesting terms, 25% of the option vests on the first anniversary of the grant date and the remaining stock vest equally each month for three years thereafter.</w:t>
      </w:r>
    </w:p>
    <w:p>
      <w:pPr>
        <w:spacing w:after="0" w:line="12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Shares that are expired, terminated, surrendered or canceled under the 2017 Plan without having been fully exercised will be available for future awards.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Option valuation</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fair value of the stock options granted to employees and non-employees was as follows: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2600" w:type="dxa"/>
            <w:vAlign w:val="bottom"/>
            <w:gridSpan w:val="4"/>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040" w:type="dxa"/>
            <w:vAlign w:val="bottom"/>
          </w:tcPr>
          <w:p>
            <w:pPr>
              <w:spacing w:after="0"/>
              <w:rPr>
                <w:sz w:val="18"/>
                <w:szCs w:val="18"/>
                <w:color w:val="auto"/>
              </w:rPr>
            </w:pPr>
          </w:p>
        </w:tc>
        <w:tc>
          <w:tcPr>
            <w:tcW w:w="2600" w:type="dxa"/>
            <w:vAlign w:val="bottom"/>
            <w:gridSpan w:val="4"/>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720" w:type="dxa"/>
            <w:vAlign w:val="bottom"/>
          </w:tcPr>
          <w:p>
            <w:pPr>
              <w:jc w:val="center"/>
              <w:ind w:left="6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Pr>
          <w:p>
            <w:pPr>
              <w:spacing w:after="0"/>
              <w:rPr>
                <w:sz w:val="18"/>
                <w:szCs w:val="18"/>
                <w:color w:val="auto"/>
              </w:rPr>
            </w:pPr>
          </w:p>
        </w:tc>
      </w:tr>
      <w:tr>
        <w:trPr>
          <w:trHeight w:val="46"/>
        </w:trPr>
        <w:tc>
          <w:tcPr>
            <w:tcW w:w="304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31"/>
        </w:trPr>
        <w:tc>
          <w:tcPr>
            <w:tcW w:w="3040" w:type="dxa"/>
            <w:vAlign w:val="bottom"/>
          </w:tcPr>
          <w:p>
            <w:pPr>
              <w:spacing w:after="0"/>
              <w:rPr>
                <w:sz w:val="20"/>
                <w:szCs w:val="20"/>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20"/>
                <w:szCs w:val="20"/>
                <w:color w:val="auto"/>
              </w:rPr>
            </w:pPr>
          </w:p>
        </w:tc>
        <w:tc>
          <w:tcPr>
            <w:tcW w:w="12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720" w:type="dxa"/>
            <w:vAlign w:val="bottom"/>
          </w:tcPr>
          <w:p>
            <w:pPr>
              <w:jc w:val="right"/>
              <w:ind w:right="8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7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7"/>
        </w:trPr>
        <w:tc>
          <w:tcPr>
            <w:tcW w:w="304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31"/>
        </w:trPr>
        <w:tc>
          <w:tcPr>
            <w:tcW w:w="3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center"/>
              <w:ind w:left="635"/>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740" w:type="dxa"/>
            <w:vAlign w:val="bottom"/>
          </w:tcPr>
          <w:p>
            <w:pPr>
              <w:spacing w:after="0"/>
              <w:rPr>
                <w:sz w:val="20"/>
                <w:szCs w:val="20"/>
                <w:color w:val="auto"/>
              </w:rPr>
            </w:pPr>
          </w:p>
        </w:tc>
      </w:tr>
      <w:tr>
        <w:trPr>
          <w:trHeight w:val="46"/>
        </w:trPr>
        <w:tc>
          <w:tcPr>
            <w:tcW w:w="3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 – 3.0%</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 – 2.4%</w:t>
            </w:r>
          </w:p>
        </w:tc>
        <w:tc>
          <w:tcPr>
            <w:tcW w:w="172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1.5% – 2.4%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4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5.6 – 6.3 years</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 – 6.25 years</w:t>
            </w:r>
          </w:p>
        </w:tc>
        <w:tc>
          <w:tcPr>
            <w:tcW w:w="17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6.0 – 6.1 years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years</w:t>
            </w:r>
          </w:p>
        </w:tc>
      </w:tr>
      <w:tr>
        <w:trPr>
          <w:trHeight w:val="40"/>
        </w:trPr>
        <w:tc>
          <w:tcPr>
            <w:tcW w:w="3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 – 75%</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 – 77%</w:t>
            </w:r>
          </w:p>
        </w:tc>
        <w:tc>
          <w:tcPr>
            <w:tcW w:w="172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74% – 77%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Through September 30, 2020, all options granted by the Company under the 2017 Plan were for the purchase of shares of common stock. The following table summarizes option activity under the 2017 Plan since December 31, 2018 (in thousands, except share and per share amounts):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00" w:type="dxa"/>
            <w:vAlign w:val="bottom"/>
          </w:tcPr>
          <w:p>
            <w:pPr>
              <w:spacing w:after="0"/>
              <w:rPr>
                <w:sz w:val="17"/>
                <w:szCs w:val="17"/>
                <w:color w:val="auto"/>
              </w:rPr>
            </w:pPr>
          </w:p>
        </w:tc>
        <w:tc>
          <w:tcPr>
            <w:tcW w:w="7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2"/>
        </w:trPr>
        <w:tc>
          <w:tcPr>
            <w:tcW w:w="4400" w:type="dxa"/>
            <w:vAlign w:val="bottom"/>
          </w:tcPr>
          <w:p>
            <w:pPr>
              <w:spacing w:after="0"/>
              <w:rPr>
                <w:sz w:val="18"/>
                <w:szCs w:val="18"/>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6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term</w:t>
            </w:r>
          </w:p>
        </w:tc>
        <w:tc>
          <w:tcPr>
            <w:tcW w:w="100" w:type="dxa"/>
            <w:vAlign w:val="bottom"/>
          </w:tcPr>
          <w:p>
            <w:pPr>
              <w:spacing w:after="0"/>
              <w:rPr>
                <w:sz w:val="18"/>
                <w:szCs w:val="18"/>
                <w:color w:val="auto"/>
              </w:rPr>
            </w:pPr>
          </w:p>
        </w:tc>
        <w:tc>
          <w:tcPr>
            <w:tcW w:w="7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6,782,422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0.24</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4,802,164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(80,118)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0.29</w:t>
            </w: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(2,964,150)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0.32</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8,540,318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0.34</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1,182,200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0.55</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(116,239)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0.19</w:t>
            </w: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(1,482,282)</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0.33</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2020 (unaudited)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8,123,997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0.38</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at December 31, 2019</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c>
          <w:tcPr>
            <w:tcW w:w="98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2,179,020</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Options vested and exercisable at September 30, 2020</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(unaudited)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3,223,460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0" w:type="dxa"/>
            <w:vAlign w:val="bottom"/>
          </w:tcPr>
          <w:p>
            <w:pPr>
              <w:spacing w:after="0"/>
              <w:rPr>
                <w:sz w:val="1"/>
                <w:szCs w:val="1"/>
                <w:color w:val="auto"/>
              </w:rPr>
            </w:pPr>
          </w:p>
        </w:tc>
      </w:tr>
      <w:tr>
        <w:trPr>
          <w:trHeight w:val="40"/>
        </w:trPr>
        <w:tc>
          <w:tcPr>
            <w:tcW w:w="44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6" w:name="page287"/>
    <w:bookmarkEnd w:id="2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Equity incentive plan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intrinsic value of options exercised during the years ended December 31, 2018 and 2019 and the nine months ended September 30, 2019 and 2020 (unaudited) was $4 thousand, $11 thousand, $10 thousand and $54 thousand, respectively.</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per share of options granted during the years ended December 31, 2018 and 2019 and the nine months ended September 30, 2019 and 2020 (unaudited) was $0.22, $0.30, $0.27 and $0.37, respectively.</w:t>
      </w:r>
    </w:p>
    <w:p>
      <w:pPr>
        <w:spacing w:after="0" w:line="9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total fair value of options vested during the years ended December 31, 2018 and 2019 and the nine months ended September 30, 2019 and 2020 (unaudited) was $190 thousand, $352 thousand, $318 thousand and $379 thousand,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Under terms of the restricted stock agreements covering the common stock, shares of restricted common stock are subject to a vesting schedule. The restricted stock vests over a four-year period during which time all unvested stock will immediately be forfeited to the Company if the relationship between the recipient and the Company ceases. Subject to the continued employment (or other engagement of the recipient by the Company as described in the restricted stock agreements), all shares of restricted common stock become fully vested within four years of the vesting commencement date.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activity since December 31, 2018:</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2"/>
        </w:trPr>
        <w:tc>
          <w:tcPr>
            <w:tcW w:w="56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47"/>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694,150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(265,493)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428,657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(199,125)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September 30, 2020 (unaudited)</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229,532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aggregate fair value of restricted stock that vested during the years ended December 31, 2018 and 2019 and the nine months ended September 30, 2019 and 2020 (unaudited) was $108 thousand, $125 thousand, $94 thousand and $331 thousand, respectively.</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for restricted stock of $32 thousand, $30 thousand, $22 thousand and $22 thousand, during the years ended December 31, 2018 and 2019 and the nine months ended September 30, 2019 and 2020 (unaudited),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7" w:name="page288"/>
    <w:bookmarkEnd w:id="2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Equity incentive plan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option awards</w:t>
      </w:r>
    </w:p>
    <w:p>
      <w:pPr>
        <w:spacing w:after="0" w:line="148" w:lineRule="exact"/>
        <w:rPr>
          <w:sz w:val="20"/>
          <w:szCs w:val="20"/>
          <w:color w:val="auto"/>
        </w:rPr>
      </w:pPr>
    </w:p>
    <w:p>
      <w:pPr>
        <w:ind w:left="460" w:right="479"/>
        <w:spacing w:after="0" w:line="261" w:lineRule="auto"/>
        <w:rPr>
          <w:sz w:val="20"/>
          <w:szCs w:val="20"/>
          <w:color w:val="auto"/>
        </w:rPr>
      </w:pPr>
      <w:r>
        <w:rPr>
          <w:rFonts w:ascii="Times New Roman" w:cs="Times New Roman" w:eastAsia="Times New Roman" w:hAnsi="Times New Roman"/>
          <w:sz w:val="18"/>
          <w:szCs w:val="18"/>
          <w:color w:val="auto"/>
        </w:rPr>
        <w:t>The Company granted options to purchase 200,000 shares of common stock to scientific founders that contain a combination of service- and performance-based vesting conditions based on (i) IND submission and</w:t>
      </w:r>
    </w:p>
    <w:p>
      <w:pPr>
        <w:jc w:val="both"/>
        <w:ind w:left="460" w:right="459" w:hanging="6"/>
        <w:spacing w:after="0" w:line="252" w:lineRule="auto"/>
        <w:tabs>
          <w:tab w:leader="none" w:pos="75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completion of a Phase I clinical study. During the year ended December 31, 2019, fifty percent of the options vested because of the successful submission of the Company’s first investigational drug and the implicit service condition was met. The related stock-based compensation expense recognized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The Company believes the second performance criteria is probable of achievement and has recognized the related stock-based compensation expense over the implicit requisite service period. The related stock-based compensation expenses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of its statements of operations (in thousands):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3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gridSpan w:val="3"/>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4"/>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560" w:type="dxa"/>
            <w:vAlign w:val="bottom"/>
          </w:tcPr>
          <w:p>
            <w:pPr>
              <w:spacing w:after="0"/>
              <w:rPr>
                <w:sz w:val="18"/>
                <w:szCs w:val="18"/>
                <w:color w:val="auto"/>
              </w:rPr>
            </w:pPr>
          </w:p>
        </w:tc>
        <w:tc>
          <w:tcPr>
            <w:tcW w:w="1800" w:type="dxa"/>
            <w:vAlign w:val="bottom"/>
            <w:gridSpan w:val="4"/>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7"/>
        </w:trPr>
        <w:tc>
          <w:tcPr>
            <w:tcW w:w="35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31"/>
        </w:trPr>
        <w:tc>
          <w:tcPr>
            <w:tcW w:w="35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6"/>
        </w:trPr>
        <w:tc>
          <w:tcPr>
            <w:tcW w:w="35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31"/>
        </w:trPr>
        <w:tc>
          <w:tcPr>
            <w:tcW w:w="3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ind w:left="54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760" w:type="dxa"/>
            <w:vAlign w:val="bottom"/>
          </w:tcPr>
          <w:p>
            <w:pPr>
              <w:spacing w:after="0"/>
              <w:rPr>
                <w:sz w:val="20"/>
                <w:szCs w:val="20"/>
                <w:color w:val="auto"/>
              </w:rPr>
            </w:pPr>
          </w:p>
        </w:tc>
      </w:tr>
      <w:tr>
        <w:trPr>
          <w:trHeight w:val="47"/>
        </w:trPr>
        <w:tc>
          <w:tcPr>
            <w:tcW w:w="3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tcBorders>
              <w:bottom w:val="single" w:sz="8" w:color="CCEEFF"/>
            </w:tcBorders>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740" w:type="dxa"/>
            <w:vAlign w:val="bottom"/>
            <w:tcBorders>
              <w:bottom w:val="single" w:sz="8" w:color="CCEEFF"/>
            </w:tcBorders>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153</w:t>
            </w:r>
          </w:p>
        </w:tc>
        <w:tc>
          <w:tcPr>
            <w:tcW w:w="40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5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Pr>
          <w:p>
            <w:pPr>
              <w:spacing w:after="0"/>
              <w:rPr>
                <w:sz w:val="22"/>
                <w:szCs w:val="22"/>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740" w:type="dxa"/>
            <w:vAlign w:val="bottom"/>
          </w:tcPr>
          <w:p>
            <w:pPr>
              <w:spacing w:after="0"/>
              <w:rPr>
                <w:sz w:val="22"/>
                <w:szCs w:val="2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144</w:t>
            </w:r>
          </w:p>
        </w:tc>
        <w:tc>
          <w:tcPr>
            <w:tcW w:w="4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7"/>
        </w:trPr>
        <w:tc>
          <w:tcPr>
            <w:tcW w:w="35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4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w:t>
            </w:r>
          </w:p>
        </w:tc>
        <w:tc>
          <w:tcPr>
            <w:tcW w:w="7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297</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December 31, 2019 and September 30, 2020 (unaudited), total unrecognized compensation cost related to the unvested stock-based awards was $1.6 million and $1.4 million, respectively, which is expected to be recognized over a weighted average period of 3.3 and 2.9 years,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and 2019, the Company recorded no income tax benefit for the net operating losses incurred in each year, due its uncertainty of realizing a benefit from those items and recorded a full valuation allowance on its net deferred tax assets.</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computed using the statutory federal tax rate to that reflected in operations as of December 31, 2018 and 2019 are as follows:</w:t>
      </w:r>
    </w:p>
    <w:p>
      <w:pPr>
        <w:spacing w:after="0" w:line="12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41275</wp:posOffset>
            </wp:positionV>
            <wp:extent cx="156845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298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8"/>
                <w:szCs w:val="18"/>
                <w:color w:val="auto"/>
              </w:rPr>
            </w:pPr>
          </w:p>
        </w:tc>
      </w:tr>
      <w:tr>
        <w:trPr>
          <w:trHeight w:val="47"/>
        </w:trPr>
        <w:tc>
          <w:tcPr>
            <w:tcW w:w="3560" w:type="dxa"/>
            <w:vAlign w:val="bottom"/>
            <w:tcBorders>
              <w:bottom w:val="single" w:sz="8" w:color="CCEEFF"/>
            </w:tcBorders>
          </w:tcPr>
          <w:p>
            <w:pPr>
              <w:spacing w:after="0"/>
              <w:rPr>
                <w:sz w:val="4"/>
                <w:szCs w:val="4"/>
                <w:color w:val="auto"/>
              </w:rPr>
            </w:pPr>
          </w:p>
        </w:tc>
        <w:tc>
          <w:tcPr>
            <w:tcW w:w="20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20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local taxes, net of federal benefit</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0"/>
        </w:trPr>
        <w:tc>
          <w:tcPr>
            <w:tcW w:w="3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4"/>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41"/>
        </w:trPr>
        <w:tc>
          <w:tcPr>
            <w:tcW w:w="3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84"/>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6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2"/>
        </w:trPr>
        <w:tc>
          <w:tcPr>
            <w:tcW w:w="35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F-56</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88" w:name="page289"/>
    <w:bookmarkEnd w:id="2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Income taxes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were as follows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7"/>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4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31"/>
        </w:trPr>
        <w:tc>
          <w:tcPr>
            <w:tcW w:w="4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
        </w:trPr>
        <w:tc>
          <w:tcPr>
            <w:tcW w:w="422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7,256</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18,078</w:t>
            </w:r>
          </w:p>
        </w:tc>
      </w:tr>
      <w:tr>
        <w:trPr>
          <w:trHeight w:val="41"/>
        </w:trPr>
        <w:tc>
          <w:tcPr>
            <w:tcW w:w="4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739</w:t>
            </w:r>
          </w:p>
        </w:tc>
      </w:tr>
      <w:tr>
        <w:trPr>
          <w:trHeight w:val="27"/>
        </w:trPr>
        <w:tc>
          <w:tcPr>
            <w:tcW w:w="42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8,157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21,476</w:t>
            </w:r>
          </w:p>
        </w:tc>
      </w:tr>
      <w:tr>
        <w:trPr>
          <w:trHeight w:val="23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5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
        </w:trPr>
        <w:tc>
          <w:tcPr>
            <w:tcW w:w="4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2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r>
      <w:tr>
        <w:trPr>
          <w:trHeight w:val="22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21,467</w:t>
            </w:r>
          </w:p>
        </w:tc>
        <w:tc>
          <w:tcPr>
            <w:tcW w:w="140" w:type="dxa"/>
            <w:vAlign w:val="bottom"/>
            <w:gridSpan w:val="2"/>
          </w:tcPr>
          <w:p>
            <w:pPr>
              <w:spacing w:after="0"/>
              <w:rPr>
                <w:sz w:val="19"/>
                <w:szCs w:val="19"/>
                <w:color w:val="auto"/>
              </w:rPr>
            </w:pPr>
          </w:p>
        </w:tc>
      </w:tr>
      <w:tr>
        <w:trPr>
          <w:trHeight w:val="36"/>
        </w:trPr>
        <w:tc>
          <w:tcPr>
            <w:tcW w:w="4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5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(8,114)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(21,467)</w:t>
            </w:r>
          </w:p>
        </w:tc>
      </w:tr>
      <w:tr>
        <w:trPr>
          <w:trHeight w:val="24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56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1"/>
                <w:szCs w:val="21"/>
                <w:color w:val="auto"/>
              </w:rPr>
            </w:pPr>
          </w:p>
        </w:tc>
      </w:tr>
      <w:tr>
        <w:trPr>
          <w:trHeight w:val="20"/>
        </w:trPr>
        <w:tc>
          <w:tcPr>
            <w:tcW w:w="4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December 31, 2018, the Company had federal net operating loss carryforwards of $7.6 million that are subject to expire at various dates through 2037, and net operating loss carryforwards of $19.0 million, which have no expiration date, can be carried forward indefinitely, and are limited to a deduction to 80% of annual taxable income. The Company has state tax net operating loss carryforwards of $26.5 million, which may be available to offset future income tax liabilities and expire at various dates through 2037. The Company also has federal and state research and development tax credit carryforwards of $0.4 million and $0.1 million, respectively, which expire at various dates through 2038.</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December 31, 2019, the Company had federal net operating loss carryforwards of $7.6 million that are subject to expire at various dates through 2037, and net operating loss carryforwards of $58.9 million, which have no expiration date, can be carried forward indefinitely, and are limited to a deduction to 80% of annual taxable income. The Company has state tax net operating loss carryforwards of $65.1 million, which may be available to offset future income tax liabilities and expire at various dates through 2039. The Company also has federal and state research and development tax credit carryforwards of $2.1 million and $0.7 million, respectively, which expire at various dates through 2039.</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Management believes that it is more likely than not that the Company’s deferred income tax assets will not be realized. As such, there is a full valuation allowance against the net deferred tax assets as of December 31, 2018 and 2019. The valuation allowance increased by $5.9 million during the year ended December 31, 2018 and $13.4 million during the year ended December 31, 2019 primarily as a result of net operating losses generated during the periods. The Company reevaluates the positive and negative evidence at each reporting period.</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Net operating loss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conducted a study to</w:t>
      </w:r>
    </w:p>
    <w:p>
      <w:pPr>
        <w:spacing w:after="0" w:line="1"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determine if any such changes have occurred that could limit its ability to use the net operating loss and tax credit carryforwards.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9" w:name="page290"/>
    <w:bookmarkEnd w:id="2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Income taxes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 study of research and development credit carryforwards, once undertaken by the Company, may result in an adjustment to its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 or statement of operations if an adjustment is required.</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 has not recorded any liabilities for unrecognized tax benefits as of December 31, 2018 and 2019. The Company will recognize interest and penalties related to uncertain tax positions in income tax expense. As of December 31, 2018 and 2019, the Company had no accrued interest or penalties related to uncertain tax positions.</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is subject to U.S. federal income tax and Massachusetts state income tax. The statute of limitations for assessment by the IRS and state tax authorities is open for the tax years since 2016; currently, no federal or state income tax returns are under examination by the respective taxing authorities. However, the federal and state tax returns are subject to tax examination from the year of formation to the present.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passed by the U.S. Congress and signed into law by the President of the U.S. The CARES Act, among other things, includes certain provisions for individuals and corporations; however, these benefits do not impact the company’s income tax provision.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(in thousands, except share and per share amounts):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6"/>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r>
      <w:tr>
        <w:trPr>
          <w:trHeight w:val="212"/>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 September 30,</w:t>
            </w:r>
          </w:p>
        </w:tc>
      </w:tr>
      <w:tr>
        <w:trPr>
          <w:trHeight w:val="47"/>
        </w:trPr>
        <w:tc>
          <w:tcPr>
            <w:tcW w:w="35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0"/>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r>
      <w:tr>
        <w:trPr>
          <w:trHeight w:val="46"/>
        </w:trPr>
        <w:tc>
          <w:tcPr>
            <w:tcW w:w="35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gridSpan w:val="5"/>
          </w:tcPr>
          <w:p>
            <w:pPr>
              <w:spacing w:after="0"/>
              <w:rPr>
                <w:sz w:val="4"/>
                <w:szCs w:val="4"/>
                <w:color w:val="auto"/>
              </w:rPr>
            </w:pPr>
          </w:p>
        </w:tc>
      </w:tr>
      <w:tr>
        <w:trPr>
          <w:trHeight w:val="230"/>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(unaudited)</w:t>
            </w:r>
          </w:p>
        </w:tc>
      </w:tr>
      <w:tr>
        <w:trPr>
          <w:trHeight w:val="47"/>
        </w:trPr>
        <w:tc>
          <w:tcPr>
            <w:tcW w:w="3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84"/>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(20,167)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(41,400)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(31,733)</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(26,522)</w:t>
            </w:r>
          </w:p>
        </w:tc>
      </w:tr>
      <w:tr>
        <w:trPr>
          <w:trHeight w:val="277"/>
        </w:trPr>
        <w:tc>
          <w:tcPr>
            <w:tcW w:w="3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8"/>
        </w:trPr>
        <w:tc>
          <w:tcPr>
            <w:tcW w:w="3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5"/>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4,811,641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5,171,537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5,133,773</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5,507,900</w:t>
            </w:r>
          </w:p>
        </w:tc>
      </w:tr>
      <w:tr>
        <w:trPr>
          <w:trHeight w:val="277"/>
        </w:trPr>
        <w:tc>
          <w:tcPr>
            <w:tcW w:w="3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8"/>
        </w:trPr>
        <w:tc>
          <w:tcPr>
            <w:tcW w:w="3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5"/>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Company’s unvested restricted common shares have been excluded from the computation of basic net loss per share attributable to common stockholders.</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options, unvested restricted stock, convertible preferred stock and warrants to purchase convertible preferred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0" w:name="page291"/>
    <w:bookmarkEnd w:id="2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Net loss per share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21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580" w:type="dxa"/>
            <w:vAlign w:val="bottom"/>
          </w:tcPr>
          <w:p>
            <w:pPr>
              <w:spacing w:after="0"/>
              <w:rPr>
                <w:sz w:val="18"/>
                <w:szCs w:val="18"/>
                <w:color w:val="auto"/>
              </w:rPr>
            </w:pPr>
          </w:p>
        </w:tc>
        <w:tc>
          <w:tcPr>
            <w:tcW w:w="21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6"/>
        </w:trPr>
        <w:tc>
          <w:tcPr>
            <w:tcW w:w="3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31"/>
        </w:trPr>
        <w:tc>
          <w:tcPr>
            <w:tcW w:w="3580" w:type="dxa"/>
            <w:vAlign w:val="bottom"/>
          </w:tcPr>
          <w:p>
            <w:pPr>
              <w:spacing w:after="0"/>
              <w:rPr>
                <w:sz w:val="20"/>
                <w:szCs w:val="20"/>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0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Pr>
          <w:p>
            <w:pPr>
              <w:spacing w:after="0"/>
              <w:rPr>
                <w:sz w:val="20"/>
                <w:szCs w:val="20"/>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3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auto"/>
            </w:tcBorders>
            <w:gridSpan w:val="3"/>
          </w:tcPr>
          <w:p>
            <w:pPr>
              <w:spacing w:after="0"/>
              <w:rPr>
                <w:sz w:val="4"/>
                <w:szCs w:val="4"/>
                <w:color w:val="auto"/>
              </w:rPr>
            </w:pPr>
          </w:p>
        </w:tc>
      </w:tr>
      <w:tr>
        <w:trPr>
          <w:trHeight w:val="231"/>
        </w:trPr>
        <w:tc>
          <w:tcPr>
            <w:tcW w:w="3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tc>
      </w:tr>
      <w:tr>
        <w:trPr>
          <w:trHeight w:val="46"/>
        </w:trPr>
        <w:tc>
          <w:tcPr>
            <w:tcW w:w="3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(as converted to</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55"/>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39,722,088</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39,722,088</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39,722,088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39,722,088</w:t>
            </w: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preferred stock (as converted to</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9,916,375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9,102,345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24,790,938</w:t>
            </w:r>
          </w:p>
        </w:tc>
      </w:tr>
      <w:tr>
        <w:trPr>
          <w:trHeight w:val="40"/>
        </w:trPr>
        <w:tc>
          <w:tcPr>
            <w:tcW w:w="3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694,150</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428,657</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495,032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229,532</w:t>
            </w: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6,782,422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8,540,318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7,610,107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8,123,997</w:t>
            </w:r>
          </w:p>
        </w:tc>
      </w:tr>
      <w:tr>
        <w:trPr>
          <w:trHeight w:val="40"/>
        </w:trPr>
        <w:tc>
          <w:tcPr>
            <w:tcW w:w="3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to purchase shares of Series A</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(as converted to common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5"/>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0"/>
        </w:trPr>
        <w:tc>
          <w:tcPr>
            <w:tcW w:w="3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243"/>
        </w:trPr>
        <w:tc>
          <w:tcPr>
            <w:tcW w:w="35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47,198,660</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58,677,438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56,999,572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72,936,555</w:t>
            </w:r>
          </w:p>
        </w:tc>
      </w:tr>
      <w:tr>
        <w:trPr>
          <w:trHeight w:val="20"/>
        </w:trPr>
        <w:tc>
          <w:tcPr>
            <w:tcW w:w="3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of December 31, 2019, the Company has several ongoing clinical studies in various clinical trial stages. Its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 agreements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has an operating lease agreement for its office and laboratory space, which commenced in June 2018 and extends for five years through May 2023. The lease agreement includes annual rent escalations throughout the term of the lease, which the Company records total expense on a straight-line basis over the term of the lease agreement. The lease required the Company to provide a security deposit in the amount of $223 thousand. The Company provided the landlord an irrevocable standby letter of credit in the name of the landlord for its security deposit and collateralized that letter of credit through its bank, which is included on the balance sheets as restricted cash. The Company is also required to pay certain operating costs. Rent expense for the years ended December 31, 2018 and 2019 and for the nine months ended September 30, 2019 and 2020 (unaudited) was $827 thousand, $964 thousand, $723 thousand and $899 thousand, respectively.</w:t>
      </w:r>
    </w:p>
    <w:p>
      <w:pPr>
        <w:spacing w:after="0" w:line="10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Minimum annual rent payments under this lease for the remaining term, excluding operating expenses and taxes which are not fixed for future periods as of December 31, 2019, are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5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April 2017, the Company entered into a Research Collaboration and License Agreement with Sanquin Blood Supply Foundation (the “2017 License Agreement”) to develop antibodies that bind and enhance the activity of CFH. As consideration for the license, the Company paid a one-time, non-refundable upfront payment of $100 thousand. The 2017 License Agreement includes additional consideration upon the achievement of certain development and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1" w:name="page292"/>
    <w:bookmarkEnd w:id="2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13. Commitments and contingencies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commercial milestones (i.e., once net sales targets exceed certain thresholds) totaling up to an aggregate amount of $29.0 million. Finally, the Company is required to make royalty payments of between 1.25% and 2.50% of net product sales if commercialization is achieved.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$75 thousand. In addition, an annual non-refundable, non-creditable development fee of $65 thousand is due on each anniversary date. The 2018 License Agreement includes additional consideration of $275 thousand contingent upon future commercialization of each licensed product. As the Company has not yet generated revenue from operations, no provision was included in the financial statements with respect to the 2018 License Agreement as of December 31, 2018 and 2019, and September 30, 2020 (unaudited).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As consideration for the license, the Company paid a one-time, non-refundable, non-creditable initial license fee of $100 thousand. In addition, an annual non-refundable, non-creditable development fee of $80 thousand is due on each anniversary date, beginning on the second anniversary date. The 2019 License Agreement includes additional consideration of $350 thousand contingent upon future commercialization of each licensed product. As the Company has not yet generated revenue from operations, no provision was included in the financial statements with respect to the 2019 License Agreement as of December 31, 2018 and 2019, and September 30, 2020 (unaudited).</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October 2018, the Company entered into a Master License Agreement with Avitide, Inc. (the “2018 Master License Agreement”) to license, on an exclusive basis, certain of Avitide’s affinity chromatography resins comprised of proprietary ligands. As consideration for the license, the Company paid an upfront license fee of $200 thousand. In addition, an annual license fee of $75 thousand is due on each anniversary date. The 2018 Master License Agreement includes additional consideration upon the achievement of certain development, commercial and sales milestones totaling up to $700 thousand, $2.2 million and $7.0 million, respectively. Finally, the Company is required to make royalty payments of 1.25% of net product sales if commercialization is achieved.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June 2019, the Company entered into a GPEx-Derived Cell Line Sale Agreement with Catalent Pharma Solutions, LLC (the “2019 Sale Agreement”) to purchase all right, title and interest in and to the GPEx Cell Line. As consideration for the GPEx Cell Line, the Company is required to make one-time milestone payments totaling up to $1.3 million in aggregate, as well as a contingent annual fee upon commercialization (1% of net sales, or $100 thousand, whichever is greater) and other fees after certain milestones are reached. Certain milestone payments may be waived if Catalent manufactures &gt;50% of the total product required for the relevant clinical trial.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2" w:name="page293"/>
    <w:bookmarkEnd w:id="2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13. Commitments and contingencies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financial statements as of December 31, 2018 or 2019, or September 30, 2020 (unaudited).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As of December 31, 2018 and 2019, and September 30, 2020 (unaudited), the Company was not a party to any material legal matters or claims.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14. Benefit plans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Prior to 2019, matching contributions to the plan were made at the discretion of the Company’s management. During the year ended December 31, 2018, the Company contributed a discretionary match of $33 thousand. Beginning in 2019, the Company provides contributions equal to fifty percent (50%) up to six percent (6%) of each participant’s salary. Employees are immediately and fully vested in the Company’s contribution. During the year ended December 31, 2019 and the nine months ended September 30, 2019 and 2020 (unaudited), the Company contributed $124 thousand, $96 thousand and $103 thousand to the plan, respectively.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Company engaged a firm managed by an executive of the Company for professional services related to accounting, finance and other administrative functions. For the nine months ended September 30, 2020, the costs incurred under this arrangement totaled $366 thousand, which was recorded as general and administrative expense in the accompanying statement of operations. As of September 30, 2020, amounts owed under this arrangement totaled $322 thousand and is included in accounts payable in the accompanying balance sheet.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has evaluated subsequent events through October 30, 2020, the issuance date of its financial statements as of December 31, 2019, to ensure that these financial statements include appropriate disclosure of events both recognized in the financial statements as of December 31, 2019, and events which occurred subsequently but were not recognized in the financial statements. The Company has concluded that no events or transactions have occurred that require disclosure in the accompanying financial statements, except as follows: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B preferred stock financing</w:t>
      </w:r>
    </w:p>
    <w:p>
      <w:pPr>
        <w:spacing w:after="0" w:line="14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January 21, 2020, the Company issued 14,874,563 shares of Series B preferred stock at a price of $1.3513 per share in exchange for net proceeds of $20.1 million.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Deferral of principal payments due under term loan facility</w:t>
      </w:r>
    </w:p>
    <w:p>
      <w:pPr>
        <w:spacing w:after="0" w:line="16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April 7, 2020, the Company entered into a deferral agreement with Silicon Valley Bank to defer scheduled principal repayments on its term loan by six months. The deferral agreement was offered to the Company in connection with SVB’s venture debt relief initiative, which was started due to the COVID-19 pandemic. Refer to Note 6 for further details.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August 21, 2020, the Company entered into a purchase agreement with various investors to issue $14,000,000 in convertible promissory notes (the “Notes”). The Notes accrue simple interest at 8% per annum and mature on February 21,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3" w:name="page294"/>
    <w:bookmarkEnd w:id="2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16.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2021. If the Notes remain outstanding at the maturity date, the principal and unpaid interest of the Notes will automatically be converted into Series B Preferred Stock at $1.3513 per share on the maturity date. The Company determined that a beneficial conversion feature (“BCF”) exists and should be recognized on the issuance date. The Company recorded the Notes at the original issuance price, net of the BCF discount. The BCF discount will be accreted to the face value of the Notes over the period from the issuance date until the maturity date, offset against interest expense.</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Notes served as a bridge loan prior to a PIPE transaction in connection with the proposed merger of the Company and FS Development Corp.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Merger of FS Development and Gemini</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October 15, 2020, Gemini executed a definitive business combination agreement between it and FS Development Corp. As a result of the proposed business combination, FS Development Corp. will be renamed to Gemini Therapeutics, Inc., or Combined Entity, and Gemini will become a wholly owned subsidiary of Combined Entity. Upon the completion of the proposed business combination transaction, the shareholders of Gemini will exchange their interests in Gemini for shares of common stock of Combined Entity. In addition, Gemini’s existing equity incentive plan will be terminated; awards issued under Gemini’s existing equity incentive plan will be exchanged for awards issued under a new equity incentive plan to be adopted by Combined Entity. Lastly, immediately after the completion of the Business Combination, certain investors have agreed to subscribe for and purchase an aggregate of $95.1 million of common stock of Combined Entity. The combined company is expected to receive net proceeds of approximately $191.2 million at the closing of the transaction (assuming no redemptions are effected by shareholders of FS Development Corp.) and will continue to operate under the Gemini management team, led by chief executive officer Jason Meyenburg. The boards of directors of both FS Development Corp. and Gemini have approved the proposed transaction. Completion of the transaction, which is expected by the first quarter of 2021, is subject to approval of FS Development Corp.’s shareholders and the satisfaction or waiver of certain other customary closing conditions.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 Grants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October 2020, the Company granted under the 2017 Plan 3,965,552 stock options to fourteen (14) individuals, which included employees, executives, board members and one non-employee executive deemed to be a related party. Such stock options were issued with an exercise price of $1.66 per share and a grant date fair value per share of $1.12. The stock option awards vest in accordance with terms typically granted under the 2017 Plan. The Company will record equity-based compensation expense of $4.4 million related to the grant over the vesting term.</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17. Subsequent events (unaudited)</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Company’s interim financial statements as of September 30, 2020 and for the nine months then ended, it evaluated subsequent events through December 7, 2020, the date on which those interim financial statements were issued.</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 Grant</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December 2020, the Company granted under the 2017 Plan 306,222 stock options to an employee with an exercise price of $1.66 per share and a grant date fair value per share of $1.12. The stock option award vests in accordance with terms typically granted under the 2017 Plan. The Company will record equity-based compensation expense of $0.3 million related to the grant over the vesting term.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4" w:name="page295"/>
    <w:bookmarkEnd w:id="2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15, 2020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Shareholder Representative Services LLC, as the Stockholders’ Representative,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FSG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274320</wp:posOffset>
            </wp:positionV>
            <wp:extent cx="51435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5" w:name="page296"/>
    <w:bookmarkEnd w:id="295"/>
    <w:p>
      <w:pPr>
        <w:spacing w:after="0" w:line="25"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63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362"/>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9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47"/>
        </w:trPr>
        <w:tc>
          <w:tcPr>
            <w:tcW w:w="7280" w:type="dxa"/>
            <w:vAlign w:val="bottom"/>
            <w:tcBorders>
              <w:bottom w:val="single" w:sz="8" w:color="CCEEFF"/>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Merger Effective Time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the 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Tax Treatment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2.5</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2.6</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Closing; Effective Time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2.7</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of Directors of Parent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2.8</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Taking of Necessary Action; Further Action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2.9</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Further Ownership Rights in Company Securities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2.10</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Appraisal Rights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[INTENTIONALLY OMITTED]</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CONSIDERATION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Conversion of Company Securities; Convertible Notes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Fractional 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A-15</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A-15</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Non-Contravention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A-17</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Records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A-17</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Subsidiaries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5.9</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5.10</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Books and Records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Internal Accounting Controls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Properties; Title to the Company’s Assets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Licenses and Permits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A-20</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Compliance with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A-21</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A-21</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5.19</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FDA</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A-23</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5.20</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Affiliate Loans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A-24</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Employees; Employment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A-24</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A-25</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Benefits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A-25</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Property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00" cy="5715"/>
                    </a:xfrm>
                    <a:prstGeom prst="rect">
                      <a:avLst/>
                    </a:prstGeom>
                    <a:noFill/>
                  </pic:spPr>
                </pic:pic>
              </a:graphicData>
            </a:graphic>
          </wp:anchor>
        </w:drawing>
      </w:r>
    </w:p>
    <w:p>
      <w:pPr>
        <w:sectPr>
          <w:pgSz w:w="11900" w:h="16864" w:orient="portrait"/>
          <w:cols w:equalWidth="0" w:num="1">
            <w:col w:w="9019"/>
          </w:cols>
          <w:pgMar w:left="1440" w:top="270" w:right="1440" w:bottom="0" w:gutter="0" w:footer="0" w:header="0"/>
        </w:sectPr>
      </w:pPr>
    </w:p>
    <w:bookmarkStart w:id="296" w:name="page297"/>
    <w:bookmarkEnd w:id="2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9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46"/>
        </w:trPr>
        <w:tc>
          <w:tcPr>
            <w:tcW w:w="900" w:type="dxa"/>
            <w:vAlign w:val="bottom"/>
            <w:tcBorders>
              <w:bottom w:val="single" w:sz="8" w:color="CCEEFF"/>
            </w:tcBorders>
          </w:tcPr>
          <w:p>
            <w:pPr>
              <w:spacing w:after="0"/>
              <w:rPr>
                <w:sz w:val="4"/>
                <w:szCs w:val="4"/>
                <w:color w:val="auto"/>
              </w:rPr>
            </w:pPr>
          </w:p>
        </w:tc>
        <w:tc>
          <w:tcPr>
            <w:tcW w:w="63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A-27</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Laws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Finders’ Fees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Powers of Attorney and Suretyships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5.29</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Directors and Officers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5.30</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5.32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REPRESENTATIONS AND WARRANTIES OF PARENT AND MERGER SUB</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Authorization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Non-Contravention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6.5</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Finders’ Fees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6.6</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Shares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6.7</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6.8</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Information Supplied</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6.9</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Fund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6.10</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Listing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Approval</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Parent SEC Documents and Financial Statements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6.15</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Affiliate Transactions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6.16</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6.17</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 Indebtedness and Other Liabilities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6.18</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COVENANTS OF THE PARTIES PENDING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A-33</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Conduct of the Business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A-33</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Exclusivity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A-35</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Access to Information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A-35</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A-36</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Cooperation with Form S-4/Proxy Statement; Other Filings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A-36</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Account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Placement, Parent Support Agreements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COVENANTS OF THE COMPANY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Reporting; Compliance with Laws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Commercially Reasonable Efforts to Obtain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Company’s Stockholders Approval</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280G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284"/>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COVENANTS OF ALL PARTIES HERETO</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284"/>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Commercially Reasonable Efforts; Further Assurances; Governmental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A-40</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9.3</w:t>
            </w: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Directors’ and Officers’ Indemnification and Liability Insurance</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A-40</w:t>
            </w:r>
          </w:p>
        </w:tc>
      </w:tr>
      <w:tr>
        <w:trPr>
          <w:trHeight w:val="40"/>
        </w:trPr>
        <w:tc>
          <w:tcPr>
            <w:tcW w:w="900" w:type="dxa"/>
            <w:vAlign w:val="bottom"/>
            <w:shd w:val="clear" w:color="auto" w:fill="CCEEFF"/>
          </w:tcPr>
          <w:p>
            <w:pPr>
              <w:spacing w:after="0"/>
              <w:rPr>
                <w:sz w:val="3"/>
                <w:szCs w:val="3"/>
                <w:color w:val="auto"/>
              </w:rPr>
            </w:pPr>
          </w:p>
        </w:tc>
        <w:tc>
          <w:tcPr>
            <w:tcW w:w="63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bookmarkStart w:id="297" w:name="page298"/>
    <w:bookmarkEnd w:id="2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4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9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46"/>
        </w:trPr>
        <w:tc>
          <w:tcPr>
            <w:tcW w:w="940" w:type="dxa"/>
            <w:vAlign w:val="bottom"/>
            <w:tcBorders>
              <w:bottom w:val="single" w:sz="8" w:color="CCEEFF"/>
            </w:tcBorders>
          </w:tcPr>
          <w:p>
            <w:pPr>
              <w:spacing w:after="0"/>
              <w:rPr>
                <w:sz w:val="4"/>
                <w:szCs w:val="4"/>
                <w:color w:val="auto"/>
              </w:rPr>
            </w:pPr>
          </w:p>
        </w:tc>
        <w:tc>
          <w:tcPr>
            <w:tcW w:w="63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9.4</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Nasdaq Listing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9.5</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Tax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9.6</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Incentive Plan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CONDITIONS TO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83"/>
        </w:trPr>
        <w:tc>
          <w:tcPr>
            <w:tcW w:w="9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10.1</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Condition to the Obligations of the Parties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10.2</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to Obligations of Parent and Merger Sub</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A-42</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10.3</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A-43</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INDEMNIFICATION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283"/>
        </w:trPr>
        <w:tc>
          <w:tcPr>
            <w:tcW w:w="9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11.1</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Indemnification of Parent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11.2</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Procedure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11.3</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Escrow of Escrow Shares by Escrow Participants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A-45</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11.4</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Indemnification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11.5</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11.6</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 of Indemnification Rights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11.7</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Sole and Exclusive Remedy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 DISPUTE RESOLUTION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283"/>
        </w:trPr>
        <w:tc>
          <w:tcPr>
            <w:tcW w:w="9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12.1</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Arbitration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12.2</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Jury Trial; Exemplary Damages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TERMINATION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40" w:type="dxa"/>
            <w:vAlign w:val="bottom"/>
            <w:shd w:val="clear" w:color="auto" w:fill="CCEEFF"/>
          </w:tcPr>
          <w:p>
            <w:pPr>
              <w:spacing w:after="0"/>
              <w:rPr>
                <w:sz w:val="24"/>
                <w:szCs w:val="24"/>
                <w:color w:val="auto"/>
              </w:rPr>
            </w:pPr>
          </w:p>
        </w:tc>
        <w:tc>
          <w:tcPr>
            <w:tcW w:w="6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13.1</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Without Default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13.2</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Termination Upon Default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13.3</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Termination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XIV MISCELLANEOUS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40" w:type="dxa"/>
            <w:vAlign w:val="bottom"/>
            <w:shd w:val="clear" w:color="auto" w:fill="CCEEFF"/>
          </w:tcPr>
          <w:p>
            <w:pPr>
              <w:spacing w:after="0"/>
              <w:rPr>
                <w:sz w:val="24"/>
                <w:szCs w:val="24"/>
                <w:color w:val="auto"/>
              </w:rPr>
            </w:pPr>
          </w:p>
        </w:tc>
        <w:tc>
          <w:tcPr>
            <w:tcW w:w="6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14.2</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Amendments; No Waivers; Remedies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14.3</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Arm’s Length Bargaining; No Presumption Against Drafter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14.4</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Publicity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14.5</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14.6</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Assignment or Delegation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14.7</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14.8</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Counterparts; Facsimile Signatures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14.9</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Agreement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14.10</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14.11</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Assurances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14.12</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14.13</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14.14</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Stockholders’ Representative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14.15</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Non-Recourse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A-52</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14.16</w:t>
            </w:r>
          </w:p>
        </w:tc>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Other Representations; No Reliance</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A-53</w:t>
            </w:r>
          </w:p>
        </w:tc>
      </w:tr>
      <w:tr>
        <w:trPr>
          <w:trHeight w:val="41"/>
        </w:trPr>
        <w:tc>
          <w:tcPr>
            <w:tcW w:w="940" w:type="dxa"/>
            <w:vAlign w:val="bottom"/>
            <w:shd w:val="clear" w:color="auto" w:fill="CCEEFF"/>
          </w:tcPr>
          <w:p>
            <w:pPr>
              <w:spacing w:after="0"/>
              <w:rPr>
                <w:sz w:val="3"/>
                <w:szCs w:val="3"/>
                <w:color w:val="auto"/>
              </w:rPr>
            </w:pPr>
          </w:p>
        </w:tc>
        <w:tc>
          <w:tcPr>
            <w:tcW w:w="6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893" w:gutter="0" w:footer="0" w:header="0"/>
        </w:sectPr>
      </w:pPr>
    </w:p>
    <w:bookmarkStart w:id="298" w:name="page299"/>
    <w:bookmarkEnd w:id="298"/>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270" w:right="1440" w:bottom="1440" w:gutter="0" w:footer="0" w:header="0"/>
        </w:sectPr>
      </w:pP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A</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B</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C</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F</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G</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H</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I</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J</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K</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L</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Exhibit M</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Support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Support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Escrow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Rights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Parent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Bylaws of Parent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Equity Incentive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FIRPTA Certificate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Lockup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Merger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representation Letters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representation Letters</w:t>
      </w:r>
    </w:p>
    <w:p>
      <w:pPr>
        <w:spacing w:after="0" w:line="200" w:lineRule="exact"/>
        <w:rPr>
          <w:sz w:val="20"/>
          <w:szCs w:val="20"/>
          <w:color w:val="auto"/>
        </w:rPr>
      </w:pPr>
    </w:p>
    <w:p>
      <w:pPr>
        <w:sectPr>
          <w:pgSz w:w="11900" w:h="16838" w:orient="portrait"/>
          <w:cols w:equalWidth="0" w:num="2">
            <w:col w:w="1180" w:space="520"/>
            <w:col w:w="7319"/>
          </w:cols>
          <w:pgMar w:left="1440" w:top="270" w:right="1440"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Company Disclosure Schedules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Parent Disclosure Schedules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9" w:name="page300"/>
    <w:bookmarkEnd w:id="29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AGREEMENT AND PLAN OF MERGER, dated as of October 15,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Shareholder Representative Services LLC, a Colorado limited liability company solely in its capacity as the representative, agent and attorney-in-fact of the Company Securityholders (the “</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WITNESETH:</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 The Company is in the business of therapeutic drug development and commercialization and related activities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 Parent is a blank check company formed for the sole purpose of entering into a share exchange, asset acquisition, share purchase, recapitalization, reorganization or other similar business combination with one or more businesses or entities, and Merger Sub is a wholly-owned subsidiary of Parent;</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C. The Company Securityholders are listed on </w:t>
      </w:r>
      <w:r>
        <w:rPr>
          <w:rFonts w:ascii="Times New Roman" w:cs="Times New Roman" w:eastAsia="Times New Roman" w:hAnsi="Times New Roman"/>
          <w:sz w:val="18"/>
          <w:szCs w:val="18"/>
          <w:u w:val="single" w:color="auto"/>
          <w:color w:val="auto"/>
        </w:rPr>
        <w:t>the Capitalization Schedule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5.5(a)</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and own 100% of the issued and outstanding Company Securities;</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after which the Company will be the surviving company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a wholly-owned subsidiary of Parent and Parent shall change its name to “Gemini Therapeutics, Inc.”;</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E. Contemporaneously with the execution of, and as a condition and an inducement to Parent and the Company entering into this Agreement, Company Securityholders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Specified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Securityholders</w:t>
      </w:r>
      <w:r>
        <w:rPr>
          <w:rFonts w:ascii="Times New Roman" w:cs="Times New Roman" w:eastAsia="Times New Roman" w:hAnsi="Times New Roman"/>
          <w:sz w:val="18"/>
          <w:szCs w:val="18"/>
          <w:color w:val="auto"/>
        </w:rPr>
        <w:t xml:space="preserve">”) are entering into and delivering Support Agreements,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pursuant to which each of the Specified Company Securityholders has agreed to vote in favor of this Agreement and the Merger;</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F. Contemporaneously with the execution of, and as a condition and an inducement to Parent and the Company entering into this Agreement, the Specified Company Securityholders and certain other Company Securityholders and third parties have entered into subscription agreements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pursuant to which, at the Closing, such Persons have agreed, subject to the terms and conditions set forth therein, to subscribe for and purchase shares of Parent Class A Common Stock at a purchase price of $10.00 per share, for an aggregate cash amount of $95,000,000 (the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G. The Subscription Agreements entered into by the Specified Company Securityholders represent an aggregate portion of the Private Placement equal to $15,600,000;</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H. Contemporaneously with the execution of, and as a condition and an inducement to Parent and the Company entering into this Agreement, specified stockholders of Parent are entering into and delivering Support Agreements,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Parent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each such Parent stockholder has agreed (x) not to transfer or redeem any shares of Parent Common Stock held by such Parent stockholder and (y) to vote in favor of this Agreement and the Merger at the Parent Stockholder Meeting; and</w:t>
      </w:r>
    </w:p>
    <w:p>
      <w:pPr>
        <w:spacing w:after="0" w:line="10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I. The Company’s Board of Directors has unanimously (i) approved and declared advisable this Agreement and the transactions contemplated by this Agreement and the Additional Agreements to which the Company is or will be party, including the Merger, on the terms and subject to the conditions set forth herein,</w:t>
      </w:r>
    </w:p>
    <w:p>
      <w:pPr>
        <w:spacing w:after="0" w:line="1" w:lineRule="exact"/>
        <w:rPr>
          <w:sz w:val="20"/>
          <w:szCs w:val="20"/>
          <w:color w:val="auto"/>
        </w:rPr>
      </w:pPr>
    </w:p>
    <w:p>
      <w:pPr>
        <w:jc w:val="both"/>
        <w:ind w:left="460" w:right="459" w:hanging="6"/>
        <w:spacing w:after="0" w:line="253" w:lineRule="auto"/>
        <w:tabs>
          <w:tab w:leader="none" w:pos="7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this Agreement and such transactions are fair to, and in the best interests of, the Company and the Company Stockholders and (iii) resolved to recommend that the Company Stockholders approve the Merger and such other transactions and adopt this Agreement and the Additional Agreements to which the Company is or will be a party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0" w:name="page301"/>
    <w:bookmarkEnd w:id="30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consideration of the mutual covenants and promises set forth in this Agreement, and other good and valuable consideration, the receipt and sufficiency of which are hereby acknowledged, the parties hereby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legal action, litigation, suit, claim, hearing or proceeding, including any audit, claim or assessment for Taxes or otherwise, by or before any Authority.</w:t>
      </w:r>
    </w:p>
    <w:p>
      <w:pPr>
        <w:spacing w:after="0" w:line="81"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xml:space="preserve">” means the Voting Agreement,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Registration Rights Agreement, the Escrow Agreement, the Company Support Agreements, the Subscription Agreements, the Parent Support Agreements, and the Lockup Agreement.</w:t>
      </w:r>
    </w:p>
    <w:p>
      <w:pPr>
        <w:spacing w:after="0" w:line="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“Affiliate” shall also include, with respect to any individual natural Person, (a) such Peron’s a spouse, Parent, lineal descendant, sibling, aunt, uncle, niece, nephew, mother-in-law, father-in-law, sister-in-law, or brother-in-law or (b) a trust for the benefit of such Person and/or the individuals described in the foregoing clause (a) or of which such Person is a trustee.</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5.32</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Transaction Proceeds</w:t>
      </w:r>
      <w:r>
        <w:rPr>
          <w:rFonts w:ascii="Times New Roman" w:cs="Times New Roman" w:eastAsia="Times New Roman" w:hAnsi="Times New Roman"/>
          <w:sz w:val="18"/>
          <w:szCs w:val="18"/>
          <w:color w:val="auto"/>
        </w:rPr>
        <w:t xml:space="preserve">” means an amount equal to (a)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of (i) the aggregate cash proceeds available for release to Parent from the Trust Fund in connection with the transactions contemplated hereby (net of the Parent Redemption Amount);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 the aggregate cash proceeds actually received by Parent on the Closing Date in respect of the Private Placement,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Unpaid Parent Liabilities.</w:t>
      </w:r>
    </w:p>
    <w:p>
      <w:pPr>
        <w:spacing w:after="0" w:line="10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means any governmental, regulatory or administrative body, agency or authority, any court or judicial authority, any arbitrator, or any public, private or industry regulatory authority, whether international, national, foreign, Federal, state, or local.</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Basket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means all books and records, ledgers, employee records, customer lists, files, correspondence, and other records of every kind (whether written, electronic, or otherwise embodied) owned or controlled by a Person in which a Person’s assets, the business or its transactions are otherwise reflected, other than stock books and minute books.</w:t>
      </w:r>
    </w:p>
    <w:p>
      <w:pPr>
        <w:spacing w:after="0" w:line="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has the meaning set forth in the recitals to this Agreement.</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 legal holiday on which commercial banking institutions in New York, New York are authorized to close for business.</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Capitalization Schedule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Schedule 4.1(j)</w:t>
      </w:r>
      <w:r>
        <w:rPr>
          <w:rFonts w:ascii="Times New Roman" w:cs="Times New Roman" w:eastAsia="Times New Roman" w:hAnsi="Times New Roman"/>
          <w:sz w:val="18"/>
          <w:szCs w:val="18"/>
          <w:color w:val="auto"/>
        </w:rPr>
        <w:t>, as updated as contemplated herein.</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1" w:name="page302"/>
    <w:bookmarkEnd w:id="30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Consideration Conversion Ratio</w:t>
      </w:r>
      <w:r>
        <w:rPr>
          <w:rFonts w:ascii="Times New Roman" w:cs="Times New Roman" w:eastAsia="Times New Roman" w:hAnsi="Times New Roman"/>
          <w:sz w:val="18"/>
          <w:szCs w:val="18"/>
          <w:color w:val="auto"/>
        </w:rPr>
        <w:t>” shall mean a number of Parent Class A Shares equal to the quotient obtained by dividing (a) the Closing Payment Shares; by (b) the Fully Diluted Company Shares, in each case, as listed on the Capitalization Schedule delivered prior to Closing.</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Payment Shares</w:t>
      </w:r>
      <w:r>
        <w:rPr>
          <w:rFonts w:ascii="Times New Roman" w:cs="Times New Roman" w:eastAsia="Times New Roman" w:hAnsi="Times New Roman"/>
          <w:sz w:val="18"/>
          <w:szCs w:val="18"/>
          <w:color w:val="auto"/>
        </w:rPr>
        <w:t>” means an aggregate number of Parent Class A Shares, which for the avoidance of doubt is inclusive of the Escrow Shares, equal to the difference between (a) 21,500,000 Parent Class A Shares; minus (b) a number of Parent Class A Shares equal to one half (1/2) of the initial unallocated shares of Parent Class A Stock reserved for issuance under the Parent Equity Incentive Plan (which shall not exceed two and one-half percent (2.5%) of the issued and outstanding Parent Class A Shares as of immediately following the Effective Time as set forth in the Capitalization Schedule delivered prior to Closing (and approved by Parent, such approval not to be unreasonably withheld, conditioned or delayed)).</w:t>
      </w:r>
    </w:p>
    <w:p>
      <w:pPr>
        <w:spacing w:after="0" w:line="108"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collectively, the requirements of Sections 601 through 606 of ERISA and Section 4980B of the Code.</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 means Company Common Stock, Company Series A Preferred Stock and Company Series B Preferred Stock.</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 of Incorporation</w:t>
      </w:r>
      <w:r>
        <w:rPr>
          <w:rFonts w:ascii="Times New Roman" w:cs="Times New Roman" w:eastAsia="Times New Roman" w:hAnsi="Times New Roman"/>
          <w:sz w:val="18"/>
          <w:szCs w:val="18"/>
          <w:color w:val="auto"/>
        </w:rPr>
        <w:t>” means the Third Amended and Restated Certificate of Incorporation of the Company, as filed on or about September 26, 2019 with the Secretary of State of the State of Delaware pursuant to the DGCL.</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common stock of the Company, par value $0.001 per share.</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purchase Company Common Stock granted, and that remains outstanding, under the Equity Incentive Plans.</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Stock</w:t>
      </w:r>
      <w:r>
        <w:rPr>
          <w:rFonts w:ascii="Times New Roman" w:cs="Times New Roman" w:eastAsia="Times New Roman" w:hAnsi="Times New Roman"/>
          <w:sz w:val="18"/>
          <w:szCs w:val="18"/>
          <w:color w:val="auto"/>
        </w:rPr>
        <w:t>” means any outstanding shares of Company Capital Stock that are unvested or subject to a risk of forfeiture or repurchase option in favor of the Company.</w:t>
      </w:r>
    </w:p>
    <w:p>
      <w:pPr>
        <w:spacing w:after="0" w:line="9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the Company Common Stock, the Company Preferred Stock, the Company Options and the Company Warrant.</w:t>
      </w:r>
    </w:p>
    <w:p>
      <w:pPr>
        <w:spacing w:after="0" w:line="8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Securityholder</w:t>
      </w:r>
      <w:r>
        <w:rPr>
          <w:rFonts w:ascii="Times New Roman" w:cs="Times New Roman" w:eastAsia="Times New Roman" w:hAnsi="Times New Roman"/>
          <w:sz w:val="18"/>
          <w:szCs w:val="18"/>
          <w:color w:val="auto"/>
        </w:rPr>
        <w:t>” means each Person who holds Company Securities immediately prior to the Effective Time, each of which is listed on the Capitalization Schedule delivered prior to Closing.</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 Preferred Stock</w:t>
      </w:r>
      <w:r>
        <w:rPr>
          <w:rFonts w:ascii="Times New Roman" w:cs="Times New Roman" w:eastAsia="Times New Roman" w:hAnsi="Times New Roman"/>
          <w:sz w:val="18"/>
          <w:szCs w:val="18"/>
          <w:color w:val="auto"/>
        </w:rPr>
        <w:t>” means the series A preferred stock of the Company, par value $0.0001 per share.</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B Preferred Stock</w:t>
      </w:r>
      <w:r>
        <w:rPr>
          <w:rFonts w:ascii="Times New Roman" w:cs="Times New Roman" w:eastAsia="Times New Roman" w:hAnsi="Times New Roman"/>
          <w:sz w:val="18"/>
          <w:szCs w:val="18"/>
          <w:color w:val="auto"/>
        </w:rPr>
        <w:t>” means the series B preferred stock of the Company, par value $0.0001 per share.</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means, at any given time, the holders of Company Common Stock.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2" w:name="page303"/>
    <w:bookmarkEnd w:id="3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has the meaning set forth in the recitals to this Agreement.</w:t>
      </w:r>
    </w:p>
    <w:p>
      <w:pPr>
        <w:spacing w:after="0" w:line="131"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the Warrant to Purchase Stock dated February 8, 2019, issued to Silicon Valley Bank, pursuant to which Silicon Valley Bank is entitled to purchase shares of Company Series A Preferred Stock.</w:t>
      </w:r>
    </w:p>
    <w:p>
      <w:pPr>
        <w:spacing w:after="0" w:line="81"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the Lease and all other contracts, agreements, leases (including equipment leases, car leases and capital leases), licenses, Permits, commitments, client contracts, statements of work (SOWs), sales and purchase orders and similar instruments, oral or written, to which the Company is a party or by which any of its respective assets is bound.</w:t>
      </w:r>
    </w:p>
    <w:p>
      <w:pPr>
        <w:spacing w:after="0" w:line="72"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 Without limiting the foregoing, a Person (the “</w:t>
      </w:r>
      <w:r>
        <w:rPr>
          <w:rFonts w:ascii="Times New Roman" w:cs="Times New Roman" w:eastAsia="Times New Roman" w:hAnsi="Times New Roman"/>
          <w:sz w:val="18"/>
          <w:szCs w:val="18"/>
          <w:u w:val="single" w:color="auto"/>
          <w:color w:val="auto"/>
        </w:rPr>
        <w:t>Controlled Person</w:t>
      </w:r>
      <w:r>
        <w:rPr>
          <w:rFonts w:ascii="Times New Roman" w:cs="Times New Roman" w:eastAsia="Times New Roman" w:hAnsi="Times New Roman"/>
          <w:sz w:val="18"/>
          <w:szCs w:val="18"/>
          <w:color w:val="auto"/>
        </w:rPr>
        <w:t>”) shall be deemed Controlled by any other Person (the “</w:t>
      </w:r>
      <w:r>
        <w:rPr>
          <w:rFonts w:ascii="Times New Roman" w:cs="Times New Roman" w:eastAsia="Times New Roman" w:hAnsi="Times New Roman"/>
          <w:sz w:val="18"/>
          <w:szCs w:val="18"/>
          <w:u w:val="single" w:color="auto"/>
          <w:color w:val="auto"/>
        </w:rPr>
        <w:t>50% Owner</w:t>
      </w:r>
      <w:r>
        <w:rPr>
          <w:rFonts w:ascii="Times New Roman" w:cs="Times New Roman" w:eastAsia="Times New Roman" w:hAnsi="Times New Roman"/>
          <w:sz w:val="18"/>
          <w:szCs w:val="18"/>
          <w:color w:val="auto"/>
        </w:rPr>
        <w:t>”) (i) owning beneficially, as meant in Rule 13d-3 under the Exchange Act, securities entitling such Person to cast 50% or more of the votes for election of directors or equivalent governing authority of the Controlled Person or (ii) entitled to be allocated or receive 50% or more of the profits, losses, or distributions of the Controlled Person.</w:t>
      </w:r>
    </w:p>
    <w:p>
      <w:pPr>
        <w:spacing w:after="0" w:line="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Company 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Notes</w:t>
      </w:r>
      <w:r>
        <w:rPr>
          <w:rFonts w:ascii="Times New Roman" w:cs="Times New Roman" w:eastAsia="Times New Roman" w:hAnsi="Times New Roman"/>
          <w:sz w:val="18"/>
          <w:szCs w:val="18"/>
          <w:color w:val="auto"/>
        </w:rPr>
        <w:t>” means those certain Convertible Promissory Notes of the Company in the aggregate principal amount of $14,000,000, issued on August 21, 2020 to certain Company Securityholders pursuant to the Convertible Promissory Note Purchase Agreement dated August 21, 2020 among the Company and such Company Securityholders.</w:t>
      </w:r>
    </w:p>
    <w:p>
      <w:pPr>
        <w:spacing w:after="0" w:line="72"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all Laws worldwide relating to the processing, privacy or security of Personal Information and all regulations or guidance issued thereunder, including the EU General Data Protection Regulation (EU) 2016/679 and all laws implementing it, HIPAA, the regulations set forth in 42 C.F.R. Part 495 and 45 C.F.R. Parts 160, 164 and 170, the HITECH Act, Section 5 of the Federal Trade Commission Act, the FTC Red Flag Rules, the CAN SPAM Act and associated regulations set forth in 16 C.F.R. Part 316, the Children’s Online Privacy Protection Act, state social security number protection laws, state data breach notification laws, state data privacy laws including the California Consumer Privacy Act, as amended, state data security laws, state consumer protection Laws, PCI-DSS regulatory standards and any law concerning requirements for website and mobile application privacy policies and practices, or any outbound commercial communications (including e-mail marketing, telemarketing and text messaging), tracking and marketing.</w:t>
      </w:r>
    </w:p>
    <w:p>
      <w:pPr>
        <w:spacing w:after="0" w:line="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mean all Laws that prohibit, regulate or control any Hazardous Material or any Hazardous Material Activity, including the Comprehensive Environmental Response, Compensation, and Liability Act of 1980, the Resource Recovery and Conservation Act of 1976, the Federal Water Pollution Control Act, the Clean Air Act, the Hazardous Materials Transportation Act and the Clean Water Act.</w:t>
      </w:r>
    </w:p>
    <w:p>
      <w:pPr>
        <w:spacing w:after="0" w:line="75"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Incentive Plans</w:t>
      </w:r>
      <w:r>
        <w:rPr>
          <w:rFonts w:ascii="Times New Roman" w:cs="Times New Roman" w:eastAsia="Times New Roman" w:hAnsi="Times New Roman"/>
          <w:sz w:val="18"/>
          <w:szCs w:val="18"/>
          <w:color w:val="auto"/>
        </w:rPr>
        <w:t>” means the Company’s 2015 Employee, Director and Consultant Stock Option Plan and the Company’s 2017 Stock Option and Grant Plan.</w:t>
      </w:r>
    </w:p>
    <w:p>
      <w:pPr>
        <w:spacing w:after="0" w:line="67" w:lineRule="exact"/>
        <w:rPr>
          <w:sz w:val="20"/>
          <w:szCs w:val="20"/>
          <w:color w:val="auto"/>
        </w:rPr>
      </w:pPr>
    </w:p>
    <w:p>
      <w:pPr>
        <w:jc w:val="both"/>
        <w:ind w:left="460" w:right="459" w:firstLine="86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with respect to any Person, any capital stock of, or other ownership, membership, partnership, voting, joint venture, equity interest, preemptive right, stock appreciation, phantom stock, profit participation or similar rights in, such Person or any indebtedness, securities, options, warrants, call, subscription or other rights or entitlements of, or granted by, such Person that are convertible into, or are exercisable or exchangeable for, or give any person any right or entitlement to acquire any such capital stock or other ownership, partnership,</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3" w:name="page304"/>
    <w:bookmarkEnd w:id="3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voting, joint venture, equity interest, preemptive right, stock appreciation, phantom stock, profit participation or similar rights, in all cases, whether vested or unvested, of such Person or any similar security or right that is derivative or provides any economic benefit based, directly or indirectly, on the value or price of any such capital stock or other ownership, partnership, voting, joint venture, equity interest, preemptive right, stock appreciation, phantom stock, profit participation or similar rights, in all cases, whether vested or unvested.</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131"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each entity, trade or business that is, or was at the relevant time, a member of a group described in Section 414(b), (c), (m) or (o) of the Code or Section 4001(b)(1) of ERISA that includes or included the Company, or that is, or was at the relevant time, a member of the same “controlled group” as the Company pursuant to Section 4001(a)(14) of ERISA.</w:t>
      </w:r>
    </w:p>
    <w:p>
      <w:pPr>
        <w:spacing w:after="0" w:line="8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Continental Stock Transfer &amp; Trust Company.</w:t>
      </w:r>
    </w:p>
    <w:p>
      <w:pPr>
        <w:spacing w:after="0" w:line="14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xml:space="preserve">” means an agreement in substantially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between the Stockholders’ Representative, the Escrow Agent and Parent with respect to the Escrow Shares to reflect the terms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Participant</w:t>
      </w:r>
      <w:r>
        <w:rPr>
          <w:rFonts w:ascii="Times New Roman" w:cs="Times New Roman" w:eastAsia="Times New Roman" w:hAnsi="Times New Roman"/>
          <w:sz w:val="18"/>
          <w:szCs w:val="18"/>
          <w:color w:val="auto"/>
        </w:rPr>
        <w:t>” means each Person who holds Company Common Stock or Company Preferred Stock, in each case, as of immediately prior to the Effective Time.</w:t>
      </w:r>
    </w:p>
    <w:p>
      <w:pPr>
        <w:spacing w:after="0" w:line="79" w:lineRule="exact"/>
        <w:rPr>
          <w:sz w:val="20"/>
          <w:szCs w:val="20"/>
          <w:color w:val="auto"/>
        </w:rPr>
      </w:pPr>
    </w:p>
    <w:p>
      <w:pPr>
        <w:jc w:val="both"/>
        <w:ind w:left="460" w:right="459" w:firstLine="86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Participant Company Securities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without duplication, of (a) shares of Company Common Stock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p>
    <w:p>
      <w:pPr>
        <w:ind w:left="460" w:right="479" w:hanging="6"/>
        <w:spacing w:after="0" w:line="260" w:lineRule="auto"/>
        <w:tabs>
          <w:tab w:leader="none" w:pos="72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Company Preferred Stock (on an as converted to Company Common Stock basis) that are issued and outstanding immediately prior to the Effective Time.</w:t>
      </w:r>
    </w:p>
    <w:p>
      <w:pPr>
        <w:spacing w:after="0" w:line="8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Share Value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Shares</w:t>
      </w:r>
      <w:r>
        <w:rPr>
          <w:rFonts w:ascii="Times New Roman" w:cs="Times New Roman" w:eastAsia="Times New Roman" w:hAnsi="Times New Roman"/>
          <w:sz w:val="18"/>
          <w:szCs w:val="18"/>
          <w:color w:val="auto"/>
        </w:rPr>
        <w:t>” means 2,150,000 Parent Class A Shares to be held in escrow for indemnification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purposes.</w:t>
      </w:r>
    </w:p>
    <w:p>
      <w:pPr>
        <w:spacing w:after="0" w:line="1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or any successor agency thereto.</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Company Shares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without duplication, of (a) shares of Company Common Stock (including Company Restricted Stock)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shares of Company Preferred Stock (on an as converted to Company Common Stock basis)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 the aggregate number of shares of Company Common Stock issuable upon exercise of the Company Warrant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(d) the aggregate number of shares of Company Common Stock issuable upon exercise of Vested Company Options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(e) the aggregate number of shares of Company Common Stock issuable upon exercise of Unvested Company Options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(f) the aggregate number of shares of Company Series B Preferred Stock (on an as converted to Company Common Stock basis) issuable upon the conversion of the Convertible Notes as of immediately prior to the Effective Time.</w:t>
      </w:r>
    </w:p>
    <w:p>
      <w:pPr>
        <w:spacing w:after="0" w:line="99"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shall mean any material, emission, chemical, substance or waste that has been designated by any Authority to be radioactive, toxic, hazardous, a pollutant or a contaminant.</w:t>
      </w:r>
    </w:p>
    <w:p>
      <w:pPr>
        <w:spacing w:after="0" w:line="81"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 Activity</w:t>
      </w:r>
      <w:r>
        <w:rPr>
          <w:rFonts w:ascii="Times New Roman" w:cs="Times New Roman" w:eastAsia="Times New Roman" w:hAnsi="Times New Roman"/>
          <w:sz w:val="18"/>
          <w:szCs w:val="18"/>
          <w:color w:val="auto"/>
        </w:rPr>
        <w:t>” shall mean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any required labeling, payment of waste fees or charges (including so-called e-waste fees) and compliance with any recycling, product take-back or product content requirements.</w:t>
      </w:r>
    </w:p>
    <w:p>
      <w:pPr>
        <w:spacing w:after="0" w:line="102"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Insurance Portability and Accountability Act of 1996, as amended by the Health Information Technology for Economic and Clinical Health Act.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4" w:name="page305"/>
    <w:bookmarkEnd w:id="3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5.19(a)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the initial public offering of Parent pursuant to a prospectus dated August 13, 2020.</w:t>
      </w:r>
    </w:p>
    <w:p>
      <w:pPr>
        <w:spacing w:after="0" w:line="158"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(a) all obligations of such Person for borrowed money, or with respect to deposits or advances of any kind (including amounts by reason of overdrafts and amounts owed by reason of letter of credit reimbursement agreements),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w:t>
      </w:r>
    </w:p>
    <w:p>
      <w:pPr>
        <w:spacing w:after="0" w:line="5" w:lineRule="exact"/>
        <w:rPr>
          <w:sz w:val="20"/>
          <w:szCs w:val="20"/>
          <w:color w:val="auto"/>
        </w:rPr>
      </w:pPr>
    </w:p>
    <w:p>
      <w:pPr>
        <w:ind w:left="680" w:hanging="226"/>
        <w:spacing w:after="0"/>
        <w:tabs>
          <w:tab w:leader="none" w:pos="6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under leases required to be accounted for as capital leases under U.S. GAAP,</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47"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by such Person, (h) all liability of such Person with respect to any hedging obligations, including interest rate or currency exchange swaps, collars, caps or similar hedging obligations, (i) any unfunded or underfunded liabilities pursuant to any pension or nonqualified deferred compensation plan or arrangement and (j) any agreement to incur any of the same. For informational purposes, Indebtedness shall include any grants or loans that are not carried as tangible liabilities on the Financial Statements on a stand-alone basis (whether or not such liabilities are included in the footnotes to the Financial Statements).</w:t>
      </w:r>
    </w:p>
    <w:p>
      <w:pPr>
        <w:spacing w:after="0" w:line="1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Indemnifiable Loss Limit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technology (including patented, patentable and unpatented inventions and unpatentable proprietary or confidential information, systems or procedures), designs, processes, trademarks, service marks, registrations thereof or applications for registration therefor, trade names, licenses, inventions, patents, patent applications, trade secrets, trade dress, know-how, copyrights, copyrightable materials, copyright registrations, applications for copyright registration, software programs, data bases, u.r.l.s., and any other works of authorship, computer programs, technical data and information and other intellectual property, and all embodiments and fixations thereof and related documentation and registrations and all additions, improvements and accessions thereto, and with respect to each of the forgoing items in this definition, which is owned or licensed or filed by the Company, or used or held for use in the Business, whether registered or unregistered or domestic or foreign.</w:t>
      </w:r>
    </w:p>
    <w:p>
      <w:pPr>
        <w:spacing w:after="0" w:line="1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the Company’s Knowledge</w:t>
      </w:r>
      <w:r>
        <w:rPr>
          <w:rFonts w:ascii="Times New Roman" w:cs="Times New Roman" w:eastAsia="Times New Roman" w:hAnsi="Times New Roman"/>
          <w:sz w:val="18"/>
          <w:szCs w:val="18"/>
          <w:color w:val="auto"/>
        </w:rPr>
        <w:t>” or similar terms (whether or not capitalized) means the actual knowledge of Jason Meyenburg and Gregg Beloff.</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Parent’s Knowledge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Known by Parent</w:t>
      </w:r>
      <w:r>
        <w:rPr>
          <w:rFonts w:ascii="Times New Roman" w:cs="Times New Roman" w:eastAsia="Times New Roman" w:hAnsi="Times New Roman"/>
          <w:sz w:val="18"/>
          <w:szCs w:val="18"/>
          <w:color w:val="auto"/>
        </w:rPr>
        <w:t>” or similar terms (whether or not capitalized) means the actual knowledge of Jim Tananbaum and Dennis Ryan.</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domestic or foreign, federal, state, municipality or local law, statute, ordinance, code, rule, or regulation.</w:t>
      </w:r>
    </w:p>
    <w:p>
      <w:pPr>
        <w:spacing w:after="0" w:line="8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xml:space="preserve">” means the lease described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 together with all fixtures and improvements erected on the premises leased thereby.</w:t>
      </w:r>
    </w:p>
    <w:p>
      <w:pPr>
        <w:spacing w:after="0" w:line="9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mortgage, lien, pledge, charge, security interest or encumbrance of any kind in respect of such property or asset, and any conditional sale or voting agreement or proxy, including any agreement to give any of the foregoing.</w:t>
      </w:r>
    </w:p>
    <w:p>
      <w:pPr>
        <w:spacing w:after="0" w:line="108"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means the lockup agreements, in each case substantially in the form attached hereto as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5" w:name="page306"/>
    <w:bookmarkEnd w:id="3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xml:space="preserve">” means a material adverse change or a material adverse effect upon the assets, liabilities, financial condition, net worth, management, earnings, cash flows, business, operations or properties of the Company and the Business,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“Material Adverse Effect” or “Material Adverse Change” shall not include any event, occurrence, fact, condition or change, directly or indirectly, arising out of or attributable to: (a) general economic or political conditions; (b) conditions generally affecting the industries in which the Company operates; (c) 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action required or permitted by this Agreement or any action taken (or omitted to be taken) with the written consent of or at the written request of Parent; (f) any changes in applicable Laws or accounting rules (including U.S. GAAP) or the enforcement, implementation or interpretation thereof; (g) the announcement, pendency or completion of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subclause (g) shall not apply to any representation or warranty contained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5.8</w:t>
      </w:r>
      <w:r>
        <w:rPr>
          <w:rFonts w:ascii="Times New Roman" w:cs="Times New Roman" w:eastAsia="Times New Roman" w:hAnsi="Times New Roman"/>
          <w:sz w:val="18"/>
          <w:szCs w:val="18"/>
          <w:color w:val="auto"/>
        </w:rPr>
        <w:t xml:space="preserve"> or to the determination of whether any inaccuracy in such representations or warranties would reasonably be expected to have a Material Adverse Effect for purposes of </w:t>
      </w:r>
      <w:r>
        <w:rPr>
          <w:rFonts w:ascii="Times New Roman" w:cs="Times New Roman" w:eastAsia="Times New Roman" w:hAnsi="Times New Roman"/>
          <w:sz w:val="18"/>
          <w:szCs w:val="18"/>
          <w:u w:val="single" w:color="auto"/>
          <w:color w:val="auto"/>
        </w:rPr>
        <w:t>Sections 10.2(b)</w:t>
      </w:r>
      <w:r>
        <w:rPr>
          <w:rFonts w:ascii="Times New Roman" w:cs="Times New Roman" w:eastAsia="Times New Roman" w:hAnsi="Times New Roman"/>
          <w:sz w:val="18"/>
          <w:szCs w:val="18"/>
          <w:color w:val="auto"/>
        </w:rPr>
        <w:t>); (h) any natural or man-made disaster or acts of God or the COVID-19 pandemic; or (i) any failure by the Company to meet any internal or published projections, forecasts or revenue or earnings predictions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causes of such failures (subject to the other provisions of this definition) shall not be excluded); except, in the case of subclauses (a), (b), (d), (f) and (h), to the extent such change, event, circumstance or effect has a disproportionate adverse effect on such entity as compared to other Persons engaged in the same industry.</w:t>
      </w:r>
    </w:p>
    <w:p>
      <w:pPr>
        <w:spacing w:after="0" w:line="1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set forth in the recitals to this Agreement.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5.30</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Capital Market.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7.5(f)</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decree, order, judgment, writ, award, injunction, rule or consent of or by an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Authority.</w:t>
      </w:r>
    </w:p>
    <w:p>
      <w:pPr>
        <w:spacing w:after="0" w:line="139"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Filings</w:t>
      </w:r>
      <w:r>
        <w:rPr>
          <w:rFonts w:ascii="Times New Roman" w:cs="Times New Roman" w:eastAsia="Times New Roman" w:hAnsi="Times New Roman"/>
          <w:sz w:val="18"/>
          <w:szCs w:val="18"/>
          <w:color w:val="auto"/>
        </w:rPr>
        <w:t>” means any filings to be made by Parent required under the Exchange Act, Securities Act or any other United States federal, foreign or blue sky laws, other than the SEC Statement and the other Offer Documents.</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Parachute Payment Waiver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Certificate of Incorporation</w:t>
      </w:r>
      <w:r>
        <w:rPr>
          <w:rFonts w:ascii="Times New Roman" w:cs="Times New Roman" w:eastAsia="Times New Roman" w:hAnsi="Times New Roman"/>
          <w:sz w:val="18"/>
          <w:szCs w:val="18"/>
          <w:color w:val="auto"/>
        </w:rPr>
        <w:t>” means the Amended and Restated Certificate of Incorporation of the Company, as filed on August 11, 2020 with the Secretary of State of the State of Delaware pursuant to the DGCL.</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A Shares</w:t>
      </w:r>
      <w:r>
        <w:rPr>
          <w:rFonts w:ascii="Times New Roman" w:cs="Times New Roman" w:eastAsia="Times New Roman" w:hAnsi="Times New Roman"/>
          <w:sz w:val="18"/>
          <w:szCs w:val="18"/>
          <w:color w:val="auto"/>
        </w:rPr>
        <w:t>” means the Class A common stock, $0.0001 par value, of Parent.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B Shares</w:t>
      </w:r>
      <w:r>
        <w:rPr>
          <w:rFonts w:ascii="Times New Roman" w:cs="Times New Roman" w:eastAsia="Times New Roman" w:hAnsi="Times New Roman"/>
          <w:sz w:val="18"/>
          <w:szCs w:val="18"/>
          <w:color w:val="auto"/>
        </w:rPr>
        <w:t>” means the Class B common stock, $0.0001 par value, of Parent.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Parent Class A Shares and Parent Class B Shares.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6" w:name="page307"/>
    <w:bookmarkEnd w:id="3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Fundamental Representations</w:t>
      </w:r>
      <w:r>
        <w:rPr>
          <w:rFonts w:ascii="Times New Roman" w:cs="Times New Roman" w:eastAsia="Times New Roman" w:hAnsi="Times New Roman"/>
          <w:sz w:val="18"/>
          <w:szCs w:val="18"/>
          <w:color w:val="auto"/>
        </w:rPr>
        <w:t xml:space="preserve">” means the representations and warranties of Parent set forth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Liabilities</w:t>
      </w:r>
      <w:r>
        <w:rPr>
          <w:rFonts w:ascii="Times New Roman" w:cs="Times New Roman" w:eastAsia="Times New Roman" w:hAnsi="Times New Roman"/>
          <w:sz w:val="18"/>
          <w:szCs w:val="18"/>
          <w:color w:val="auto"/>
        </w:rPr>
        <w:t>” means, as of any determination time, the aggregate of all debts, liabilities and obligations, whether accrued or fixed, absolute or contingent, known or unknown, matured or unmatured or determined or determinable, including those arising under any Law, Action or Order and those arising under any Contract, of Parent or Merger Sub, whether or not such liabilities are due and payable as of such time, including all fees, expense, commissions or other amounts incurred by or on behalf of, or otherwise payable by, whether or not due, Parent or Merger Sub in connection with the negotiation, preparation or execution of this Agreement or any Additional Agreements, the performance of any covenants or agreements in this Agreement or any Additional Agreement or the consummation of the transactions contemplated hereby or thereby.</w:t>
      </w:r>
    </w:p>
    <w:p>
      <w:pPr>
        <w:spacing w:after="0" w:line="1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Redemption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Support Agreement</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each license, franchise, permit, order, approval, consent or other similar authorization required to be obtained and maintained by the Company under applicable Law to carry out or otherwise affecting, or relating in any way to, the Business.</w:t>
      </w:r>
    </w:p>
    <w:p>
      <w:pPr>
        <w:spacing w:after="0" w:line="95"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(a) all defects, exceptions, restrictions, easements, rights of way and encumbrances disclosed in policies of title insurance which have been made available to Parent; (b) mechanics’, carriers’, workers’, repairers’ and similar statutory Liens arising or incurred in the ordinary course of business for amounts (i) that are not delinquent, (ii) that are not material to the business, operations and financial condition of the Company so encumbered, either individually or in the aggregate, and (iii) not resulting from a breach, default or violation by the Company of any Contract or Law; (c) liens for Taxes not yet due and payable or which are being contested in good faith by appropriate proceedings (and for which adequate accruals or reserves have been established on the Company Financial Statements in accordance with U.S. GAAP); and (d) the Liens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112" w:lineRule="exact"/>
        <w:rPr>
          <w:sz w:val="20"/>
          <w:szCs w:val="20"/>
          <w:color w:val="auto"/>
        </w:rPr>
      </w:pPr>
    </w:p>
    <w:p>
      <w:pPr>
        <w:jc w:val="both"/>
        <w:ind w:left="460" w:right="459" w:firstLine="864"/>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Personal Information</w:t>
      </w:r>
      <w:r>
        <w:rPr>
          <w:rFonts w:ascii="Times New Roman" w:cs="Times New Roman" w:eastAsia="Times New Roman" w:hAnsi="Times New Roman"/>
          <w:sz w:val="17"/>
          <w:szCs w:val="17"/>
          <w:color w:val="auto"/>
        </w:rPr>
        <w:t>” means any data or information, on any media that, alone or in combination with other data or information, can, directly or indirectly, be associated with or be reasonably used to identify an individual natural Person (including any part of such Person’s name, physical address, telephone number, email address, financial account number or credit card number, government issued identifier (including social security number and driver’s license number), user identification number and password, billing and transactional information, medical, health or insurance information, date of birth, educational or employment information, vehicle identification number, IP address, cookie identifier, or any other number or identifier that identifies an individual natural Person, or such Person’s vehicle, browser or device), or any other data or information that constitutes personal data, protected health information, personally identifiable information, personal information or similar defined term under any Privacy Law or Healthcare Laws (including protected health information, as defined in 45 C.F.R. §160.103 and personal data, as defined in the EU General Data Protection Regulation).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7" w:name="page308"/>
    <w:bookmarkEnd w:id="3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each “employee benefit plan” within the meaning of Section 3(3) of ERISA and all other compensation and benefits plans, policies, programs, or arrangements, including multiemployer plans within the meaning of Section 3(37) of ERISA, and each other stock purchase, stock option, restricted stock, severance, retention, employment (other than any employment offer letter in such form as previously provided to Parent that is terminable “at will” without any contractual obligation on the part of the Company to make any severance, termination, change of control, or similar payment), consulting, change-of-control, collective bargaining, bonus, incentive, deferred compensation, employee loan, fringe benefit and other benefit plan, agreement, program, policy, commitment or other arrangement, whether or not subject to ERISA (including any related funding mechanism now in effect or required in the future), whether formal or informal, oral or written, in each case, that is sponsored, maintained, contributed or required to be contributed to by the Company, or under which the Company has any current or potential liability.</w:t>
      </w:r>
    </w:p>
    <w:p>
      <w:pPr>
        <w:spacing w:after="0" w:line="1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Portion</w:t>
      </w:r>
      <w:r>
        <w:rPr>
          <w:rFonts w:ascii="Times New Roman" w:cs="Times New Roman" w:eastAsia="Times New Roman" w:hAnsi="Times New Roman"/>
          <w:sz w:val="18"/>
          <w:szCs w:val="18"/>
          <w:color w:val="auto"/>
        </w:rPr>
        <w:t xml:space="preserve">” shall mean, with respect to each Escrow Participant, an amount equal to the quotient (expressed as a percentage) obtained by </w:t>
      </w:r>
      <w:r>
        <w:rPr>
          <w:rFonts w:ascii="Times New Roman" w:cs="Times New Roman" w:eastAsia="Times New Roman" w:hAnsi="Times New Roman"/>
          <w:sz w:val="18"/>
          <w:szCs w:val="18"/>
          <w:i w:val="1"/>
          <w:iCs w:val="1"/>
          <w:u w:val="single" w:color="auto"/>
          <w:color w:val="auto"/>
        </w:rPr>
        <w:t>dividing</w:t>
      </w:r>
      <w:r>
        <w:rPr>
          <w:rFonts w:ascii="Times New Roman" w:cs="Times New Roman" w:eastAsia="Times New Roman" w:hAnsi="Times New Roman"/>
          <w:sz w:val="18"/>
          <w:szCs w:val="18"/>
          <w:color w:val="auto"/>
        </w:rPr>
        <w:t xml:space="preserve"> (a) the number of Escrow Participant Company Securities held by such Escrow Participant as of immediately prior to the Effective Time (on an as converted to common stock basis) by (b) the total number of shares of Escrow Participant Company Securities as of immediately prior to the Effective Time.</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99"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in substantially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Statement</w:t>
      </w:r>
      <w:r>
        <w:rPr>
          <w:rFonts w:ascii="Times New Roman" w:cs="Times New Roman" w:eastAsia="Times New Roman" w:hAnsi="Times New Roman"/>
          <w:sz w:val="18"/>
          <w:szCs w:val="18"/>
          <w:color w:val="auto"/>
        </w:rPr>
        <w:t>” means the Form S-4, including the Proxy Statement, whether in preliminary or definitive form, and any amendments or supplements thereto.</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Company Securityholder</w:t>
      </w:r>
      <w:r>
        <w:rPr>
          <w:rFonts w:ascii="Times New Roman" w:cs="Times New Roman" w:eastAsia="Times New Roman" w:hAnsi="Times New Roman"/>
          <w:sz w:val="18"/>
          <w:szCs w:val="18"/>
          <w:color w:val="auto"/>
        </w:rPr>
        <w:t>” has the meaning set forth in the recitals to this Agreement.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FS Development Holdings, LLC, a Delaware limited liability company.</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5.15(a)(vi)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each entity of which at least fifty percent (50%) of the capital stock or other equity or voting securities are Controlled or owned, directly or indirectly, by the Company.</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Survival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SVB</w:t>
      </w:r>
      <w:r>
        <w:rPr>
          <w:rFonts w:ascii="Times New Roman" w:cs="Times New Roman" w:eastAsia="Times New Roman" w:hAnsi="Times New Roman"/>
          <w:sz w:val="18"/>
          <w:szCs w:val="18"/>
          <w:color w:val="auto"/>
        </w:rPr>
        <w:t>” means Silicon Valley Bank.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8" w:name="page309"/>
    <w:bookmarkEnd w:id="3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SVB Loan</w:t>
      </w:r>
      <w:r>
        <w:rPr>
          <w:rFonts w:ascii="Times New Roman" w:cs="Times New Roman" w:eastAsia="Times New Roman" w:hAnsi="Times New Roman"/>
          <w:sz w:val="18"/>
          <w:szCs w:val="18"/>
          <w:color w:val="auto"/>
        </w:rPr>
        <w:t>” means the Loan and Security Agreement, dated as of February 8, 2019, by and between SVB and the Company, pursuant to which SVB made available to the Company term loan advances in an original principal amount of up to Ten Million Dollars ($10,000,000.00).</w:t>
      </w:r>
    </w:p>
    <w:p>
      <w:pPr>
        <w:spacing w:after="0" w:line="108"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Tangible Personal Property</w:t>
      </w:r>
      <w:r>
        <w:rPr>
          <w:rFonts w:ascii="Times New Roman" w:cs="Times New Roman" w:eastAsia="Times New Roman" w:hAnsi="Times New Roman"/>
          <w:sz w:val="18"/>
          <w:szCs w:val="18"/>
          <w:color w:val="auto"/>
        </w:rPr>
        <w:t xml:space="preserve">” means all tangible personal property and interests therein, including machinery, computers and accessories, furniture, office equipment, communications equipment, automobiles, laboratory equipment and other equipment owned or leased by the Company and other tangible property, including the items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U.S. federal, state or local or non-U.S. tax, charge, fee, levy, custom, duty, deficiency, or other assessment of any kind or nature imposed by any Taxing Authority (including any income (net or gross), gross receipts,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escheat and other Taxes), together with any interest, penalty, additions to tax or additional amount imposed with respect thereto and shall include any liability for such amounts as a result of (a) being a transferee or successor or member of a combined, consolidated, unitary or affiliated group, or (b) a contractual obligation to indemnify any Person (other than any commercial agreement the principal purpose of which is not Taxes).</w:t>
      </w:r>
    </w:p>
    <w:p>
      <w:pPr>
        <w:spacing w:after="0" w:line="113"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the Internal Revenue Service and any other Authority responsible for the collection, assessment or imposition of any Tax or the administration of any Law relating to any Tax.</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for so long as the Parent Class A Shares are listed or admitted for trading on the NYSE American or any other national securities exchange, days on which such securities exchange is open for business; (b) when and if the Parent Class A Shares are quoted on the Nasdaq or any similar system of automated dissemination of quotations of securities prices, days on which trades may be made on such system; or (c) if the Parent Class A Shares are not listed or admitted to trading on any national securities exchange or quoted on the Nasdaq or similar system, days on which the Parent Class A Shares are traded regular way in the over-the- counter market and for which a closing bid and a closing asked price for the Parent Class A Shares are available</w:t>
      </w:r>
    </w:p>
    <w:p>
      <w:pPr>
        <w:spacing w:after="0" w:line="12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to occur at or immediately prior to the Closing, including the Merger.</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Parent Liabilities</w:t>
      </w:r>
      <w:r>
        <w:rPr>
          <w:rFonts w:ascii="Times New Roman" w:cs="Times New Roman" w:eastAsia="Times New Roman" w:hAnsi="Times New Roman"/>
          <w:sz w:val="18"/>
          <w:szCs w:val="18"/>
          <w:color w:val="auto"/>
        </w:rPr>
        <w:t>” means the Parent Liabilities that remain unpaid as of immediately prior to the Closing.</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Option</w:t>
      </w:r>
      <w:r>
        <w:rPr>
          <w:rFonts w:ascii="Times New Roman" w:cs="Times New Roman" w:eastAsia="Times New Roman" w:hAnsi="Times New Roman"/>
          <w:sz w:val="18"/>
          <w:szCs w:val="18"/>
          <w:color w:val="auto"/>
        </w:rPr>
        <w:t>” means each Company Option outstanding as of immediately prior to the Effective Time that is not a Vested Company Option.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9" w:name="page310"/>
    <w:bookmarkEnd w:id="3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means U.S. generally accepted accounting principles, consistently applied.</w:t>
      </w:r>
    </w:p>
    <w:p>
      <w:pPr>
        <w:spacing w:after="0" w:line="158"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Option</w:t>
      </w:r>
      <w:r>
        <w:rPr>
          <w:rFonts w:ascii="Times New Roman" w:cs="Times New Roman" w:eastAsia="Times New Roman" w:hAnsi="Times New Roman"/>
          <w:sz w:val="18"/>
          <w:szCs w:val="18"/>
          <w:color w:val="auto"/>
        </w:rPr>
        <w:t>” means each Company Option outstanding as of immediately prior to the Effective Time that is vested as of immediately prior to the Effective Time or will vest solely as a result of the consummation of the Merger.</w:t>
      </w:r>
    </w:p>
    <w:p>
      <w:pPr>
        <w:spacing w:after="0" w:line="1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has the meaning set forth in the definition of Additional Agreements.</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the volume weighted average price of the Parent Class A Shares for the ten (10) Trading Days ending on the Trading Day immediately preceding the Closing Date.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6" w:lineRule="auto"/>
        <w:tabs>
          <w:tab w:leader="none" w:pos="156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particular sections and subsections, schedules, and exhibits not otherwise specified are cross-references to sections and subsections, schedules, and exhibits of this Agreement. Captions are not a part of this Agreement, but are included for convenience, only.</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8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words of similar import refer to this Agreement as a whole and not to any particular provision of this Agreement; and, unless the context requires otherwise, “party” means a party signatory hereto.</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use of the singular or plural, or the masculine, feminine or neuter gender, includes the others, unless the context otherwise requires; the word “including” means “including without limitation”; the word “or” means “and/or”; the word “any” means “any one, more than one, or all”; and, unless otherwise specified, any financial or accounting term has the meaning of the term under United States generally accepted accounting principles as consistently applied heretofore by the Company.</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3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any reference to any agreement (including this Agreement), instrument, or other document includes all schedules, exhibits, or other attachments referred to therein, and any reference to a statute or other law means such law as amended, restated, supplemented or otherwise modified from time to time and includes any rule, regulation, ordinance or the like promulgated thereunder, in each case, as amended, restated, supplemented or otherwise modified from time to time.</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3"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numbered schedule means the same-numbered section of the disclosure schedule. Any reference in a schedule contained in the disclosure schedules delivered by a party hereunder shall be deemed to be an exception to (or, as applicable, a disclosure for purposes of) the applicable representations and warranties (or applicable covenants) that are contained in the section or subsection of this Agreement that corresponds to such schedule and any other representations and warranties of such party that are contained in this Agreement to which the relevance of such item thereto is reasonably apparent on its face. The mere inclusion of an item in a schedule as an exception to (or, as applicable, a disclosure for purposes of) a representation or warranty shall not be deemed an admission that such item represents a material exception or material fact, event or circumstance or that such item would have a Material Adverse Effect or establish any standard of materiality to define further the meaning of such terms for purposes of this Agreement.</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4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3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the terms and subject to the conditions set forth in this Agreement, and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at the Effective Time, (a) Merger Sub shall be merged with and into the Company, (b) the separate corporate existence of Merger Sub shall thereupon cease, and the Company shall be the Surviving Corporation in the Merger, and (c) the Surviving Corporation shall become a wholly-owned Subsidiary of Parent. The Company Securityholders shall be entitled to the consideration described in, and in accordance with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0" w:name="page311"/>
    <w:bookmarkEnd w:id="3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Subject to the provisions of this Agreement, at the Closing, the Company shall file a certificate of merger in the form attached hereto as Exhibit L with the Secretary of State of the State of Delaware, executed in accordance with the relevant provisions of the DGCL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the Company and Merger Sub shall become the property, rights, privileges, agreements, powers and franchises, debts, liabilities, duties and obligations of the Surviving Corporation, which shall include the assumption by the Surviving Corporation of any and all agreements, covenants, duties and obligations of the Company and the Merger Sub set forth in this Agreement to be performed after the Closing. Merger Sub will be merged with and into the Company, and the separate corporate existence of Merger Sub will cease, and the Surviving Corporation will become wholly owned directly by Parent, all as provided under the DGCL and the provisions of this Agreement.</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U.S. Tax Treatment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2" w:lineRule="auto"/>
        <w:tabs>
          <w:tab w:leader="none" w:pos="159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U.S. federal income tax purposes, the Merger is intended to constitute a “reorganization” within the meaning of Section 368(a) of the Code. The parties to this Agreement hereby (i) adopt this Agreement insofar as it relates to the Merger as a “plan of reorganization” within the meaning of Section 1.368-2(g) of the United States Treasury regulations, (ii) agree to file and retain such information as shall be required under Section 1.368-3 of the United States Treasury regulations, and (iii) agree to file all Tax and other informational returns on a basis consistent with such characterization. Notwithstanding the foregoing or anything else to the contrary contained in this Agreement, the parties acknowledge and agree that, other than the representations set forth in </w:t>
      </w:r>
      <w:r>
        <w:rPr>
          <w:rFonts w:ascii="Times New Roman" w:cs="Times New Roman" w:eastAsia="Times New Roman" w:hAnsi="Times New Roman"/>
          <w:sz w:val="18"/>
          <w:szCs w:val="18"/>
          <w:u w:val="single" w:color="auto"/>
          <w:color w:val="auto"/>
        </w:rPr>
        <w:t>Sections 5.25(d)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6.18(e)</w:t>
      </w:r>
      <w:r>
        <w:rPr>
          <w:rFonts w:ascii="Times New Roman" w:cs="Times New Roman" w:eastAsia="Times New Roman" w:hAnsi="Times New Roman"/>
          <w:sz w:val="18"/>
          <w:szCs w:val="18"/>
          <w:color w:val="auto"/>
        </w:rPr>
        <w:t>, no party is making any representation or warranty as to the qualification of the Merger as a reorganization under Section 368(a) of the Code or as to the effect, if any, that any transaction consummated on, after or prior to the Effective Time has or may have on any such reorganization status. Each of the parties acknowledges and agrees that each such party (A) has had the opportunity to obtain independent legal and tax advice with respect to the transactions contemplated by this Agreement and (B) is responsible for paying its own Taxes, including any adverse Tax consequences that may result if the Merger is determined not to qualify as a reorganization under Section 368(a) of the Code.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69" w:lineRule="auto"/>
        <w:tabs>
          <w:tab w:leader="none" w:pos="1594"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connection with the preparation and filing of the Parent SEC Documents, the Additional Parent SEC Documents, the SEC Statement or any Other Filing (each individually, a “</w:t>
      </w:r>
      <w:r>
        <w:rPr>
          <w:rFonts w:ascii="Times New Roman" w:cs="Times New Roman" w:eastAsia="Times New Roman" w:hAnsi="Times New Roman"/>
          <w:sz w:val="17"/>
          <w:szCs w:val="17"/>
          <w:u w:val="single" w:color="auto"/>
          <w:color w:val="auto"/>
        </w:rPr>
        <w:t>Securities Filing</w:t>
      </w:r>
      <w:r>
        <w:rPr>
          <w:rFonts w:ascii="Times New Roman" w:cs="Times New Roman" w:eastAsia="Times New Roman" w:hAnsi="Times New Roman"/>
          <w:sz w:val="17"/>
          <w:szCs w:val="17"/>
          <w:color w:val="auto"/>
        </w:rPr>
        <w:t>”) or the SEC’s review thereof, the SEC requests or requires that a tax opinion (or tax opinions) with respect to the U.S. federal income tax consequences of the Merger be prepared and submitted in such connection (each, a “</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Opinion</w:t>
      </w:r>
      <w:r>
        <w:rPr>
          <w:rFonts w:ascii="Times New Roman" w:cs="Times New Roman" w:eastAsia="Times New Roman" w:hAnsi="Times New Roman"/>
          <w:sz w:val="17"/>
          <w:szCs w:val="17"/>
          <w:color w:val="auto"/>
        </w:rPr>
        <w:t>”), (i) the Company shall use its reasonable best efforts to deliver to Goodwin Procter LLP (“</w:t>
      </w:r>
      <w:r>
        <w:rPr>
          <w:rFonts w:ascii="Times New Roman" w:cs="Times New Roman" w:eastAsia="Times New Roman" w:hAnsi="Times New Roman"/>
          <w:sz w:val="17"/>
          <w:szCs w:val="17"/>
          <w:u w:val="single" w:color="auto"/>
          <w:color w:val="auto"/>
        </w:rPr>
        <w:t>Goodwin</w:t>
      </w:r>
      <w:r>
        <w:rPr>
          <w:rFonts w:ascii="Times New Roman" w:cs="Times New Roman" w:eastAsia="Times New Roman" w:hAnsi="Times New Roman"/>
          <w:sz w:val="17"/>
          <w:szCs w:val="17"/>
          <w:color w:val="auto"/>
        </w:rPr>
        <w:t>”) (or another nationally recognized tax or accounting firm in the United States reasonably acceptable to the Parties), in connection with any Tax Opinion rendered by Goodwin (or such other nationally recognized tax or accounting firm), customary Tax representation letters substantially in the form attached hereto as Exhibits M and N, dated and executed as of the date such relevant filing shall have been declared effective by the SEC and such other date(s) as determined to be reasonably necessary by Goodwin (or such other nationally recognized tax or accounting firm) in connection with the preparation and filing of such Securities Filing, and (ii) the Company shall use its reasonable best efforts to cause Goodwin (or such other nationally recognized tax or accounting firm) to furnish the Tax Opinions, subject to customary assumptions and limitations.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At the Effective Time, the Company Certificate of Incorporation, as in effect immediately prior to the Effective Time, shall cease to have effect and the certificate of incorporation of Merger Sub, as in effect immediately prior to the Effective Time, shall be the certificate of incorporation of the Surviving Corporation, except that reference to the name of Merger Sub shall be replaced by reference to the name of “Gemini Therapeutics Sub, Inc.”.</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Closing; Effective Time</w:t>
      </w:r>
      <w:r>
        <w:rPr>
          <w:rFonts w:ascii="Times New Roman" w:cs="Times New Roman" w:eastAsia="Times New Roman" w:hAnsi="Times New Roman"/>
          <w:sz w:val="18"/>
          <w:szCs w:val="18"/>
          <w:color w:val="auto"/>
        </w:rPr>
        <w:t xml:space="preserve">. Unless this Agreement is earlier terminated in accordance with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virtually at 10:00 a.m. local time, on the second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Business Day after the satisfaction or waiver (to the extent permitted by applicable law) of the conditions set forth</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1" w:name="page312"/>
    <w:bookmarkEnd w:id="3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at such other time, date and location as Parent and Company agree in writing. The parties may participate in the Closing via electronic means. The date on which the Closing actually occurs is hereinafter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Board of Directors of Parent</w:t>
      </w:r>
      <w:r>
        <w:rPr>
          <w:rFonts w:ascii="Times New Roman" w:cs="Times New Roman" w:eastAsia="Times New Roman" w:hAnsi="Times New Roman"/>
          <w:sz w:val="18"/>
          <w:szCs w:val="18"/>
          <w:color w:val="auto"/>
        </w:rPr>
        <w:t>. Immediately after the Closing, Parent’s Board of Directors will consist of seven (7) directors. Sponsor shall have the right to designate one (1) director and the Company shall designate six (6) directors as set forth in the Voting Agreement. At least a majority of the Board of Directors shall qualify as independent directors under the Securities Act and the Nasdaq rules. The parties to this Agreement and the Specified Company Securityholders shall enter into the Voting Agreement with respect to the election of directors. The officers and directors of Parent after the Closing shall also serve as the officers and directors of the Surviving Corporation.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Taking of Necessary Action; Further Action</w:t>
      </w:r>
      <w:r>
        <w:rPr>
          <w:rFonts w:ascii="Times New Roman" w:cs="Times New Roman" w:eastAsia="Times New Roman" w:hAnsi="Times New Roman"/>
          <w:sz w:val="18"/>
          <w:szCs w:val="18"/>
          <w:color w:val="auto"/>
        </w:rPr>
        <w:t>. If, at any time after the Closing, any further action is necessary or desirable to carry out the purposes of this Agreement and to vest the Surviving Corporation with full right, title and interest in, to and under, or possession of, all assets, property, rights, privileges, powers and franchises of the Company and the Merger Sub, the officers and directors of the Surviving Corporation are fully authorized in the name and on behalf of the Company and the Merger Sub, to take all lawful action necessary or desirable to accomplish such purpose or acts, so long as such action is not inconsistent with this Agreement.</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No Further Ownership Rights in Company Securities</w:t>
      </w:r>
      <w:r>
        <w:rPr>
          <w:rFonts w:ascii="Times New Roman" w:cs="Times New Roman" w:eastAsia="Times New Roman" w:hAnsi="Times New Roman"/>
          <w:sz w:val="18"/>
          <w:szCs w:val="18"/>
          <w:color w:val="auto"/>
        </w:rPr>
        <w:t>. At the Effective Time, the stock transfer books of the Company shall be closed and thereafter there shall be no further registration of transfers of shares of Company Capital Stock or other securities of the Company on the records of the Company. From and after the Effective Time, the holders of certificates evidencing ownership of shares of Company Capital Stock of the Company outstanding immediately prior to the Effective Time shall cease to have any rights with respect to such shares of Company Capital Stock, except as otherwise provided for herein or by Law.</w:t>
      </w:r>
    </w:p>
    <w:p>
      <w:pPr>
        <w:spacing w:after="0" w:line="120"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Notwithstanding anything to the contrary contained herein, any shares of Company Capital Stock that are issued and outstanding immediately prior to the Effective Time and in respect of which appraisal rights shall have been perfected, and not waived, withdrawn or lost, in accordance with the DGCL in connection with the Merger and that are owned by a holder who complies in all respects with Section 262 of the DGCL (such shares,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not be converted into the right to receive the applicable portion of the Closing Payment Shares, but shall instead be converted into the right to receive such consideration as may be determined to be due with respect to any such Dissenting Shares pursuant to the DGCL. At the Effective Time, (a) all Dissenting Shares shall be cancelled, extinguished and cease to exist and (b) the holders of Dissenting Shares shall be entitled only to such rights as may be granted to them under the DGCL. Each holder of Dissenting Shares who, pursuant to the DGCL, becomes entitled to payment thereunder for such shares shall receive payment therefor in accordance with the DGCL (but only after the value therefor shall have been agreed upon or finally determined pursuant to such provisions). If, after the Effective Time, any Dissenting Shares shall lose their status as Dissenting Shares, then any such shares shall immediately be deemed to have converted at the Effective Time into the right to receive the applicable portion of the Closing Payment Shares (upon the terms and conditions of this Agreement) in respect of such shares as if such shares never had been Dissenting Shares, and Parent shall issue and deliver (or cause to be issued and delivered) to the holder thereof, following the satisfaction of the applicable conditions set forth in this Agreement, the applicable portion of the Closing Payment Shares as if such shares never had been Dissenting Shares. The Company shall give Parent prompt written notice (and in any event within two (2) Business Days) of any demands received by the Company for appraisal of shares of Company Common Stock, attempted withdrawals of such demands and any other instruments served pursuant to the DGCL and received by the Company relating to rights to be paid the fair value of Dissenting Shares, and Parent shall have the right to participate in and, following the Effective Time, direct all negotiations and proceedings with respect to such demands. Prior to the Effective Time, neither the Company nor Parent shall, except with the prior written consent of the other party (in its sole discretion), or as otherwise required under the DGCL, (i) make any payment or offer to make any payment with respect to, or settle or compromise or offer to settle or compromise, any claim or demand in respect of any Dissenting Shares., (ii) waive any failure to timely deliver a written demand for appraisal or otherwise comply with the provisions under Section 262 of the DGCL or (iii) agree or commit to do any of the foregoing.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2" w:name="page313"/>
    <w:bookmarkEnd w:id="3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[INTENTIONALLY OMITTED]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Conversion of Company Securities; Convertible Notes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460" w:right="459" w:firstLine="858"/>
        <w:spacing w:after="0" w:line="253" w:lineRule="auto"/>
        <w:tabs>
          <w:tab w:leader="none" w:pos="1568"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Company Capital Stock</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at the Effective Time, by virtue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Merger and without any action on the part of Parent, Merger Sub, the Company or the Company Securityholders, each share of Company Capital Stock issued and outstanding immediately prior to the Effective Time (other than the Dissenting Shares) shall be canceled and automatically converted into the right to receive a number of Parent Class A Shares equal to the Closing Consideration Conversion Ratio, in each case, as set forth on the Capitalization Schedule delivered prior to Closing, subject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If any shares of Company Capital Stock issued and outstanding immediately prior to the Effective Time are shares of Company Restricted Stock, then the Parent Class A Shares issued in exchange for such Company Restricted Stock pursuant to the immediately preceding sentence shall to the same extent be unvested and subject to the same repurchase option or risk of forfeiture, and the certificates and/or book entries representing such Parent Class A Shares shall accordingly be marked with appropriate legends.</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2"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of Company Options. </w:t>
      </w:r>
      <w:r>
        <w:rPr>
          <w:rFonts w:ascii="Times New Roman" w:cs="Times New Roman" w:eastAsia="Times New Roman" w:hAnsi="Times New Roman"/>
          <w:sz w:val="18"/>
          <w:szCs w:val="18"/>
          <w:color w:val="auto"/>
        </w:rPr>
        <w:t>The Company shall terminate the Equity Incentive Plans at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prior to the Effective Time, contingent on the closing of the Merger. As of the Effective Time, all Company Options shall no longer be outstanding and each Person who previously held Company Options shall cease to have any rights with respect to such Company Options, except as set forth in this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Prior to the Effective Time, the Boards of Directors of the Company and Parent (or any duly authorized committee thereof) shall, as applicable, take all corporate actions necessary, including adopting appropriate resolutions and obtaining consents of the holders of the Company Options, if required, to provide that, as of the Effective Time, that each Company Option shall be assumed by Parent and shall continue in full force and effect, containing the same terms, conditions, vesting and other provisions as are currently applicable to such Company Options;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each such Company Option shall be exercisable for such number of Parent Class A Shares that equals the Closing Consideration Conversion Ratio multiplied by the number of shares of Company Common Stock subject to such Company Option as of immediately prior to the Effective Time, in each case, subject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at such per share exercise price that shall equal the per share exercise price of such Company Option as of immediately prior to the Effective Time divided by the Closing Consideration Conversion Ratio (as so converted, a “</w:t>
      </w:r>
      <w:r>
        <w:rPr>
          <w:rFonts w:ascii="Times New Roman" w:cs="Times New Roman" w:eastAsia="Times New Roman" w:hAnsi="Times New Roman"/>
          <w:sz w:val="18"/>
          <w:szCs w:val="18"/>
          <w:u w:val="single" w:color="auto"/>
          <w:color w:val="auto"/>
        </w:rPr>
        <w:t>Converted Company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that</w:t>
      </w:r>
    </w:p>
    <w:p>
      <w:pPr>
        <w:jc w:val="both"/>
        <w:ind w:left="460" w:right="459" w:hanging="6"/>
        <w:spacing w:after="0" w:line="251" w:lineRule="auto"/>
        <w:tabs>
          <w:tab w:leader="none" w:pos="77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such Company Option, any fractional shares that would be issuable upon exercise thereof will be rounded down to the nearest whole number of Parent Class A Shares and the per share exercise price will be rounded up to the nearest whole cent. Parent shall adopt the Parent Equity Incentive Plan, which will cover the Company Options, pursuant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per share exercise price and the number of Parent Class A Shares purchasable pursuant to each Converted Company Option shall be determined in a manner consistent with the requirements of Section 409A of the Code;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that in the case of any Unvested Company Options to which Section 422 of the Code applies, the exercise price and the number of Parent Class A Shares purchasable pursuant to the applicable Converted Company Option shall be determined in accordance with the foregoing, subject to such adjustments as are necessary in order to satisfy the requirements of Section 424(a) of the Code.</w:t>
      </w:r>
    </w:p>
    <w:p>
      <w:pPr>
        <w:spacing w:after="0" w:line="109" w:lineRule="exact"/>
        <w:rPr>
          <w:rFonts w:ascii="Times New Roman" w:cs="Times New Roman" w:eastAsia="Times New Roman" w:hAnsi="Times New Roman"/>
          <w:sz w:val="18"/>
          <w:szCs w:val="18"/>
          <w:color w:val="auto"/>
        </w:rPr>
      </w:pPr>
    </w:p>
    <w:p>
      <w:pPr>
        <w:ind w:left="460" w:right="459" w:firstLine="858"/>
        <w:spacing w:after="0" w:line="284" w:lineRule="auto"/>
        <w:tabs>
          <w:tab w:leader="none" w:pos="1568"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the Company Warrant</w:t>
      </w:r>
      <w:r>
        <w:rPr>
          <w:rFonts w:ascii="Times New Roman" w:cs="Times New Roman" w:eastAsia="Times New Roman" w:hAnsi="Times New Roman"/>
          <w:sz w:val="18"/>
          <w:szCs w:val="18"/>
          <w:color w:val="auto"/>
        </w:rPr>
        <w:t>. At the Effective Time, the Company Warrant will be treated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its terms.</w:t>
      </w:r>
    </w:p>
    <w:p>
      <w:pPr>
        <w:spacing w:after="0" w:line="90" w:lineRule="exact"/>
        <w:rPr>
          <w:rFonts w:ascii="Times New Roman" w:cs="Times New Roman" w:eastAsia="Times New Roman" w:hAnsi="Times New Roman"/>
          <w:sz w:val="18"/>
          <w:szCs w:val="18"/>
          <w:color w:val="auto"/>
        </w:rPr>
      </w:pPr>
    </w:p>
    <w:p>
      <w:pPr>
        <w:jc w:val="both"/>
        <w:ind w:left="460" w:right="459" w:firstLine="858"/>
        <w:spacing w:after="0" w:line="267" w:lineRule="auto"/>
        <w:tabs>
          <w:tab w:leader="none" w:pos="1592"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of Convertible Notes. </w:t>
      </w:r>
      <w:r>
        <w:rPr>
          <w:rFonts w:ascii="Times New Roman" w:cs="Times New Roman" w:eastAsia="Times New Roman" w:hAnsi="Times New Roman"/>
          <w:sz w:val="18"/>
          <w:szCs w:val="18"/>
          <w:color w:val="auto"/>
        </w:rPr>
        <w:t>Prior to the Closing, each Convertible Note will be converted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Company Series B Preferred Stock in accordance with the terms thereof, in each case, as set forth on Capitalization Schedule delivered prior to Closing.</w:t>
      </w:r>
    </w:p>
    <w:p>
      <w:pPr>
        <w:spacing w:after="0" w:line="105"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2"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Shares of Merger Sub</w:t>
      </w:r>
      <w:r>
        <w:rPr>
          <w:rFonts w:ascii="Times New Roman" w:cs="Times New Roman" w:eastAsia="Times New Roman" w:hAnsi="Times New Roman"/>
          <w:sz w:val="18"/>
          <w:szCs w:val="18"/>
          <w:color w:val="auto"/>
        </w:rPr>
        <w:t>. Each share of Merger Sub that is issued and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the Effective Time will, by virtue of the Merger and without further action on the part of the sole shareholder of Merger Sub, be converted into and become one share of the Surviving Corporation (and the shares of Surviving Corporation into which the shares of Merger Sub are so converted shall be the only shares of the Surviving Corporation that are issued and outstanding immediately after the Effective Time). Each certificate evidencing ownership of shares of Merger Sub will, as of the Effective Time, be deemed to evidence ownership of such shares of the Surviving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3" w:name="page314"/>
    <w:bookmarkEnd w:id="3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79" w:firstLine="858"/>
        <w:spacing w:after="0" w:line="267" w:lineRule="auto"/>
        <w:tabs>
          <w:tab w:leader="none" w:pos="154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Shares of Company Common Stock Owned by the Company</w:t>
      </w:r>
      <w:r>
        <w:rPr>
          <w:rFonts w:ascii="Times New Roman" w:cs="Times New Roman" w:eastAsia="Times New Roman" w:hAnsi="Times New Roman"/>
          <w:sz w:val="18"/>
          <w:szCs w:val="18"/>
          <w:color w:val="auto"/>
        </w:rPr>
        <w:t>. At the Effective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shares of Company Common Stock that are owned by the Company as treasury shares immediately prior to the Effective Time shall be canceled and extinguished without any conversion thereof.</w:t>
      </w:r>
    </w:p>
    <w:p>
      <w:pPr>
        <w:spacing w:after="0" w:line="105"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4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Surrender of Certificates</w:t>
      </w:r>
      <w:r>
        <w:rPr>
          <w:rFonts w:ascii="Times New Roman" w:cs="Times New Roman" w:eastAsia="Times New Roman" w:hAnsi="Times New Roman"/>
          <w:sz w:val="18"/>
          <w:szCs w:val="18"/>
          <w:color w:val="auto"/>
        </w:rPr>
        <w:t>. All Closing Payment Shares issued upon the surrender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cancellation of the Company Common Stock, in accordance with the terms hereof, shall be deemed to have been issued in full satisfaction of all rights pertaining to such securities, other than the additional obligations of Parent and the rights of the Stockholders pursuant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0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Lost or Destroyed Certificates</w:t>
      </w:r>
      <w:r>
        <w:rPr>
          <w:rFonts w:ascii="Times New Roman" w:cs="Times New Roman" w:eastAsia="Times New Roman" w:hAnsi="Times New Roman"/>
          <w:sz w:val="18"/>
          <w:szCs w:val="18"/>
          <w:color w:val="auto"/>
        </w:rPr>
        <w:t>. In the event any certificates representing shares of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shall have been lost, stolen or destroyed, Parent shall issue in exchange for such lost, stolen or destroyed certificates or securities, as the case may be, upon the making of an affidavit of that fact by the holder thereof (without the requirement to post a bond), such securities, as may be required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7" w:lineRule="auto"/>
        <w:tabs>
          <w:tab w:leader="none" w:pos="159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Escrow Shares</w:t>
      </w:r>
      <w:r>
        <w:rPr>
          <w:rFonts w:ascii="Times New Roman" w:cs="Times New Roman" w:eastAsia="Times New Roman" w:hAnsi="Times New Roman"/>
          <w:sz w:val="18"/>
          <w:szCs w:val="18"/>
          <w:color w:val="auto"/>
        </w:rPr>
        <w:t>. Notwithstanding anything to the contrary in the other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Parent shall withhold from the Closing Payment Shares issued to each applicable holder of Company Capital Stock at Closing the portion of the Escrow Shares set forth next to such holder of Company Capital Stock’s name on the Capitalization Schedule, all of which shall, as reflected in the Capitalization Schedule, be withheld on a pro rata basis in proportion to each Escrow Participant’s Pro Rata Portion. The aggregate amount of such shares withheld shall equal Escrow Shares.</w:t>
      </w:r>
    </w:p>
    <w:p>
      <w:pPr>
        <w:spacing w:after="0" w:line="114"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55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Capitalization Schedule</w:t>
      </w:r>
      <w:r>
        <w:rPr>
          <w:rFonts w:ascii="Times New Roman" w:cs="Times New Roman" w:eastAsia="Times New Roman" w:hAnsi="Times New Roman"/>
          <w:sz w:val="18"/>
          <w:szCs w:val="18"/>
          <w:color w:val="auto"/>
        </w:rPr>
        <w:t>. No later than three (3) Business Days prior to the Closing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shall deliver to Parent a final and updated Capitalization Schedule, which (A) updates the number of shares of Company Series B Preferred Stock that are issued upon conversion of the Convertible Notes, updates the number of shares of Company Common Stock outstanding to reflect the issuance of such Company Common Stock upon exercise of Company Options after the date hereof and updates the of Vested Company Options prior to the Closing Date and (B) sets forth the following information: (i) the name of each Company Securityholder; (ii) the number and type or class of each Company Security held by each Company Securityholder, including, if applicable to such Company Securityholder, the number of shares of Company Common Stock issuable upon conversion or exercise of such Company Security and the exercise price per share for such Company Security; (iii) the vesting arrangements with respect to each Company Security held by such Company Securityholder (including the vesting schedule, vesting commencement date, date fully vested and the extent to which such Company Security is or will be vested as of the Effective Time); (iv) the total number of Parent Class A Shares issuable pursuant to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in respect of each share of Company Capital Stock held by such Company Securityholder; (v) the total number of Parent Class A Shares issuable pursuant to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upon conversion of each Company Option and the Company Warrant, respectively, held by such Company Securityholder, and the respective exercise price per share applicable to such Company Option and the Company Warrant following the Effective Time; (vi) the number of Escrow Shares deposited into the Escrow Fund on behalf of such Company Securityholder pursuant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(vii) such Company Securityholder’s Pro Rata Portion, if any. Nothing contained in this </w:t>
      </w:r>
      <w:r>
        <w:rPr>
          <w:rFonts w:ascii="Times New Roman" w:cs="Times New Roman" w:eastAsia="Times New Roman" w:hAnsi="Times New Roman"/>
          <w:sz w:val="18"/>
          <w:szCs w:val="18"/>
          <w:u w:val="single" w:color="auto"/>
          <w:color w:val="auto"/>
        </w:rPr>
        <w:t>Section 4.1(j)</w:t>
      </w:r>
      <w:r>
        <w:rPr>
          <w:rFonts w:ascii="Times New Roman" w:cs="Times New Roman" w:eastAsia="Times New Roman" w:hAnsi="Times New Roman"/>
          <w:sz w:val="18"/>
          <w:szCs w:val="18"/>
          <w:color w:val="auto"/>
        </w:rPr>
        <w:t xml:space="preserve"> or in the updated Capitalization Schedule delivered pursuant hereto shall be construed or deemed to: (x) modify the Company’s obligations to obtain Parent’s prior consent to the issuance of any securities pursuant to </w:t>
      </w:r>
      <w:r>
        <w:rPr>
          <w:rFonts w:ascii="Times New Roman" w:cs="Times New Roman" w:eastAsia="Times New Roman" w:hAnsi="Times New Roman"/>
          <w:sz w:val="18"/>
          <w:szCs w:val="18"/>
          <w:u w:val="single" w:color="auto"/>
          <w:color w:val="auto"/>
        </w:rPr>
        <w:t>Section 7.1(a)(xvi)</w:t>
      </w:r>
      <w:r>
        <w:rPr>
          <w:rFonts w:ascii="Times New Roman" w:cs="Times New Roman" w:eastAsia="Times New Roman" w:hAnsi="Times New Roman"/>
          <w:sz w:val="18"/>
          <w:szCs w:val="18"/>
          <w:color w:val="auto"/>
        </w:rPr>
        <w:t>; or (y) alter or amend the total aggregate number of Closing Payment Shares issuable or reserved for issuance to the Company Securityholders; or (z) alter or amend the definition of Closing Consideration Conversion Ratio.</w:t>
      </w:r>
    </w:p>
    <w:p>
      <w:pPr>
        <w:spacing w:after="0" w:line="13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No fractional Parent Class A Shares, or certificates or scrip representing fractional Parent Class A Shares, will be issued upon the conversion of the Company Capital Stock pursuant to the Merger, including with respect to any release of the Escrow Shares pursuant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the Escrow Agreement, and such fractional share interests will not entitle the owner thereof to vote or to any rights of a stockholder of Parent. Any fractional Parent Class A Shares will be rounded down to the nearest whole number of Parent Class A Shares.</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Parent and the Surviving Corporation shall be entitled to deduct and withhold from the consideration otherwise payable to any Person pursuant to this Agreement such amounts as may be required to be deducted or withheld with respect to the making of such payment under the Code, or under any provision of state, local or non-U.S. Tax Law. To the extent that amounts are so deducted and withheld and paid over to the appropriate Taxing Authorities, such amounts shall be treated for all purposes under this Agreement as having been paid to the Person in respect of which such deduction and withholding was made. Notwithstanding the foregoing, Parent, the Company and the Surviving Corporation shall provide recipients of consideration with a reasonable opportunity to provide documentation establishing exemptions from or reductions of such withholdings.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4" w:name="page315"/>
    <w:bookmarkEnd w:id="3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12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Except as set forth in the disclosure schedules delivered by the Company to Parent prior to the execution of this Agreement, the Company hereby represents and warrants to Parent that each of the following representations and warranties are true, correct and complete as of the date of this Agreement and as of the Closing Date.</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xml:space="preserve">. The Company is a corporation duly organized and validly existing under the laws of the State of Delaware The Company has all power and authority, corporate and otherwise, required to own and operate its properties and assets and to carry on the Business as presently conducted and as proposed to be conducted. The Company has the corporate power and authority to own or lease all of its properties and assets and to carry on its Business as it is now being conducted. The Company is duly licensed or qualified to do business in each jurisdiction in which its properties are owned or leased by it or the operation of its Business as currently conducted makes such licensing or qualification necessary, except where the failure to be so licensed or qualified would not have a Material Adverse Effect. The Company has offices located only at the addresses set forth on </w:t>
      </w:r>
      <w:r>
        <w:rPr>
          <w:rFonts w:ascii="Times New Roman" w:cs="Times New Roman" w:eastAsia="Times New Roman" w:hAnsi="Times New Roman"/>
          <w:sz w:val="18"/>
          <w:szCs w:val="18"/>
          <w:u w:val="single" w:color="auto"/>
          <w:color w:val="auto"/>
        </w:rPr>
        <w:t>Schedule 5.1</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4" w:lineRule="auto"/>
        <w:tabs>
          <w:tab w:leader="none" w:pos="1573"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and the Additional Agreements to which the Company is or will be a party and the consummation by the Company of the transactions contemplated hereby and thereby are within the corporate powers of the Company and have been duly authorized by all necessary action on the part of the Company. This Agreement constitutes, and, upon the execution and delivery thereof, each Additional Agreement to which the Company is or will be a party will constitute, a valid and legally binding agreement of the Company, enforceable against the Company in accordance with its terms, except as may be limited by bankruptcy, insolvency, reorganization or other similar laws affecting the enforcement of creditors’ rights generally and by general principles of equity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1"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resolutions duly adopted (and not thereafter modified or rescinded) by the requisite vote of the Board of Directors of the Company, the Board of Directors of the Company has (i) approved this Agreement, the Additional Agreements and the transactions contemplated hereby and thereby in accordance with the provisions of the DGCL and the Company Certificate of Incorporation; (ii) determined that this Agreement, the Additional Agreements and the transactions contemplated hereby and thereby, upon the terms and subject to the conditions set forth herein, are advisable and fair to and in the best interests of the Company and the Company Stockholders; (iii) directed that the adoption of this Agreement be submitted to the Company Stockholders for consideration and recommended that all of the Company Stockholders adopt this Agreement. The affirmative votes or written consents of (a) Persons holding more than fifty percent (50%) (on an as-converted basis) of the voting power of the Company Stockholders; (b) Persons holding more than fifty percent (50%) of outstanding shares of Company Preferred Stock, voting as a separate class; and (c) Persons holding more than fifty percent (50%) of outstanding shares of Company Series B Preferred Stock, voting as a separate class, in each case, who deliver written consents or are present in person or by proxy at such meeting and voting thereon are required to, and shall be sufficient to, approve this Agreement and the transactions contemplated hereby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Stockholder Approval is the only vote or consent of any of the holders of any of the Company Capital Stock necessary to adopt this Agreement and approve the Merger and the consummation of the other transactions contemplated hereby.</w:t>
      </w:r>
    </w:p>
    <w:p>
      <w:pPr>
        <w:spacing w:after="0" w:line="12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None of the execution, delivery or performance by the Company of this Agreement or any Additional Agreement to which the Company is or will be a party, or the consummation of the transactions contemplated hereby or thereby, requires any consent, approval, license, order or other action by or in respect of, or registration, declaration or filing with, any Authority, except for the filing of the Certificate of Merger with the Secretary of State of the State of Delaware pursuant to the DGCL.</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None of the execution, delivery or performance by the Company of this Agreement or any Additional Agreement to which the Company is or will be a party does or will (a) contravene or conflict with the organizational documents of the Company, (b) contravene or conflict with or constitute a violation of any provision of any Law or Order binding upon or applicable to the Company or by which any of the Company’s assets is or may be bound, (c) except for the Contracts listed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requiring the Company (but only as to the need to obtain such Company Consents), constitute a default under or breach of (with or without the giving of notice or the passage of time or both) or violate or give rise to any right of termination, cancellation, amendment or acceleration of any right or obligation of the Company or require any payment or reimbursement or to a loss of any material benefit relating</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5" w:name="page316"/>
    <w:bookmarkEnd w:id="3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the Business to which the Company is entitled under any provision of any Permit, Contract or other instrument or obligations binding upon the Company or by which any of the Company’s assets is or may be bound or any Permit, (d) cause a loss of any material benefit relating to the Business to which the Company is entitled under any provision of any Permit or Contract binding upon the Company or by which any of the Company’s assets is or may be bound, (e) result in the creation or imposition of any Lien (except for Permitted Liens) on any of the Company’s assets or any of the Company Securities, or (f) require any consent, approval or waiver from any Person pursuant to any provision of the Company Certificate of Incorporation or by-laws, except for such consent, approval or waiver which shall be obtained (and a copy provided to Parent) prior to the Closing.</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2" w:lineRule="auto"/>
        <w:tabs>
          <w:tab w:leader="none" w:pos="159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95,000,000 shares of the Company Common Stock, par value $0.001 per share, and 76,723,489 shares of preferred stock, par value $0.001 per share (the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xml:space="preserve">”), of which 5,858,662 shares of Company Common Stock, 39,722,088 shares of Company Series A Preferred Stock and 24,790,938 shares of Company Series B Preferred Stock are issued and outstanding as of the date of this Agreement. There are 8,129,358 shares of Company Common Stock reserved for issuance pursuant to outstanding unexercised Company Options. There are 2,342,148 shares of Company Common Stock reserved for issuance under the Equity Incentive Plans. In addition, the Company Warrant to purchase 70,000 shares of Company Series A Preferred Stock is issued and outstanding as of the date of this Agreement. No other shares of capital stock or other voting securities of the Company are issued, reserved for issuance or outstanding. All issued and outstanding shares of Company Common Stock and Company Preferred Stock are duly authorized, validly issued, fully paid and nonassessable. No shares of Company Common Stock or Company Preferred Stock were or are subject to, or were issued in violation of any purchase option, right of first refusal, preemptive right, subscription right or any similar right (including under any provision of the DGCL Corporation Law, the Company Certificate of Incorporation or any Contract to which the Company is a party or by which the Company is bound). </w:t>
      </w:r>
      <w:r>
        <w:rPr>
          <w:rFonts w:ascii="Times New Roman" w:cs="Times New Roman" w:eastAsia="Times New Roman" w:hAnsi="Times New Roman"/>
          <w:sz w:val="18"/>
          <w:szCs w:val="18"/>
          <w:u w:val="single" w:color="auto"/>
          <w:color w:val="auto"/>
        </w:rPr>
        <w:t>Schedule 5.5(a)</w:t>
      </w:r>
      <w:r>
        <w:rPr>
          <w:rFonts w:ascii="Times New Roman" w:cs="Times New Roman" w:eastAsia="Times New Roman" w:hAnsi="Times New Roman"/>
          <w:sz w:val="18"/>
          <w:szCs w:val="18"/>
          <w:color w:val="auto"/>
        </w:rPr>
        <w:t xml:space="preserve"> contains a true, correct and complete list of each Company Option outstanding as of the date of this Agreement, the holder thereof, the number of shares of Company Common Stock issuable thereunder or otherwise subject thereto, the grant date thereof and the exercise price and expiration date thereof.</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Company Restricted Stock, Company Options, the Company Warrant and the Convertible Notes, there are no (i) outstanding warrants, options, agreements, convertible securities, performance units or other commitments or instruments pursuant to which the Company is or may become obligated to issue or sell any of its shares or other securities, (ii) outstanding obligations of the Company to repurchase, redeem or otherwise acquire outstanding capital stock of the Company or any securities convertible into or exchangeable for any shares of capital stock of the Company, (iii) treasury shares of capital stock of the Company, (iv) bonds, 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pursuant to any provision of Law, the Company Certificate of Incorporation or any Contract to which the Company is a party, or (vi) Liens (including any right of first refusal, right of first offer, proxy, voting trust, voting agreement or similar arrangement) with respect to the sale or voting of shares or securities of the Company (whether outstanding or issuable).</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0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(i) was granted in compliance in all material respects with (A) all applicable Laws and (B) all of the terms and conditions of the Equity Incentive Plans pursuant to which it was issued, (ii) has an exercise price per share of Company Common Stock equal to or greater than the fair market value of such share at the close of business on the date of such grant, and (iii) has a grant date identical to the date on which the Board of Directors of the Company or compensation committee actually awarded such Company Option.</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0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all outstanding shares of the Company Capital Stock are owned of record by the Persons set forth on the Capitalization Schedule in the amounts set forth opposite their respective names. All of the outstanding shares of Company Capital Stock are validly issued and outstanding, fully paid and nonassessable with no personal liability attaching to the ownership thereof.</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All proceedings occurring since January 1, 2016 of the Board of Directors of the Company, including all committees thereof, and of the Company Stockholders, and all consents to actions taken thereby, are accurately reflected in the minutes and records contained in the corporate minute books of the Company and made available to Parent. The stockholder ledger of the Company is complete and accurate.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6" w:name="page317"/>
    <w:bookmarkEnd w:id="3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does not directly or indirectly own, or hold any rights to acquire, any capital stock or any other securities or interests in any Person.</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The Contracts listed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are the only Contracts binding upon the Company or by which any of the Company’s assets are bound, requiring a consent, approval, authorization, order or other action of or filing with any Person as a result of the execution, delivery and performance of this Agreement or any Additional Agreement to which the Company is or will be a party or the consummation of the transactions contemplated hereby or thereby (each of the foregoing, a “</w:t>
      </w:r>
      <w:r>
        <w:rPr>
          <w:rFonts w:ascii="Times New Roman" w:cs="Times New Roman" w:eastAsia="Times New Roman" w:hAnsi="Times New Roman"/>
          <w:sz w:val="18"/>
          <w:szCs w:val="18"/>
          <w:u w:val="single" w:color="auto"/>
          <w:color w:val="auto"/>
        </w:rPr>
        <w:t>Company Consent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2" w:lineRule="auto"/>
        <w:tabs>
          <w:tab w:leader="none" w:pos="1587"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Parent (a) the audited balance sheets of the Company, and the related statements of operations and comprehensive loss, convertible preferred stock and stockholders’ equity (deficit) and cash flows, for the years ended December 31, 2018 and December 31, 2019 including the notes thereto (collectively, the “</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and (b) the unaudited balance sheet of the Company as of June 30, 2020 (the “</w:t>
      </w:r>
      <w:r>
        <w:rPr>
          <w:rFonts w:ascii="Times New Roman" w:cs="Times New Roman" w:eastAsia="Times New Roman" w:hAnsi="Times New Roman"/>
          <w:sz w:val="18"/>
          <w:szCs w:val="18"/>
          <w:u w:val="single" w:color="auto"/>
          <w:color w:val="auto"/>
        </w:rPr>
        <w:t>Interim Balance Sheet</w:t>
      </w:r>
      <w:r>
        <w:rPr>
          <w:rFonts w:ascii="Times New Roman" w:cs="Times New Roman" w:eastAsia="Times New Roman" w:hAnsi="Times New Roman"/>
          <w:sz w:val="18"/>
          <w:szCs w:val="18"/>
          <w:color w:val="auto"/>
        </w:rPr>
        <w:t>”) and the related statements of operations and comprehensive loss, convertible preferred stock and stockholders’ equity (deficit) and cash flows for the six (6) months ended June 30, 2019 and June 30, 2020 (collectively, the “</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and, together with the Annual Financial Statements,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The Company Financial Statements have been prepared in conformity with U.S. GAAP applied on a consistent basis and in accordance with the requirements of the Public Company Accounting Oversight Board for public companies. The Company Financial Statements fairly present, in all material respects, the financial position of the Company as of the dates thereof and the results of operations of the Company for the periods reflected therein. The Company Financial Statements were prepared from the Books and Records of the Company in all material respects. Since June 30, 2020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except as required by applicable Law or U.S. GAAP, there has been no change in any accounting principle, procedure or practice followed by the Company or in the method of applying any such principle, procedure or practice.</w:t>
      </w:r>
    </w:p>
    <w:p>
      <w:pPr>
        <w:spacing w:after="0" w:line="127" w:lineRule="exact"/>
        <w:rPr>
          <w:rFonts w:ascii="Times New Roman" w:cs="Times New Roman" w:eastAsia="Times New Roman" w:hAnsi="Times New Roman"/>
          <w:sz w:val="18"/>
          <w:szCs w:val="18"/>
          <w:color w:val="auto"/>
        </w:rPr>
      </w:pPr>
    </w:p>
    <w:p>
      <w:pPr>
        <w:ind w:left="1600" w:hanging="282"/>
        <w:spacing w:after="0"/>
        <w:tabs>
          <w:tab w:leader="none" w:pos="160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 specifically disclosed, reflected or fully reserved against on the Balance Sheet;</w:t>
      </w:r>
    </w:p>
    <w:p>
      <w:pPr>
        <w:spacing w:after="0" w:line="27" w:lineRule="exact"/>
        <w:rPr>
          <w:rFonts w:ascii="Times New Roman" w:cs="Times New Roman" w:eastAsia="Times New Roman" w:hAnsi="Times New Roman"/>
          <w:sz w:val="18"/>
          <w:szCs w:val="18"/>
          <w:color w:val="auto"/>
        </w:rPr>
      </w:pPr>
    </w:p>
    <w:p>
      <w:pPr>
        <w:ind w:left="740" w:hanging="286"/>
        <w:spacing w:after="0"/>
        <w:tabs>
          <w:tab w:leader="none" w:pos="7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incurred in the ordinary course of business since the date of the Balance Sheet;</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8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liabilities that are executory obligations arising under Contracts to which the Company is a party (none of which, with respect to the liabilities described in clause (ii) and this clause (iii), results from, arises out of, or relates to any breach or violation of, or default under, a Contract or applicable Law); (iv) expenses incurred in connection with the negotiation, execution and performance of this Agreement, any Additional Agreement or any of the transactions contemplated hereby or thereby; and (v) liabilities set forth on </w:t>
      </w:r>
      <w:r>
        <w:rPr>
          <w:rFonts w:ascii="Times New Roman" w:cs="Times New Roman" w:eastAsia="Times New Roman" w:hAnsi="Times New Roman"/>
          <w:sz w:val="18"/>
          <w:szCs w:val="18"/>
          <w:u w:val="single" w:color="auto"/>
          <w:color w:val="auto"/>
        </w:rPr>
        <w:t>Schedule 5.9(b)</w:t>
      </w:r>
      <w:r>
        <w:rPr>
          <w:rFonts w:ascii="Times New Roman" w:cs="Times New Roman" w:eastAsia="Times New Roman" w:hAnsi="Times New Roman"/>
          <w:sz w:val="18"/>
          <w:szCs w:val="18"/>
          <w:color w:val="auto"/>
        </w:rPr>
        <w:t>, the Company does not have any material liabilities, debts or obligations of any nature (whether accrued, fixed or contingent, liquidated or unliquidated, asserted or unasserted or otherwise) of the type required to be reflected on a balance sheet in accordance with U.S. GAAP. The Company represents that neither its annual sales nor its total assets exceed the current threshold of $18,800,000 under Section 18a(a)(2)(B)(ii) of the Hart-Scott-Rodino Antitrust Improvements Act of 1976.</w:t>
      </w:r>
    </w:p>
    <w:p>
      <w:pPr>
        <w:spacing w:after="0" w:line="12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Books and Records accurately and fairly, in reasonable detail, reflect the transactions and dispositions of assets of and the providing of services by the Company. The Company maintains procedures of internal controls sufficient to provide reasonable assurance that: (i) transactions are executed only in accordance with the respective management’s authorization; (ii) all income and expense items are promptly and properly recorded for the relevant periods in accordance with the revenue recognition and expense policies maintained by the Company, as permitted by U.S. GAAP; and (iii) access to assets is permitted only in accordance with the respective management’s authorization. The Books and Records of the Company have been maintained, in all material respects in accordance with reasonable business practices.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The Company has established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the Company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7" w:name="page318"/>
    <w:bookmarkEnd w:id="3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xml:space="preserve">. From the Balance Sheet Date until the date of this Agreement, (a) the Company and the Company Subsidiaries have conducted in all material respects their respective businesses in the ordinary course and in a manner consistent with past practice; (b) there has not been any Material Adverse Effect; and (c) the Company has not taken any action that, if taken after the date of this Agreement and prior to the consummation of the Merger, would require the consent of Parent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Properties; Title to the Company’s Assets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1" w:lineRule="auto"/>
        <w:tabs>
          <w:tab w:leader="none" w:pos="158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of Tangible Personal Property have no defects, are in good operating condition and repair and function in accordance with their intended uses (ordinary wear and tear excepted), have been properly maintained and are suitable for their present uses and meet all specifications and warranty requirements with respect thereto. All of the Tangible Personal Property is located at the office of the Company.</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good, valid and marketable title in and to, or in the case of the Lease and the assets which are leased or licensed pursuant to Contracts, a valid leasehold interest or license in or a right to use all of the tangible assets reflected on the Balance Sheet. Except as set forth on </w:t>
      </w:r>
      <w:r>
        <w:rPr>
          <w:rFonts w:ascii="Times New Roman" w:cs="Times New Roman" w:eastAsia="Times New Roman" w:hAnsi="Times New Roman"/>
          <w:sz w:val="18"/>
          <w:szCs w:val="18"/>
          <w:u w:val="single" w:color="auto"/>
          <w:color w:val="auto"/>
        </w:rPr>
        <w:t>Schedule 5.13(b),</w:t>
      </w:r>
      <w:r>
        <w:rPr>
          <w:rFonts w:ascii="Times New Roman" w:cs="Times New Roman" w:eastAsia="Times New Roman" w:hAnsi="Times New Roman"/>
          <w:sz w:val="18"/>
          <w:szCs w:val="18"/>
          <w:color w:val="auto"/>
        </w:rPr>
        <w:t xml:space="preserve"> no such tangible asset is subject to any Lien other than Permitted Liens. The Company’s assets constitute all of the rights, property and other assets of any kind or description whatsoever, including goodwill, necessary for the Company to operate the Business immediately after the Closing, in all material respects, in the same manner as the Business is currently being conducted.</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or, to the Knowledge of the Company, threatened in writing against or affecting the Company, any of the officers or directors of the Company (in their capacities as such), the Business, any of the Company’s assets or any Contract before any Authority that any manner challenges or seeks to prevent, enjoin, alter or delay the transactions contemplated by this Agreement or any Additional Agreement. There are no outstanding judgments against the Company. The Company is not, and has not been in the past five (5) years, subject to any Action by any Authority.</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58"/>
        <w:spacing w:after="0" w:line="266" w:lineRule="auto"/>
        <w:tabs>
          <w:tab w:leader="none" w:pos="156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5.15(a)</w:t>
      </w:r>
      <w:r>
        <w:rPr>
          <w:rFonts w:ascii="Times New Roman" w:cs="Times New Roman" w:eastAsia="Times New Roman" w:hAnsi="Times New Roman"/>
          <w:sz w:val="18"/>
          <w:szCs w:val="18"/>
          <w:color w:val="auto"/>
        </w:rPr>
        <w:t xml:space="preserve"> lists all of the following Contracts (collectively, such Contracts that are listed or should be listed on </w:t>
      </w:r>
      <w:r>
        <w:rPr>
          <w:rFonts w:ascii="Times New Roman" w:cs="Times New Roman" w:eastAsia="Times New Roman" w:hAnsi="Times New Roman"/>
          <w:sz w:val="18"/>
          <w:szCs w:val="18"/>
          <w:u w:val="single" w:color="auto"/>
          <w:color w:val="auto"/>
        </w:rPr>
        <w:t>Schedule 5.15(a)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to which, as of the date of this Agreement, the Company is a party or by which any of its assets is bound and which are currently in effect:</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181"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require annual payments or expenses incurred by, or annual payments or income to, the Company of $500,000 or more (other than standard purchase and sale orders entered into in the ordinary course of business consistent with past practice);</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272"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advertising, agency, lobbying, broker, sales promotion, market research, marketing or similar contracts and agreements, in each case requiring the payment of any commissions by the Company in excess of $500,000 annually;</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54" w:lineRule="auto"/>
        <w:tabs>
          <w:tab w:leader="none" w:pos="2327"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employment Contract, employee leasing Contract and consultant and sales representatives Contract with any current officer, director, employee or consultant of the Company, under which the Company (A) has continuing obligations for payment of annual compensation of at least $250,000, and which is not terminable for any reason or no reason upon reasonable notice without payment of any penalty, severance or other obligation; (B) has severance or post-termination obligations to such Person (other than COBRA obligations); or (C) has an obligation to make a payment upon consummation of the transactions contemplated hereby or as a result of a change of control of the Company;</w:t>
      </w:r>
    </w:p>
    <w:p>
      <w:pPr>
        <w:spacing w:after="0" w:line="12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285"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creating a joint venture, strategic alliance, limited liability company or partnership arrangement to which the Company is a party;</w:t>
      </w:r>
    </w:p>
    <w:p>
      <w:pPr>
        <w:spacing w:after="0" w:line="94"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5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any acquisitions or dispositions of material assets by the Company (other than acquisitions or dispositions of inventory in the ordinary course of business consistent with past practice);</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265"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under which the Company is obligated to pay royalties under a license for the use of Intellectual Property Rights, and all other material licensing Contracts, including those pursuant to which any Intellectual Property Rights are licensed by or to the Company and including material transfer agreements, services agreements and scientific advisory board agreements, other than (A) “shrink wrap” or other licenses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8" w:name="page319"/>
    <w:bookmarkEnd w:id="3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generally commercially available software (including open source software) or hosted services,</w:t>
      </w:r>
    </w:p>
    <w:p>
      <w:pPr>
        <w:spacing w:after="0" w:line="27" w:lineRule="exact"/>
        <w:rPr>
          <w:sz w:val="20"/>
          <w:szCs w:val="20"/>
          <w:color w:val="auto"/>
        </w:rPr>
      </w:pPr>
    </w:p>
    <w:p>
      <w:pPr>
        <w:jc w:val="both"/>
        <w:ind w:left="880" w:right="459" w:firstLine="6"/>
        <w:spacing w:after="0" w:line="255" w:lineRule="auto"/>
        <w:tabs>
          <w:tab w:leader="none" w:pos="116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or channel partner Contracts substantially on Company’s standard forms, (C) Contracts with the Company’s employees or contractors substantially on Company’s standard forms, and (D) non-disclosure agreements (the “</w:t>
      </w:r>
      <w:r>
        <w:rPr>
          <w:rFonts w:ascii="Times New Roman" w:cs="Times New Roman" w:eastAsia="Times New Roman" w:hAnsi="Times New Roman"/>
          <w:sz w:val="18"/>
          <w:szCs w:val="18"/>
          <w:u w:val="single" w:color="auto"/>
          <w:color w:val="auto"/>
        </w:rPr>
        <w:t>Standard Contracts</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color w:val="auto"/>
        </w:rPr>
      </w:pPr>
    </w:p>
    <w:p>
      <w:pPr>
        <w:ind w:left="880" w:right="459" w:firstLine="1086"/>
        <w:spacing w:after="0" w:line="282" w:lineRule="auto"/>
        <w:tabs>
          <w:tab w:leader="none" w:pos="2321"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limiting the freedom of the Company to compete in any line of business or industry, with any Person or in any geographic area;</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400"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patents, trademarks, service marks, trade names, brands, copyrights, trade secrets and other Intellectual Property Rights of the Company, other than Standard Contracts, material transfer agreements, services agreements and scientific advisory board agreements;</w:t>
      </w:r>
    </w:p>
    <w:p>
      <w:pPr>
        <w:spacing w:after="0" w:line="94"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86"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providing for guarantees, indemnification arrangements and other hold harmless arrangements made or provided by the Company, including all ongoing agreements for repair, warranty, maintenance, service, indemnification or similar obligations, other than Standard Contracts;</w:t>
      </w:r>
    </w:p>
    <w:p>
      <w:pPr>
        <w:spacing w:after="0" w:line="108"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218"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or pertaining to the Company to which any Affiliate of the Company is a party, other than any Contracts relating to such Affiliate’s status as a Company Securityholder;</w:t>
      </w:r>
    </w:p>
    <w:p>
      <w:pPr>
        <w:spacing w:after="0" w:line="94"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307"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property or assets (whether real or personal, tangible or intangible) in which the Company holds a leasehold interest (including the Lease) and which involve payments to the lessor thereunder in excess of $500,000 per year;</w:t>
      </w:r>
    </w:p>
    <w:p>
      <w:pPr>
        <w:spacing w:after="0" w:line="9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39"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creating or otherwise relating to outstanding Indebtedness (other than intercompany Indebtedness);</w:t>
      </w:r>
    </w:p>
    <w:p>
      <w:pPr>
        <w:spacing w:after="0" w:line="9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76"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the voting or control of the equity interests of the Company or the election of directors of the Company (other than the organizational documents of the Company);</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382"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not cancellable by the Company with no more than sixty (60) days’ notice if the effect of such cancellation would result in monetary penalty to the Company in excess of $500,000 per the terms of such contract;</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316"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may be terminated, or the provisions of which may be altered, as a result of the consummation of the transactions contemplated by this Agreement or any Additional Agreement to which the Company is a party;</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61" w:lineRule="auto"/>
        <w:tabs>
          <w:tab w:leader="none" w:pos="2387"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under which any of the benefits, compensation or payments (or the vesting thereof) will be increased or accelerated by the consummation of the transactions contemplated hereby, or the amount or value thereof will be calculated on the basis of, the transactions contemplated by this Agreement;</w:t>
      </w:r>
    </w:p>
    <w:p>
      <w:pPr>
        <w:spacing w:after="0" w:line="112" w:lineRule="exact"/>
        <w:rPr>
          <w:rFonts w:ascii="Times New Roman" w:cs="Times New Roman" w:eastAsia="Times New Roman" w:hAnsi="Times New Roman"/>
          <w:sz w:val="18"/>
          <w:szCs w:val="18"/>
          <w:color w:val="auto"/>
        </w:rPr>
      </w:pPr>
    </w:p>
    <w:p>
      <w:pPr>
        <w:ind w:left="2500" w:hanging="534"/>
        <w:spacing w:after="0"/>
        <w:tabs>
          <w:tab w:leader="none" w:pos="2500"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collective  bargaining  or  other  agreements  with  a  labor  union  or  labor</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w:t>
      </w:r>
    </w:p>
    <w:p>
      <w:pPr>
        <w:spacing w:after="0" w:line="125" w:lineRule="exact"/>
        <w:rPr>
          <w:rFonts w:ascii="Times New Roman" w:cs="Times New Roman" w:eastAsia="Times New Roman" w:hAnsi="Times New Roman"/>
          <w:sz w:val="18"/>
          <w:szCs w:val="18"/>
          <w:color w:val="auto"/>
        </w:rPr>
      </w:pPr>
    </w:p>
    <w:p>
      <w:pPr>
        <w:ind w:left="2460" w:hanging="494"/>
        <w:spacing w:after="0"/>
        <w:tabs>
          <w:tab w:leader="none" w:pos="2460"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address the provisions for business associate contracts required by</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w:t>
      </w:r>
    </w:p>
    <w:p>
      <w:pPr>
        <w:spacing w:after="0" w:line="139" w:lineRule="exact"/>
        <w:rPr>
          <w:rFonts w:ascii="Times New Roman" w:cs="Times New Roman" w:eastAsia="Times New Roman" w:hAnsi="Times New Roman"/>
          <w:sz w:val="18"/>
          <w:szCs w:val="18"/>
          <w:color w:val="auto"/>
        </w:rPr>
      </w:pPr>
    </w:p>
    <w:p>
      <w:pPr>
        <w:ind w:left="1600" w:hanging="282"/>
        <w:spacing w:after="0"/>
        <w:tabs>
          <w:tab w:leader="none" w:pos="1600"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is (i) a valid and binding agreement, (ii) in full force and effect and</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8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enforceable by and against the Company and each counterparty that is party thereto, subject, in the case of this clause (iii), to the Enforceability Exceptions. Neither the Company nor, to the Company’s Knowledge, any other party to a Material Contract is in material breach or default (whether with or without the passage of time or the giving of notice or both) under the terms of any such Material Contract. The Company has not assigned, delegated or otherwise transferred any of its rights or obligations under any Material Contract or granted any power of attorney with respect thereto.</w:t>
      </w:r>
    </w:p>
    <w:p>
      <w:pPr>
        <w:spacing w:after="0" w:line="122"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70" w:val="left"/>
        </w:tabs>
        <w:numPr>
          <w:ilvl w:val="2"/>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all covenants, including all financial covenants, in all notes, indentures, bonds and other instruments or Contracts establishing or evidencing any Indebtedness.</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xml:space="preserve"> correctly lists each license, franchise, permit, order or approval or other similar authorization required under applicable law to carry out or otherwise affecting, or relating in any way to, the Business, together with the name of the Authority issuing the same (the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Such Permits are valid and in full force and effect, and none of the Permits will, assuming the related Company Consent has been obtained or waived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9" w:name="page320"/>
    <w:bookmarkEnd w:id="3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prior to the Closing Date, be terminated or impaired or become terminable as a result of the transactions contemplated hereby. The Company has all material Permits necessary to operate the Business, including those administered by the FDA or by any foreign, federal, state or local governmental or regulatory authority performing functions similar to those performed by the FDA necessary to conduct the Business. The Company is not in material breach or violation of, or material default under, any such Permit, and, to the Company’s Knowledge, no basis exists which, with notice or lapse of time or both, would constitute any such breach, violation or default or give any Authority grounds to suspend, revoke or terminate any such Permit. The Company has not received any written (or, to the Company’s Knowledge, oral) notice from any Authority regarding any material violation of any Permit. There has not been and there is not any pending or, to the Company’s Knowledge, threatened action, investigation or disciplinary proceeding by or from any Authority against the Company involving any material Permit.</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3" w:lineRule="auto"/>
        <w:tabs>
          <w:tab w:leader="none" w:pos="1573"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violation in any material respect of, and, since January 1, 2018, has been in compliance in all material respects with all applicable Laws. Since January 1, 2018, the Company has not been threatened in writing or given written notice of any violation of any Law or any judgment, order or decree entered by any Authority. Without limiting the generality of the foregoing, the Company is, and during the last three (3) years has been, in material compliance with: (i) every Law applicable to the Company due to the specific nature of the Business, including Data Protection Laws and Laws applicable to lending activities;</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47"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(the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and any comparable or similar Law of any jurisdiction applicable to the Company; and (iii) every Law regulating or covering conduct in the workplace, including regarding sexual harassment or, on any legally impermissible basis, a hostile work environment. During the last three (3) years, the Company has not been threatened or charged in writing (or to the Company’s Knowledge orally) with or given written (or to the Company’s Knowledge oral) notice of any violation of any Data Protection Law, the Foreign Corrupt Practices Act or any other Law referred to in or generally described in foregoing sentence and, to the Company’s Knowledge, the Company is not under any investigations with respect to any such Law.</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18"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director, officer, agent, employee, Affiliate or Person acting on behalf of the Company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1" w:lineRule="auto"/>
        <w:tabs>
          <w:tab w:leader="none" w:pos="160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sets forth a true, correct and complete list of all unexpired or pending registered Intellectual Property Rights and applications for registration of Intellectual Property Rights owned (whether exclusively, jointly with another Person or otherwise) or filed by the Company or in which the Company has or purports to have an exclusive interest of any nature, specifying as to each, as applicable: (i) the nature of such Intellectual Property Right; (ii) the owner of such Intellectual Property Right and the nature of such ownership; (iii) the jurisdictions by or in which such Intellectual Property Right has been issued or registered or in which an application for such issuance or registration has been filed; and (iv) other than Standard Contracts, all licenses, sublicenses and other agreements pursuant to which any Person is authorized to use such Intellectual Property Right. In the past two (2) years, the Company has not abandoned any patents or non-provisional patent applications. The Company owns, has valid and enforceable licenses for or otherwise has adequate rights to use Intellectual Property Rights as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The Intellectual Property Rights of the Company have not been adjudged by a court of competent jurisdiction invalid or unenforceable in whole or in part. As of the date of this Agreement, no Intellectual Property Right that is listed or required to be listed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is challenged in any interference, opposition, reissue, reexamination, revocation or equivalent proceeding, and to the Knowledge of the Company, no such proceeding has been threatened in writing with respect to any such Intellectual Property Rights. As of the date hereof, all registration, maintenance and renewal fees currently due in connection with such registered Intellectual Property Rights have been paid and all documents, recordations and certificates in connection with such registered Intellectual Property Rights currently required to be filed have been filed with the relevant patent, copyright, trademark or other authorities in the United States or foreign jurisdictions, as the case may be, for the purposes of prosecuting, maintaining and perfecting such registered Intellectual Property Rights and recording the Company’s ownership interests therein.</w:t>
      </w:r>
    </w:p>
    <w:p>
      <w:pPr>
        <w:spacing w:after="0" w:line="124"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612"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the sole and exclusive owner of each item of Intellectual Property Rights owned or purported to be owned by the Company, including the items of Intellectual Property Rights identified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as being owned by the Company (other than any co-owners disclosed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The Company has a valid right to use the Intellectual Property Rights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that are used (but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0" w:name="page321"/>
    <w:bookmarkEnd w:id="3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not owned) by it in the operation of the Business as presently conducted. The product candidates under material development by the Company, the methods of manufacturing, and using the product candidates fall within the scope of the claims of one or more patent or pending patent applications owned by, or exclusively licensed to, the Company.</w:t>
      </w:r>
    </w:p>
    <w:p>
      <w:pPr>
        <w:spacing w:after="0" w:line="112" w:lineRule="exact"/>
        <w:rPr>
          <w:sz w:val="20"/>
          <w:szCs w:val="20"/>
          <w:color w:val="auto"/>
        </w:rPr>
      </w:pPr>
    </w:p>
    <w:p>
      <w:pPr>
        <w:jc w:val="both"/>
        <w:ind w:left="460" w:right="459" w:firstLine="858"/>
        <w:spacing w:after="0" w:line="253" w:lineRule="auto"/>
        <w:tabs>
          <w:tab w:leader="none" w:pos="162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Company, all registered Intellectual Property Rights listed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are subsisting and all the granted patents are valid and enforceable. To the Knowledge of the Company, there is no granted patent owned by any third party containing a valid claim that (i) is required by the Company to conduct its material business as currently conducted and (ii) the Company is not currently authorized to use. To the Knowledge of the Company, the use of any Intellectual Property Rights in connection with the operation of the material business of the Company do not conflict with, infringe, misappropriate or otherwise violate the Intellectual Property Rights, including rights of privacy, publicity and endorsement, of any third party. The Company is not challenging the patentability of a third party patent. The Intellectual Property Rights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include all of the material patent rights owned by or licensed to the Company used in the ordinary day-to-day conduct of the business of the Company. To the Knowledge of the Company, there is no prior art that may render any patent within the Intellectual Property Rights invalid. To the Knowledge of the Company, there are no material defects in any of the patents or patent applications within the Intellectual Property Rights.</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7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5.18(d)</w:t>
      </w:r>
      <w:r>
        <w:rPr>
          <w:rFonts w:ascii="Times New Roman" w:cs="Times New Roman" w:eastAsia="Times New Roman" w:hAnsi="Times New Roman"/>
          <w:sz w:val="18"/>
          <w:szCs w:val="18"/>
          <w:color w:val="auto"/>
        </w:rPr>
        <w:t xml:space="preserve">, to the Knowledge of the Company (i) there are no rights of third parties to any of the Intellectual Property Rights, including liens, security interests or other encumbrances; (ii) there is no infringement by third parties of any Intellectual Property Right owned by, or licensed to, the Company; (iii) as of the date of this Agreement, there is no pending or, to the Knowledge of the Company, threatened Action by any Person challenging the rights of the Company in or to any Intellectual Property Rights owned by, or licensed to, the Company; (iv) as of the date of this Agreement, there is no pending or, to the Knowledge of the Company, threatened Action by any Person challenging the validity, enforceability or scope of any Intellectual Property Rights owned by, or licensed to, the Company; (v) as of the date of this Agreement, there is no pending or, to the Knowledge of the Company, threatened Action by any Person (nor has the Company received any claim from a third party) alleging that the Company use of any Intellectual Property Right infringes or otherwise violates, or would, upon the commercialization of any product or service described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infringe or otherwise violate, any patent, trademark, tradename, service name, copyright, trade secret or other proprietary right of any other Person. Within the past five (5) years (or prior thereto if the same is still pending or subject to appeal or reinstatement), the Company has not been sued or charged in writing with or been a defendant in any Action that involves a claim of infringement or misappropriation of any Intellectual Property Rights.</w:t>
      </w:r>
    </w:p>
    <w:p>
      <w:pPr>
        <w:spacing w:after="0" w:line="113"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4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is no unauthorized use, unauthorized disclosure, infringement or misappropriation of any Intellectual Property Right owned or exclusively in-licensed by the Company, by any third party. As of the date hereof, the Company has not instituted any Action for infringement or misappropriation of any Intellectual Property Right owned by or exclusively in-licensed to the Company.</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4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disputes or Actions with respect to any Intellectual Property Rights and the Company is not a party to any dispute or Action relating to any Intellectual Property Rights, including any disputes or Actions relating to the ownership, validity, registrability, enforceability, violation or use of any Intellectual Property Rights owned by or exclusively in-licensed to the Company. To the Knowledge of the Company, the Company has complied with the terms of each Contract pursuant to which Intellectual Property Rights have been licensed to the Company, and all such Contracts are in full force and effect. Each Intellectual Property Right used by the Company in the performance of any services under any Contract is, and upon the performance of such Contract remains, owned by or in-licensed to the Company, and no client, customer or other Person has any claim of ownership to the Intellectual Property Rights used by the Company in the performance of any such Contract.</w:t>
      </w:r>
    </w:p>
    <w:p>
      <w:pPr>
        <w:spacing w:after="0" w:line="126" w:lineRule="exact"/>
        <w:rPr>
          <w:rFonts w:ascii="Times New Roman" w:cs="Times New Roman" w:eastAsia="Times New Roman" w:hAnsi="Times New Roman"/>
          <w:sz w:val="18"/>
          <w:szCs w:val="18"/>
          <w:color w:val="auto"/>
        </w:rPr>
      </w:pPr>
    </w:p>
    <w:p>
      <w:pPr>
        <w:jc w:val="both"/>
        <w:ind w:left="460" w:right="479" w:firstLine="858"/>
        <w:spacing w:after="0" w:line="254" w:lineRule="auto"/>
        <w:tabs>
          <w:tab w:leader="none" w:pos="159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Schedule 5.18(g</w:t>
      </w:r>
      <w:r>
        <w:rPr>
          <w:rFonts w:ascii="Times New Roman" w:cs="Times New Roman" w:eastAsia="Times New Roman" w:hAnsi="Times New Roman"/>
          <w:sz w:val="18"/>
          <w:szCs w:val="18"/>
          <w:color w:val="auto"/>
        </w:rPr>
        <w:t xml:space="preserve">), each employee, agent, consultant and contractor who has made material contributions to the creation or development of any copyrightable, patentable or trade secret material on behalf of the Company or any predecessor in interest thereto either: (i) is a party to a “work-for-hire” agreement under which the Company is deemed to be the original owner/author of all property rights therein; (ii) has executed an assignment in favor of the Company (or such predecessor in interest, as applicable) all right, title and interest in such material; or (iii) only with respect to rights that cannot be assigned pursuant to an agreement described in clause (i) or (ii) of this </w:t>
      </w:r>
      <w:r>
        <w:rPr>
          <w:rFonts w:ascii="Times New Roman" w:cs="Times New Roman" w:eastAsia="Times New Roman" w:hAnsi="Times New Roman"/>
          <w:sz w:val="18"/>
          <w:szCs w:val="18"/>
          <w:u w:val="single" w:color="auto"/>
          <w:color w:val="auto"/>
        </w:rPr>
        <w:t>Section 5.18(g)</w:t>
      </w:r>
      <w:r>
        <w:rPr>
          <w:rFonts w:ascii="Times New Roman" w:cs="Times New Roman" w:eastAsia="Times New Roman" w:hAnsi="Times New Roman"/>
          <w:sz w:val="18"/>
          <w:szCs w:val="18"/>
          <w:color w:val="auto"/>
        </w:rPr>
        <w:t>, has licensed to the Company rights to use such Intellectual Property Rights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1" w:name="page322"/>
    <w:bookmarkEnd w:id="3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66" w:lineRule="auto"/>
        <w:tabs>
          <w:tab w:leader="none" w:pos="162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on Schedule 5.18(h), no (i) government funding or (ii) facility of a university, college, other educational institution or research center was used in the development of any item of Intellectual Property Right owned or purported to be owned by, or exclusively licensed to, the Company.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3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Intellectual Property Rights owned or used or held for use by the Company is subject to any pending or outstanding Order or other disposition of dispute that adversely restricts the use, transfer, registration or licensing of any such Intellectual Property Rights by the Company.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42"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by the Company of this Agreement or any of the Additional Agreements to which the Company is or will be a party or the consummation by the Company of the transactions contemplated hereby or thereby will (i) cause any item of Intellectual Property Rights owned or purported to be owned by, or any material item of Intellectual Property Rights licensed, used or held for use by the Company immediately prior to the Closing, to not be owned, licensed or available for use by the Company on substantially the same terms and conditions immediately following the Closing or (ii) require any additional payment obligations by the Company in order to use or exploit any other such Intellectual Property Rights to the same extent as the Company was permitted before the Closing.</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1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agreements listed on </w:t>
      </w:r>
      <w:r>
        <w:rPr>
          <w:rFonts w:ascii="Times New Roman" w:cs="Times New Roman" w:eastAsia="Times New Roman" w:hAnsi="Times New Roman"/>
          <w:sz w:val="18"/>
          <w:szCs w:val="18"/>
          <w:u w:val="single" w:color="auto"/>
          <w:color w:val="auto"/>
        </w:rPr>
        <w:t>Schedule 5.15(a)(vi)</w:t>
      </w:r>
      <w:r>
        <w:rPr>
          <w:rFonts w:ascii="Times New Roman" w:cs="Times New Roman" w:eastAsia="Times New Roman" w:hAnsi="Times New Roman"/>
          <w:sz w:val="18"/>
          <w:szCs w:val="18"/>
          <w:color w:val="auto"/>
        </w:rPr>
        <w:t>, the Company is not obligated under any Contract to make any payments by way of royalties, fees, or otherwise to any owner or licensor of, or other claimant to, any Intellectual Property Rights.</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Company’s information technology networks and software applications are free of all viruses, worms, Trojan horses and other material known contaminants and do not contain any bugs, errors, or problems of a material nature that would disrupt or have an adverse impact on the operation of the information technology networks and software applications. The Company has implemented adequate policies and commercially reasonable security (i) regarding the collection, use, disclosure, confidentiality, integrity, availability and value of Personal Information (including health information), and business proprietary or sensitive information (including all trade secrets, items of Intellectual Property Rights that are confidential, confidential information, data and materials licensed by the Company or otherwise used in the operation of the Business); and (ii) regarding the integrity and availability of the information technology networks and software applications the Company owns, operates, or outsources. The Company has not experienced any information security incident that has compromised the integrity or availability of the information technology networks and software applications the Company owns, operates, or outsources, and there has been no loss, damage, or unauthorized access, disclosure, use, or breach of security of any Company information in its possession, custody, or control, or otherwise held or processed on its behalf. The transactions contemplated by this Agreement will not result in the violation of any Data Protection Laws or the privacy policies of the Company.</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7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since January 1, 2018, in compliance in all material respects with all applicable healthcare Laws, including (i) the Federal Food, Drug and Cosmetic Act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(ii) the Public Health Service Act (“</w:t>
      </w:r>
      <w:r>
        <w:rPr>
          <w:rFonts w:ascii="Times New Roman" w:cs="Times New Roman" w:eastAsia="Times New Roman" w:hAnsi="Times New Roman"/>
          <w:sz w:val="18"/>
          <w:szCs w:val="18"/>
          <w:u w:val="single" w:color="auto"/>
          <w:color w:val="auto"/>
        </w:rPr>
        <w:t>PHSA</w:t>
      </w:r>
      <w:r>
        <w:rPr>
          <w:rFonts w:ascii="Times New Roman" w:cs="Times New Roman" w:eastAsia="Times New Roman" w:hAnsi="Times New Roman"/>
          <w:sz w:val="18"/>
          <w:szCs w:val="18"/>
          <w:color w:val="auto"/>
        </w:rPr>
        <w:t>”); (iii) all federal or state criminal or civil fraud and abuse Laws (including the federal Anti-Kickback Statute (42 U.S.C. §1320a-7(b)), the Civil Monetary Penalties Law (42 U.S.C. §1320a-7(a)), the Sunshine Act (42 U.S.C. §1320a-7(h)), the Exclusion Law (42 U.S.C. §1320a-7), the Criminal False Statements Law (42 U.S.C. §1320a-7b(a), Stark Law (42 U.S.C. §1395nn), the False Claims Act (31 U.S.C. §§3729 et seq. 42 U.S.C. §1320a-7b(a)), HIPAA, (42 U.S.C. §§1320d et seq.), and any comparable state or local Laws) and; (iv) any applicable state licensing, disclosure and reporting requirements (all of the foregoing, collectively, “</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The Company has not received written notification of any pending Action from the FDA or any other similar regulatory authority alleging that any operation or activity of the Company is in material violation of any applicable Healthcare Law.</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preclinical and clinical investigations conducted or sponsored by the Company and intended to be submitted to a regulatory authority to support a regulatory approval are being conducted in compliance in all material respects with all applicable Healthcare Laws administered or issued by the applicable Authority, including, as applicable, (i) the FDA regulations for conducting non-clinical laboratory studies contained in Title 21 part 58 of the Code of Federal Regulations, (ii) applicable FDA standards for the design, conduct, performance, monitoring, auditing, recording, analysis and reporting of clinical trials contained in Title 21 parts 50, 54, 56 and 312 of the Code of Federal Regulations and (iii) applicable federal, state and foreign Healthcare Laws restricting the use and disclosure of individually identifiable health information, including</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2" w:name="page323"/>
    <w:bookmarkEnd w:id="3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4" w:lineRule="auto"/>
        <w:tabs>
          <w:tab w:leader="none" w:pos="1579"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reports, documents, claims, permits and notices required to be filed, maintained or furnished to the FDA or any other regulatory authority by the Company have been so filed, maintained or furnished. To the Knowledge of the Company, all such reports, documents, claims, permits and notices were complete and accurate on the date filed (or were corrected in or supplemented by a subsequent filing). Neither the Company nor, to the Knowledge of the Company, any officer, employee or agent of the Company has</w:t>
      </w:r>
    </w:p>
    <w:p>
      <w:pPr>
        <w:spacing w:after="0" w:line="3"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68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 untrue statement of a material fact or any fraudulent statement to the FDA or any other regulatory authority, (ii) failed to disclose a material fact required to be disclosed to the FDA or any other regulatory authority or (iii) committed an act, made a statement, or failed to make a statement that, at the time such disclosure was made, would reasonably be expected to provide a reasonable basis for the FDA or any other regulatory authority to invoke its policy respecting “Fraud, Untrue Statements of Material Facts, Bribery, and Illegal Gratuities”, set forth in 56 Fed. Reg. 46191 (September 10, 1991) or any similar policy. Neither the Company nor, to the Knowledge of the Company, any officer, employee or agent of the Company has been convicted of any crime or engaged in any conduct for which debarment is mandated by 21 U.S.C. §335a(a) or any similar Healthcare Law or authorized by 21 U.S.C. §335a(b) or any similar Healthcare Law. Neither the Company nor, to the Knowledge of the Company, any officer, employee or agent of Company has been convicted of any crime or engaged in any conduct for which such person could be excluded from participating in the federal health care programs under Section 1128 of the Social Security Act of 1935 or any Healthcare Law. As of the date of this Agreement, no Actions that would reasonably be expected to result in material debarment or exclusion are pending or, to the Company’s Knowledge, threatened in writing against the Company or, to Company’s Knowledge, any of its officers, employees, contractors, suppliers (in their capacities as such) or other entities or individuals performing research or work on behalf of the Company. The Company is not party to any corporate integrity agreements, monitoring agreements, consent decrees, settlement orders, or similar agreements with or imposed by any Authority.</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79"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written notice, correspondence or other communication from the FDA or any other regulatory authority or from any institutional review board requiring the termination, suspension or material modification of any ongoing or planned clinical trials conducted by, or on behalf of, the Company.</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72"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no data generated by the Company with respect to its products is the subject of any written regulatory Action, either pending or, to the Company’s Knowledge, threatened, by any Authority relating to the truthfulness or scientific integrity of such data.</w:t>
      </w:r>
    </w:p>
    <w:p>
      <w:pPr>
        <w:spacing w:after="0" w:line="94"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product manufactured or distributed by the Company is</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677"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adulterated within the meaning of 21 U.S.C. §351 (or any similar Healthcare Law), or (ii) misbranded within the meaning of 21 U.S.C. § 352 (or any similar Healthcare Law). As of the date of this Agreement, neither the Company nor, to the Company’s Knowledge, any of its respective contract manufacturers has received any FDA Form 483, warning letter, untitled letter, or other similar correspondence or written notice from the FDA or any other regulatory authority alleging or asserting material noncompliance with any applicable Healthcare Laws or Permits issued to the Company by the FDA or any other regulatory authority. No manufacturing site owned by the Company or, to the Company’s Knowledge, any of their respective contract manufacturers, is or has been subject to a shutdown or import or export prohibition imposed by FDA or another regulatory authority.</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Accounts Payable; Affiliate Loans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58"/>
        <w:spacing w:after="0" w:line="266" w:lineRule="auto"/>
        <w:tabs>
          <w:tab w:leader="none" w:pos="1591"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accounts receivable. The accounts payable of the Company reflected on the Company Financial Statements, and all accounts payable arising subsequent to the date thereof, arose from bona fide transactions in the ordinary course consistent with past practice.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2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set forth on </w:t>
      </w:r>
      <w:r>
        <w:rPr>
          <w:rFonts w:ascii="Times New Roman" w:cs="Times New Roman" w:eastAsia="Times New Roman" w:hAnsi="Times New Roman"/>
          <w:sz w:val="18"/>
          <w:szCs w:val="18"/>
          <w:u w:val="single" w:color="auto"/>
          <w:color w:val="auto"/>
        </w:rPr>
        <w:t>Schedule 5.20(b)</w:t>
      </w:r>
      <w:r>
        <w:rPr>
          <w:rFonts w:ascii="Times New Roman" w:cs="Times New Roman" w:eastAsia="Times New Roman" w:hAnsi="Times New Roman"/>
          <w:sz w:val="18"/>
          <w:szCs w:val="18"/>
          <w:color w:val="auto"/>
        </w:rPr>
        <w:t xml:space="preserve"> separately identifies any and all accounts, receivables or notes of the Company which are owed by any Affiliate of the Company. Except as set forth on </w:t>
      </w:r>
      <w:r>
        <w:rPr>
          <w:rFonts w:ascii="Times New Roman" w:cs="Times New Roman" w:eastAsia="Times New Roman" w:hAnsi="Times New Roman"/>
          <w:sz w:val="18"/>
          <w:szCs w:val="18"/>
          <w:u w:val="single" w:color="auto"/>
          <w:color w:val="auto"/>
        </w:rPr>
        <w:t>Schedule 5.20(b)</w:t>
      </w:r>
      <w:r>
        <w:rPr>
          <w:rFonts w:ascii="Times New Roman" w:cs="Times New Roman" w:eastAsia="Times New Roman" w:hAnsi="Times New Roman"/>
          <w:sz w:val="18"/>
          <w:szCs w:val="18"/>
          <w:color w:val="auto"/>
        </w:rPr>
        <w:t>, the Company is not indebted to any of its Affiliates and no Affiliates are indebted to the Company.</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Employees; Employment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1" w:lineRule="auto"/>
        <w:tabs>
          <w:tab w:leader="none" w:pos="160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5.21(a)</w:t>
      </w:r>
      <w:r>
        <w:rPr>
          <w:rFonts w:ascii="Times New Roman" w:cs="Times New Roman" w:eastAsia="Times New Roman" w:hAnsi="Times New Roman"/>
          <w:sz w:val="18"/>
          <w:szCs w:val="18"/>
          <w:color w:val="auto"/>
        </w:rPr>
        <w:t xml:space="preserve"> sets forth a true, correct and complete list of each of the five highest compensated officers or employees of the Company as of the date hereof, setting forth the name, title, current salary or compensation rate for each such person and total compensation (including bonuses and commissions) paid to each such person for the fiscal years ended December 31, 2019 and 2018.</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3" w:name="page324"/>
    <w:bookmarkEnd w:id="3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5" w:lineRule="auto"/>
        <w:tabs>
          <w:tab w:leader="none" w:pos="1617"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5.21(b</w:t>
      </w:r>
      <w:r>
        <w:rPr>
          <w:rFonts w:ascii="Times New Roman" w:cs="Times New Roman" w:eastAsia="Times New Roman" w:hAnsi="Times New Roman"/>
          <w:sz w:val="18"/>
          <w:szCs w:val="18"/>
          <w:color w:val="auto"/>
        </w:rPr>
        <w:t>), the Company is not a party to or subject to any collective bargaining agreement, or any similar agreement, and there has been no activity or proceeding by a labor union or representative thereof to organize any employees of the Company. There is no labor strike, material slowdown or material work stoppage or lockout pending or, to the Knowledge of the Company, threatened against or affecting the Company, and none of the Company has experienced any strike, material slowdown or material work stoppage, lockout or other collective labor action by or with respect to its employees.</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pending or, to the Knowledge of the Company, threatened Actions against the Company under any worker’s compensation policy or long-term disability policy. There is no unfair labor practice charge or complaint pending before any applicable governmental authority relating to the Company or any employee or other service provider thereof.</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9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in compliance in all material respects with all applicable Laws relating to employment of labor, including all applicable Laws relating to wages, hours, overtime, collective bargaining, employment discrimination, civil rights, safety and health, workers’ compensation, pay equity, classification of employees and independent contractors, and the collection and payment of withholding or social security Taxes. The Company has met in all material respects all requirements required by Law relating to the employment of foreign citizens, and the Company does not currently employ, or has ever employed, any Person who was not permitted to work in the jurisdiction in which such Person was employed.</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77"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employee of the Company, in the ordinary course of his or her duties, has breached or will breach any obligation to a former employer in respect of any covenant against competition or soliciting clients or employees or servicing clients or any confidentiality or proprietary right of any former employer.</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7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in the last five (5) years, no substantiated allegations of sexual harassment have been made to the Company against any individual in his or her capacity as director or an employee of the Company at a level of Senior Vice President or above.</w:t>
      </w:r>
    </w:p>
    <w:p>
      <w:pPr>
        <w:spacing w:after="0" w:line="108"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7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5.21(g)</w:t>
      </w:r>
      <w:r>
        <w:rPr>
          <w:rFonts w:ascii="Times New Roman" w:cs="Times New Roman" w:eastAsia="Times New Roman" w:hAnsi="Times New Roman"/>
          <w:sz w:val="18"/>
          <w:szCs w:val="18"/>
          <w:color w:val="auto"/>
        </w:rPr>
        <w:t>, the Company has not paid or promised to pay any bonus to any employee in connection with the consummation of the transactions contemplated hereby.</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xml:space="preserve"> all obligations of the Company applicable to its employees, whether arising by operation of Law, by Contract, by past custom or otherwise, or attributable to payments by the Company to trusts or other funds or to any governmental agency, with respect to unemployment compensation benefits, social security benefits or any other benefits for its employees through the date hereof have been paid or adequate accruals therefor have been made on the Company Financial Statements. Except as disclosed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all reasonably anticipated obligations of the Company with respect to such employees (except for those related to wages during the pay period immediately prior to the Closing Date and arising in the ordinary course of business),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prior to the Closing Date.</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4" w:lineRule="auto"/>
        <w:tabs>
          <w:tab w:leader="none" w:pos="1568"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5.23(a)</w:t>
      </w:r>
      <w:r>
        <w:rPr>
          <w:rFonts w:ascii="Times New Roman" w:cs="Times New Roman" w:eastAsia="Times New Roman" w:hAnsi="Times New Roman"/>
          <w:sz w:val="18"/>
          <w:szCs w:val="18"/>
          <w:color w:val="auto"/>
        </w:rPr>
        <w:t xml:space="preserve"> sets forth a correct and complete list of all material Plans. With respect to each material Plan, the Company has made available to Parent or its counsel a true and complete copy, to the extent applicable, of: (i) each writing constituting a part of such Plan and all amendments thereto, including all plan documents, material employee communications, benefit schedules, trust agreements, and insurance contracts and other funding vehicles; (ii) the most recent annual report and accompanying schedule; (iii) the current summary plan description and any material modifications thereto; (iv) the most recent annual financial and actuarial reports; (v) the most recent determination letter received by the Company from the Internal Revenue Service regarding the tax-qualified status of such Plan and (vi) the most recent written results of all required compliance testing.</w:t>
      </w:r>
    </w:p>
    <w:p>
      <w:pPr>
        <w:spacing w:after="0" w:line="107"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Plan is (i) subject to Title IV or Section 302 of ERISA or Section 412 or 4971 of the Code,</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6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“multiemployer plan” (as defined in Section 3(37) of ERISA) or (iii) a plan that has two or more contributing sponsors at least two of whom are not under common control, within the meaning of Section 4063 of ERISA, and none of the Company, or any ERISA Affiliate, has withdrawn at any time within the preceding six (6) years from any multiemployer plan or incurred any withdrawal liability which remains unsatisfied, and no events have occurred and no circumstances exist that could reasonably be expected to result in any such liability to the Company.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4" w:name="page325"/>
    <w:bookmarkEnd w:id="3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4" w:lineRule="auto"/>
        <w:tabs>
          <w:tab w:leader="none" w:pos="1569"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Plan that is intended to qualify under Section 401(a) of the Code, such Plan, including its related trust, has received a determination letter (or opinion letters in the case of any prototype plans) from the Internal Revenue Service that it is so qualified and that its trust is exempt from Tax under Section 501(a) of the Code, and to the Knowledge of the Company, nothing has occurred with respect to the operation of any such Plan that could cause the loss of such qualification or exemption or the imposition of any material liability, penalty or tax under ERISA or the Code. No stock or other securities issued by the Company forms or has formed any part of the assets of any Plan that is intended to qualify under Section 401(a) of the Code.</w:t>
      </w:r>
    </w:p>
    <w:p>
      <w:pPr>
        <w:spacing w:after="0" w:line="124"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12"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Company, threatened Actions against or relating to the Plans or the assets of any of the trusts under such Plans (other than routine benefits claims). No Plan is presently under audit or examination (nor has written notice been received by the Company of a potential audit or examination) by any Authority.</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96"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has been established, administered and funded in all material respects accordance with its terms and in compliance in all material respects with the applicable provisions of ERISA, the Code and other applicable Laws. There is not now, nor, to the Knowledge of the Company, do any circumstances exist that could give rise to, any requirement for the posting of security with respect to any Plan or the imposition of any Lien on the assets of the Company under ERISA or the Code. All premiums due or payable with respect to insurance policies funding any Plan have been made or paid in full or, to the extent not required to be made or paid on or before the date hereof, have been fully reflected on the Company Financial Statements.</w:t>
      </w:r>
    </w:p>
    <w:p>
      <w:pPr>
        <w:spacing w:after="0" w:line="10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56"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Plans provide retiree health or life insurance benefits, except as may be required by Section 4980B of the Code, Section 601 of ERISA or any other applicable Law.</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55" w:lineRule="auto"/>
        <w:tabs>
          <w:tab w:leader="none" w:pos="1587"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(i) result in any payment becoming due, or increase the amount of any compensation or benefits due, to any current or former employee of the Company with respect to any Plan; (ii) increase any benefits otherwise payable under any Plan; or</w:t>
      </w:r>
    </w:p>
    <w:p>
      <w:pPr>
        <w:spacing w:after="0" w:line="2" w:lineRule="exact"/>
        <w:rPr>
          <w:rFonts w:ascii="Times New Roman" w:cs="Times New Roman" w:eastAsia="Times New Roman" w:hAnsi="Times New Roman"/>
          <w:sz w:val="18"/>
          <w:szCs w:val="18"/>
          <w:color w:val="auto"/>
        </w:rPr>
      </w:pPr>
    </w:p>
    <w:p>
      <w:pPr>
        <w:jc w:val="both"/>
        <w:ind w:left="460" w:right="479" w:hanging="6"/>
        <w:spacing w:after="0" w:line="253" w:lineRule="auto"/>
        <w:tabs>
          <w:tab w:leader="none" w:pos="77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acceleration of the time of payment or vesting of any such compensation or benefits. No Person is entitled to receive any additional payment (including any tax gross-up or other payment) from the Company as a result of the imposition of the excise taxes required by Section 4999 of the Code or any taxes required by Section 409A of the Code.</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7"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result in the payment of any amount that would, individually or in combination with any other such payment, be an “excess parachute payment” within the meaning of Section 280G of the Code.</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43"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that is a “nonqualified deferred compensation plan” (as defined in Section 409A(d)(1) of the Code) is in all material respects in documentary compliance with, and has been administered in all material respects in compliance with Section 409A of the Code.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5" w:lineRule="auto"/>
        <w:tabs>
          <w:tab w:leader="none" w:pos="157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5.24</w:t>
      </w:r>
      <w:r>
        <w:rPr>
          <w:rFonts w:ascii="Times New Roman" w:cs="Times New Roman" w:eastAsia="Times New Roman" w:hAnsi="Times New Roman"/>
          <w:sz w:val="18"/>
          <w:szCs w:val="18"/>
          <w:color w:val="auto"/>
        </w:rPr>
        <w:t xml:space="preserve">, the Company does not own, or otherwise have an interest in, any Real Property, including under any Real Property lease, sublease, space sharing, license or other occupancy agreement. The Lease is the only Contract pursuant to which the Company leases any real property or right in any Real Property. The Company has good, valid and subsisting title to its respective leasehold estates in the offices described on </w:t>
      </w:r>
      <w:r>
        <w:rPr>
          <w:rFonts w:ascii="Times New Roman" w:cs="Times New Roman" w:eastAsia="Times New Roman" w:hAnsi="Times New Roman"/>
          <w:sz w:val="18"/>
          <w:szCs w:val="18"/>
          <w:u w:val="single" w:color="auto"/>
          <w:color w:val="auto"/>
        </w:rPr>
        <w:t>Schedule 5.24</w:t>
      </w:r>
      <w:r>
        <w:rPr>
          <w:rFonts w:ascii="Times New Roman" w:cs="Times New Roman" w:eastAsia="Times New Roman" w:hAnsi="Times New Roman"/>
          <w:sz w:val="18"/>
          <w:szCs w:val="18"/>
          <w:color w:val="auto"/>
        </w:rPr>
        <w:t>, free and clear of all Liens. The Company has not breached or violated any local zoning ordinance, and no notice from any Person has been received by the Company or served upon the Company claiming any violation of any local zoning ordinance.</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Lease: (i) it is valid, binding and in full force and effect; (ii) all rents and additional rents and other sums, expenses and charges due thereunder have been paid; (iii) the Company has been in peaceable possession of the premises leased thereunder since the commencement of the original term thereof; (iv) no waiver, indulgence or postponement of the Company’s obligations thereunder has been granted by the lessor; (v) there exist no default or event of default thereunder by the Company or, to the Company’s Knowledge, by any other party thereto; (vi) there exists no occurrence, condition or act which, with the giving of notice, the lapse of time or the happening of any further event or condition, would become a default or event of default by the Company thereunder; and (vii) there are no outstanding claims of breach or indemnification or notice of default or termination thereunder. The Company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5" w:name="page326"/>
    <w:bookmarkEnd w:id="3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holds the leasehold estate established under the Lease free and clear of all Liens, except for Liens of mortgagees of the Real Property on which such leasehold estate is located. The Real Property leased by the Company is in a state of maintenance and repair in all material respects adequate and suitable for the purposes for which it is presently being used, and there are no material repair or restoration works likely to be required in connection with such leased Real Property. The Company is in physical possession and actual and exclusive occupation of the whole of the leased premises, none of which is subleased or assigned to another Person. The Lease leases all useable square footage of the premises located at the leased Real Property. The Company does not owe any brokerage commission with respect to any Real Property.</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5.25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7" w:lineRule="auto"/>
        <w:tabs>
          <w:tab w:leader="none" w:pos="1574"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has duly and timely filed all income and other material Tax Returns which are required to be filed by or with respect to it, and has paid all income and other material Taxes which have become due; (ii) all such Tax Returns are true, correct and complete and accurate in all material respects;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8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within the past five years (or pending or proposed in writing), with respect to Taxes of the Company; (iv) no statute of limitations in respect of the assessment or collection of any Taxes of the Company has been waived or extended, which waiver or extension is in effect and the Company is not presently contesting the Tax liability before any Taxing Authority or other Authority; (v) the Company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(vi) no stock transfer Tax, sales Tax, use Tax, real estate transfer Tax or other similar Tax will be imposed on the transfer of the shares of Company Common Stock by the Company Stockholders to Parent pursuant to this Agreement; (vii) there is no outstanding request for a ruling from any Taxing Authority, request for consent by a Taxing Authority for a change in a method of accounting, subpoena or request for information by any Taxing Authority or agreement with any Taxing Authority with respect to the Company; (viii) there is no Lien (other than Permitted Liens) for Taxes upon the Company or any of the assets of the Company; (ix) no claim has ever been made by a Taxing Authority in a jurisdiction where the Company has not paid any Tax or filed Tax Returns, asserting that the Company is or may be subject to Tax in such jurisdiction, the Company is not nor has it ever been subject to Tax in any country other than the country of incorporation of the Company by virtue of having a permanent establishment or other place of business in that country, and the Company is and has always been tax resident solely in its country of incorporation; (x) the Company has provided to Parent true, complete and correct copies of all Tax Returns relating to, and all audit reports and correspondence relating to each proposed adjustment, if any, made by any Taxing Authority with respect to, any taxable period ending after December 31, 2015; (xi) the Company is not, and has never been, a party to any Tax sharing, allocation, indemnification or similar Contract; (xii) the Company is and has never been included in any consolidated, combined or unitary Tax Return and the Company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the Company), or has any liability for the Taxes of any Person (other than the Company)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(xiii) to the Knowledge of the Company, no issue has been raised by a Taxing Authority in any prior Action relating to the Company with respect to any Tax for any period which, by application of the same or similar principles, could reasonably be expected to result in a proposed Tax deficiency of the Company for any other period; and (xiv) the Company has not requested any extension of time within which to file any Tax Return, which Tax Return has since not been filed.</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16"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 Section 1.1502-13 or an excess loss account under United States Treasury regulations Section 1.1502-19, (v) a change in the accounting method of the Company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6" w:name="page327"/>
    <w:bookmarkEnd w:id="3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108" w:lineRule="exact"/>
        <w:rPr>
          <w:sz w:val="20"/>
          <w:szCs w:val="20"/>
          <w:color w:val="auto"/>
        </w:rPr>
      </w:pPr>
    </w:p>
    <w:p>
      <w:pPr>
        <w:jc w:val="both"/>
        <w:ind w:left="460" w:right="459" w:firstLine="858"/>
        <w:spacing w:after="0" w:line="258" w:lineRule="auto"/>
        <w:tabs>
          <w:tab w:leader="none" w:pos="1572"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(i) did not, as of the most recent fiscal month end, exceed the reserve for Tax liability (rather than any reserve for deferred Taxes established to reflect timing differences between book and Tax income) set forth on the Unaudited Financial Statements in accordance with U.S. GAAP and (ii) will not exceed that reserve as adjusted for the passage of time through the Closing Date in accordance with the past custom and practice of the Company in filing its Tax Return.</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6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in compliance in all respects with all applicable transfer pricing laws and legal requirements. The prices for any property or services (or for the use of any property), including interest and other prices for financial services, provided by or to the Company are arm’s-length prices for purposes of the relevant transfer pricing laws.</w:t>
      </w:r>
    </w:p>
    <w:p>
      <w:pPr>
        <w:spacing w:after="0" w:line="112"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“United States real property holding corporation” within the meaning of Section 897(c)(2) of the Code at any time during the five-year period ending on the Closing Date.</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1"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engaged in a “reportable transaction” within the meaning of United States Treasury regulations Section 1.6011-4(b).</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has not (i) received any written notice of any alleged claim, violation of or liability under any Environmental Law which has not heretofore been cured or for which there is any remaining liability; (ii) disposed of, emitted, discharged, handled, stored, transported, used or released any Hazardous Materials; arranged for the disposal, discharge, storage or release of any Hazardous Materials; or exposed any employee or other individual to any Hazardous Materials so as to give rise to any liability or corrective or remedial obligation under any Environmental Laws; or (iii) entered into any agreement that may require it to guarantee, reimburse, pledge, defend, hold harmless or indemnify any other Person with respect to liabilities arising out of Environmental Laws or the Hazardous Material Activities of the Company. There are no Hazardous Materials in, on or under any properties owned, leased or used at any time by the Company that could give rise to any material liability or corrective or remedial obligation of the Company under any Environmental Laws.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5.27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5.27</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the Company or any of its Affiliates who might be entitled to any fee or commission from the Company, Merger Sub, Parent or any of their Affiliates upon consummation of the transactions contemplated by this Agreement.</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5.28 </w:t>
      </w:r>
      <w:r>
        <w:rPr>
          <w:rFonts w:ascii="Times New Roman" w:cs="Times New Roman" w:eastAsia="Times New Roman" w:hAnsi="Times New Roman"/>
          <w:sz w:val="18"/>
          <w:szCs w:val="18"/>
          <w:u w:val="single" w:color="auto"/>
          <w:color w:val="auto"/>
        </w:rPr>
        <w:t>Powers of Attorney and Suretyships</w:t>
      </w:r>
      <w:r>
        <w:rPr>
          <w:rFonts w:ascii="Times New Roman" w:cs="Times New Roman" w:eastAsia="Times New Roman" w:hAnsi="Times New Roman"/>
          <w:sz w:val="18"/>
          <w:szCs w:val="18"/>
          <w:color w:val="auto"/>
        </w:rPr>
        <w:t>. The Company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spacing w:after="0" w:line="9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5.29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5.29</w:t>
      </w:r>
      <w:r>
        <w:rPr>
          <w:rFonts w:ascii="Times New Roman" w:cs="Times New Roman" w:eastAsia="Times New Roman" w:hAnsi="Times New Roman"/>
          <w:sz w:val="18"/>
          <w:szCs w:val="18"/>
          <w:color w:val="auto"/>
        </w:rPr>
        <w:t xml:space="preserve"> sets forth a true, correct and complete list of all directors and officers of the Company.</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5.30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the Company are and have been conducted at all times in compliance with anti-money laundering Laws in all applicable jurisdictions and any related or similar rules, regulations or guidelines, issued, administered or enforced by any Authority (collectively, the “</w:t>
      </w:r>
      <w:r>
        <w:rPr>
          <w:rFonts w:ascii="Times New Roman" w:cs="Times New Roman" w:eastAsia="Times New Roman" w:hAnsi="Times New Roman"/>
          <w:sz w:val="18"/>
          <w:szCs w:val="18"/>
          <w:u w:val="single" w:color="auto"/>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Laundering Laws</w:t>
      </w:r>
      <w:r>
        <w:rPr>
          <w:rFonts w:ascii="Times New Roman" w:cs="Times New Roman" w:eastAsia="Times New Roman" w:hAnsi="Times New Roman"/>
          <w:sz w:val="18"/>
          <w:szCs w:val="18"/>
          <w:color w:val="auto"/>
        </w:rPr>
        <w:t>”), and no Action involving the Company with respect to the Money Laundering Laws is pending or, to the Knowledge of the Company, threatened.</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All forms of insurance owned or held by and insuring the Company are set forth on </w:t>
      </w:r>
      <w:r>
        <w:rPr>
          <w:rFonts w:ascii="Times New Roman" w:cs="Times New Roman" w:eastAsia="Times New Roman" w:hAnsi="Times New Roman"/>
          <w:sz w:val="18"/>
          <w:szCs w:val="18"/>
          <w:u w:val="single" w:color="auto"/>
          <w:color w:val="auto"/>
        </w:rPr>
        <w:t>Schedule 5.31</w:t>
      </w:r>
      <w:r>
        <w:rPr>
          <w:rFonts w:ascii="Times New Roman" w:cs="Times New Roman" w:eastAsia="Times New Roman" w:hAnsi="Times New Roman"/>
          <w:sz w:val="18"/>
          <w:szCs w:val="18"/>
          <w:color w:val="auto"/>
        </w:rPr>
        <w:t>, and such policies are in full force and effect. All premiums with respect to such policies covering all periods up to and including the Closing Date have been or will be paid when due, and no notice of cancellation or termination has been received with respect to any such policy which was not replaced on substantially similar terms prior to the date of such</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7" w:name="page328"/>
    <w:bookmarkEnd w:id="3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cancellation or termination. There is no existing default or event which, with or without the passage of time or the giving of notice or both, would constitute noncompliance with, or a default under, any such policy or entitle any insurer to terminate or cancel any such policy. Such policies will not in any way be affected by or terminate or lapse by reason of the transactions contemplated by this Agreement or the Additional Agreements. The insurance policies to which the Company is a party are sufficient for compliance with all requirements of all Contracts to which the Company is a party or by which the Company is bound. The Company has not been refused any insurance with respect to its assets or operations or had its coverage limited by any insurance carrier to which it has applied for any such insurance or with which it has carried insurance. The Company does not have any self-insurance arrangements.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5.32</w:t>
      </w:r>
      <w:r>
        <w:rPr>
          <w:rFonts w:ascii="Times New Roman" w:cs="Times New Roman" w:eastAsia="Times New Roman" w:hAnsi="Times New Roman"/>
          <w:sz w:val="18"/>
          <w:szCs w:val="18"/>
          <w:color w:val="auto"/>
        </w:rPr>
        <w:t>, as contemplated by this Agreement or as provided in the Company Financial Statements, no Company Stockholder, Affiliate of the Company, current or former director, manager, officer or employee of the Company or any immediate family member or Affiliate of any of the foregoing (a) is a party to any Contract, or has otherwise entered into any transaction, understanding or arrangement, with the Company or (b) owns any property or right, tangible or intangible, which is used by the Company (each,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None of the Contracts listed in </w:t>
      </w:r>
      <w:r>
        <w:rPr>
          <w:rFonts w:ascii="Times New Roman" w:cs="Times New Roman" w:eastAsia="Times New Roman" w:hAnsi="Times New Roman"/>
          <w:sz w:val="18"/>
          <w:szCs w:val="18"/>
          <w:u w:val="single" w:color="auto"/>
          <w:color w:val="auto"/>
        </w:rPr>
        <w:t>Schedule 5.32</w:t>
      </w:r>
      <w:r>
        <w:rPr>
          <w:rFonts w:ascii="Times New Roman" w:cs="Times New Roman" w:eastAsia="Times New Roman" w:hAnsi="Times New Roman"/>
          <w:sz w:val="18"/>
          <w:szCs w:val="18"/>
          <w:color w:val="auto"/>
        </w:rPr>
        <w:t xml:space="preserve"> was entered into on a basis other than on arm’s length.</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13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Except as disclosed in the Parent SEC Documents filed with or furnished to the SEC prior to the date of this Agreement (other than any risk factor disclosures or other similar cautionary or predictive statements therein), Parent and Merger Sub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hereby represent and warrant to the Company that each of the following representations and warranties are true, correct and complete as of the date of this Agreement and as of the Closing Date:</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The Parent and Merger Sub are each corporations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Corporate Authorization</w:t>
      </w:r>
      <w:r>
        <w:rPr>
          <w:rFonts w:ascii="Times New Roman" w:cs="Times New Roman" w:eastAsia="Times New Roman" w:hAnsi="Times New Roman"/>
          <w:sz w:val="18"/>
          <w:szCs w:val="18"/>
          <w:color w:val="auto"/>
        </w:rPr>
        <w:t>. The execution, delivery and performance by the Parent Parties of this Agreement and the Additional Agreements to which they are or will be parties and the consummation by the Parent Parties of the transactions contemplated hereby and thereby are within the corporate powers of the Parent Parties and have been duly authorized by all necessary corporate action on the part of the Parent Parties. This Agreement has been duly executed and delivered by the Parent Parties and constitutes, and upon the execution and delivery thereof, each Additional Agreement to which a Parent Party is party, will constitute, a valid and legally binding agreement of the applicable Parent Party, enforceable against it in accordance with its terms, except as may be limited by the Enforceability Exceptions. This Agreement and the Additional Agreements to which a Parent Party is or will be party and the transactions contemplated hereby and thereby have been duly approved by Parent, on behalf of itself and in its capacity as the sole shareholder of Merger Sub. The affirmative vote of holders of a majority of the outstanding shares of Parent Common Stock present in person or by proxy and entitled to vote at the Parent Stockholder Meeting, assuming a quorum is present (the “</w:t>
      </w:r>
      <w:r>
        <w:rPr>
          <w:rFonts w:ascii="Times New Roman" w:cs="Times New Roman" w:eastAsia="Times New Roman" w:hAnsi="Times New Roman"/>
          <w:sz w:val="18"/>
          <w:szCs w:val="18"/>
          <w:u w:val="single" w:color="auto"/>
          <w:color w:val="auto"/>
        </w:rPr>
        <w:t>Parent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 is the only vote of the holders of any of Parent’s capital stock necessary to adopt this Agreement and approve the Merger and the consummation of the other transactions contemplated hereby.</w:t>
      </w:r>
    </w:p>
    <w:p>
      <w:pPr>
        <w:spacing w:after="0" w:line="13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xml:space="preserve">. Assuming the accuracy of the representations and warranties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neither the execution, delivery or performance of this Agreement requires any consent, approval, license or other action by or in respect of, or registration, declaration or filing with any Authority except for the filing of the Certificate of Merger with the Secretary of State of the State of Delaware pursuant to the DGCL.</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by the Parent Parties of this Agreement do not and will not (a) contravene or conflict with the organizational or constitutive documents of the Parent Parties, or (b) contravene or conflict with or constitute a violation of any provision of any Law or any Order binding upon the Parent Parties.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8" w:name="page329"/>
    <w:bookmarkEnd w:id="3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for the Persons identified on </w:t>
      </w:r>
      <w:r>
        <w:rPr>
          <w:rFonts w:ascii="Times New Roman" w:cs="Times New Roman" w:eastAsia="Times New Roman" w:hAnsi="Times New Roman"/>
          <w:sz w:val="18"/>
          <w:szCs w:val="18"/>
          <w:u w:val="single" w:color="auto"/>
          <w:color w:val="auto"/>
        </w:rPr>
        <w:t>Schedule 5.27</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the Parent Parties or their Affiliates who might be entitled to any fee or commission from the Company or any of its Affiliates upon consummation of the transactions contemplated by this Agreement or any of the Additional Agreements.</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Closing Payment Shares, when issued in accordance with this Agreement, will be duly authorized and validly issued, and will be fully paid and nonassessable.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1"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Parent consists of 100,000,000 Parent Class A Shares of which 12,516,500 are outstanding, 10,000,000 Parent Class B Shares of which 3,018,750 are issued and outstanding, and 1,000,000 shares of preferred stock, par value $0.0001 per share (“</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none of which are issued and outstanding. No other shares of capital stock or other voting securities of Parent are issued, reserved for issuance or outstanding. All issued and outstanding shares of Parent Common Stock are duly authorized, validly issued, fully paid and nonassessable and are not subject to, and were not issued in violation of, any purchase option, right of first refusal, preemptive right, subscription right or any similar right under any provision of the DGCL, Parent’s organizational documents or any contract to which Parent is a party or by which Parent is bound. Except as set forth in Parent’s organizational documents, there are no outstanding contractual obligations of Parent to repurchase, redeem or otherwise acquire any shares of Parent Common Stock or any capital equity of Parent. There are no outstanding contractual obligations of Parent to provide funds to, or make any investment (in the form of a loan, capital contribution or otherwise) in, any other Person.</w:t>
      </w:r>
    </w:p>
    <w:p>
      <w:pPr>
        <w:spacing w:after="0" w:line="122" w:lineRule="exact"/>
        <w:rPr>
          <w:rFonts w:ascii="Times New Roman" w:cs="Times New Roman" w:eastAsia="Times New Roman" w:hAnsi="Times New Roman"/>
          <w:sz w:val="18"/>
          <w:szCs w:val="18"/>
          <w:color w:val="auto"/>
        </w:rPr>
      </w:pPr>
    </w:p>
    <w:p>
      <w:pPr>
        <w:jc w:val="both"/>
        <w:ind w:left="460" w:right="479" w:firstLine="858"/>
        <w:spacing w:after="0" w:line="253" w:lineRule="auto"/>
        <w:tabs>
          <w:tab w:leader="none" w:pos="1597"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Sub is authorized to issue 100 shares, par value $0.0001 per share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which 100 shares of Merger Sub Common Stock are issued and outstanding as of the date hereof. No other shares or other voting securities of Merger Sub are issued, reserved for issuance or outstanding. All issued and outstanding shares of Merger Sub Common Stock are duly authorized, validly issued, fully paid and nonassessable and are not subject to, and were not issued in violation of, any purchase option, right of first refusal, preemptive right, subscription right or any similar right under any provision of the DGCL, the Merger Sub’s organizational documents or any contract to which Merger Sub is a party or by which Merger Sub is bound. There are no outstanding contractual obligations of Merger Sub to repurchase, redeem or otherwise acquire any shares of Merger Sub Common Stock or any equity capital of Merger Sub. There are no outstanding contractual obligations of Merger Sub to provide funds to, or make any investment (in the form of a loan, capital contribution or otherwise) in, any other Person.</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Parent Parties expressly for inclusion or incorporation by reference in the filings with the SEC and mailings to Parent’s stockholders with respect to the solicitation of proxies to approve the transactions contemplated by this Agreement and the Additional Agreements, if applicable, will, at the date of filing or mailing, at the time of the Parent Stockholder Meeting or at the Effective Time,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included in the Parent SEC Documents, the Additional Parent SEC Documents, the SEC Statement or any Other Filing).</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As of the date of this Agreement, Parent has at least $120,750,000 in the trust fund established by Parent for the benefit of its public stockholders (the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in a trust account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maintained by Continental Stock Transfer &amp; Trust Company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at J.P. Morgan Chase Bank, N.A., and such monies are invested in “government securities” (as such term is defined in the Investment Company Act of 1940) and held in trust by the Trustee pursuant to the Investment Management Trust Agreement dated as of August 11, 2020, between Parent and the Trustee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The Trust Agreement is valid and in full force and effect and enforceable in accordance with its terms, except as may be limited by the Enforceability Exceptions, and has not been amended or modified. There are no separate agreements, side letters or other agreements or understandings (whether written or unwritten, express or implied) that would cause the description of the Trust Agreement in the Parent SEC Documents to be inaccurate in any material respect or that would entitle any Person (other than stockholders of Parent holding Parent Class A Shares sold in Parent’s IPO who shall have elected to redeem their Parent Class A Shares pursuant to Parent’s amended and restated certificate of incorporation) to any portion of the proceeds in the Trust Account. Prior to the Closing, none of the funds held in the Trust Account may be released except in accordance with the Trust Agreement and Parent’s amended and restated certificate of incorporation. The Parent has performed all material</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9" w:name="page330"/>
    <w:bookmarkEnd w:id="3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obligations required to be performed by it to date under, and is not in material default or delinquent in performance or any other respect (claimed or actual) in connection with, the Trust Agreement, and, to the knowledge of Parent, no event has occurred which, with due notice or lapse of time or both, would constitute such a material default thereunder. There are no claims or proceedings pending with respect to the Trust Account.</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Parent Class A Shares are listed on Nasdaq, with trading ticker “FSDC.”</w:t>
      </w:r>
    </w:p>
    <w:p>
      <w:pPr>
        <w:spacing w:after="0" w:line="13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Board Approval</w:t>
      </w:r>
      <w:r>
        <w:rPr>
          <w:rFonts w:ascii="Times New Roman" w:cs="Times New Roman" w:eastAsia="Times New Roman" w:hAnsi="Times New Roman"/>
          <w:sz w:val="18"/>
          <w:szCs w:val="18"/>
          <w:color w:val="auto"/>
        </w:rPr>
        <w:t>. The Parent Board of Directors (including any required committee or subgroup of such board) has, as of the date of this Agreement, unanimously (a) declared the advisability of the transactions contemplated by this Agreement, (b) determined that the transactions contemplated hereby are in the best interests of the stockholders of Parent (c) determined that the transactions contemplated hereby constitutes a “Business Combination” as such term is defined in Parent’s amended and restated certificate of incorporation and bylaws; and (d) recommended to the stockholders of Parent to adopt and approve each of the Parent Proposals (the “</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Parent SEC Documents and Financial Statements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2" w:lineRule="auto"/>
        <w:tabs>
          <w:tab w:leader="none" w:pos="156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this Agreement (the “</w:t>
      </w:r>
      <w:r>
        <w:rPr>
          <w:rFonts w:ascii="Times New Roman" w:cs="Times New Roman" w:eastAsia="Times New Roman" w:hAnsi="Times New Roman"/>
          <w:sz w:val="18"/>
          <w:szCs w:val="18"/>
          <w:u w:val="single" w:color="auto"/>
          <w:color w:val="auto"/>
        </w:rPr>
        <w:t>Additional Parent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xml:space="preserve">”). The Parent has made available to the Company copies in the form filed with the SEC of all of the following, except to the extent available in full without redaction on the SEC’s website through EDGAR for at least two (2) days prior to the date of this Agreement: (i) Parent’s Annual Reports on Form 10-K for each fiscal year of Parent beginning with the first year that Parent was required to file such a form, (ii) all proxy statements relating to Parent’s meetings of stockholders (whether annual or special) held, and all information statements relating to stockholder consents, since the beginning of the first fiscal year referred to in clause (i) above, (iii) its Form 8-Ks filed since the beginning of the first fiscal year referred to in clause (i) above, and (iv) all other forms, reports, registration statements and other documents (other than preliminary materials if the corresponding definitive materials have been provided to the Company pursuant to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filed by Parent with the SEC since Parent’s formation (the forms, reports, registration statements and other documents referred to in clauses (i) through (iv) above, whether or not available through EDGAR, collectively,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7"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SEC Documents were, and the Additional Parent SEC Documents will be, prepared in all material respects in accordance with the requirements of the Securities Act, the Exchange Act, and the Sarbanes-Oxley Act, as the case may be, and the rules and regulations thereunder. The Parent SEC Documents did not, and the Additional Parent SEC Documents will not, at the time they were or are filed, as the case may be, with the SEC (except to the extent that information contained in any Parent SEC Document or Additional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does not apply to statements in or omissions in any information supplied or to be supplied by the Company expressly for inclusion or incorporation by reference in the SEC Statement or Other Filing.</w:t>
      </w:r>
    </w:p>
    <w:p>
      <w:pPr>
        <w:spacing w:after="0" w:line="9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7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the term “file” shall be broadly construed to include any manner in which a document or information is furnished, supplied or otherwise made available to the SEC.</w:t>
      </w:r>
    </w:p>
    <w:p>
      <w:pPr>
        <w:spacing w:after="0" w:line="8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 Neither Parent, nor any director, officer, agent or employee of Parent (in their capacities as such) has (a) used any funds for unlawful contributions, gifts, entertainment or other unlawful expenses relating to political activity, (b) made any unlawful payment to foreign or domestic government officials, employees or political parties or campaigns, (c) violated any provision of the Foreign Corrupt Practices Act or (d) made any other unlawful payment. Neither Parent, nor any director, officer, agent or employee of Parent (nor any Person acting on behalf of any of the foregoing, but solely in his or her capacity as a director, officer, employee or agent of Parent) has, since the IPO, directly or indirectly, given or agreed to give any gift or similar benefit in any material amount to any customer, supplier, governmental employee or other Person who is or may be in a position to help or hinder Parent or assist Parent in connection with any actual or proposed transaction, which, if not given or continued in the future, would reasonably be expected to</w:t>
      </w:r>
    </w:p>
    <w:p>
      <w:pPr>
        <w:spacing w:after="0" w:line="5" w:lineRule="exact"/>
        <w:rPr>
          <w:sz w:val="20"/>
          <w:szCs w:val="20"/>
          <w:color w:val="auto"/>
        </w:rPr>
      </w:pPr>
    </w:p>
    <w:p>
      <w:pPr>
        <w:ind w:left="460" w:right="479" w:hanging="6"/>
        <w:spacing w:after="0" w:line="260" w:lineRule="auto"/>
        <w:tabs>
          <w:tab w:leader="none" w:pos="67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business or prospects of Parent and (ii) subject Parent to suit or penalty in any private or governmental Action.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0" w:name="page331"/>
    <w:bookmarkEnd w:id="3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Parent are and have at all times been conducted in compliance with the Money Laundering Laws, and no Action involving Parent with respect to the Money Laundering Laws is pending or, to the knowledge of Parent, threatened.</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Except as described in Parent SEC Documents, there are no transactions, agreements, arrangements or understandings between Parent or any of its subsidiaries, on the one hand, and any director, officer, employee, stockholder, warrant holder or Affiliate of Parent or any of its subsidiaries, on the other hand.</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 Action pending, or, to the Knowledge of Parent, threatened in writing against Parent or any of its subsidiaries or that affects its or their assets or properties, or (b) Order outstanding against Parent or any of its subsidiaries or that affects its or their assets or properties. Neither Parent nor any of its subsidiaries is party to a settlement or similar agreement regarding any of the matters set forth in the preceding sentence that contains any ongoing obligations, restrictions or liabilities (of any nature) that are material to Parent and its subsidiaries.</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Expenses, Indebtedness and Other Liabilities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Parent does not have any Indebtedness or other liabilities.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6.18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58"/>
        <w:spacing w:after="0" w:line="276" w:lineRule="auto"/>
        <w:tabs>
          <w:tab w:leader="none" w:pos="1569"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Parent has duly and timely filed all income and other material Tax Returns which are required to be filed by or with respect to it, and has paid all income and other material Taxes which have become due;</w:t>
      </w:r>
    </w:p>
    <w:p>
      <w:pPr>
        <w:jc w:val="both"/>
        <w:ind w:left="460" w:right="459" w:hanging="6"/>
        <w:spacing w:after="0" w:line="250" w:lineRule="auto"/>
        <w:tabs>
          <w:tab w:leader="none" w:pos="74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Tax Returns are true, correct and complete and accurate in all material respects; (iii) there is no Action, within the past five years (or pending or proposed in writing), with respect to Taxes of Parent; (iv) no statute of limitations in respect of the assessment or collection of any Taxes of Parent has been waived or extended, which waiver or extension is in effect, and Parent is not presently contesting the Tax liability before any Taxing Authority or other Authority; (v) Parent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Parent; (vi) there is no Lien (other than Permitted Liens) for Taxes upon Parent or any of the assets of Parent; (vii) no claim has ever been made by a Taxing Authority in a jurisdiction where Parent has not paid any Tax or filed Tax Returns, asserting that Parent is or may be subject to Tax in such jurisdiction, Parent is not nor has it ever been subject to Tax in any country other than the country of incorporation of Parent by virtue of having a permanent establishment or other place of business in that country, and Parent is and has always been tax resident solely in its country of incorporation;</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872"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provided to the Company true, complete and correct copies of all Tax Returns (if any) relating to, and all audit reports and correspondence relating to each proposed adjustment (if any) made by any Taxing Authority with respect to, any taxable period ending after December 31, 2020; (ix) there is no outstanding power of attorney from Parent authorizing anyone to act on behalf of Parent in connection with any Tax, Tax Return or Action relating to any Tax or Tax Return of Parent; (x) Parent is not, and has never been, a party to any Tax sharing, allocation, indemnification or similar Contract; (xi) Parent is and has never been included in any consolidated, combined or unitary Tax Return and Parent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Parent), or has any liability for the Taxes of any Person (other than Parent)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 to the knowledge of Parent, no issue has been raised by a Taxing Authority in any prior Action relating to Parent with respect to any Tax for any period which, by application of the same or similar principles, could reasonably be expected to result in a proposed Tax deficiency of Parent for any other period; and (xiii) Parent has not requested any extension of time within which to file any Tax Return, which Tax Return has since not been filed.</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5"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1" w:name="page332"/>
    <w:bookmarkEnd w:id="3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Section 1.1502-13 or an excess loss account under United States Treasury regulations Section 1.1502-19, (v) a change in the accounting method of Parent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 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121" w:lineRule="exact"/>
        <w:rPr>
          <w:sz w:val="20"/>
          <w:szCs w:val="20"/>
          <w:color w:val="auto"/>
        </w:rPr>
      </w:pPr>
    </w:p>
    <w:p>
      <w:pPr>
        <w:jc w:val="both"/>
        <w:ind w:left="460" w:right="459" w:firstLine="858"/>
        <w:spacing w:after="0" w:line="272" w:lineRule="auto"/>
        <w:tabs>
          <w:tab w:leader="none" w:pos="1569" w:val="left"/>
        </w:tabs>
        <w:numPr>
          <w:ilvl w:val="1"/>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unpaid Taxes of Parent (i) did not, as of the most recent fiscal month end, exceed the reserve for Tax liability (rather than any reserve for deferred Taxes established to reflect timing differences between book and Tax income) set forth on the Unaudited Financial Statements in accordance with U.S. GAAP and</w:t>
      </w:r>
    </w:p>
    <w:p>
      <w:pPr>
        <w:spacing w:after="0" w:line="1" w:lineRule="exact"/>
        <w:rPr>
          <w:rFonts w:ascii="Times New Roman" w:cs="Times New Roman" w:eastAsia="Times New Roman" w:hAnsi="Times New Roman"/>
          <w:sz w:val="17"/>
          <w:szCs w:val="17"/>
          <w:color w:val="auto"/>
        </w:rPr>
      </w:pPr>
    </w:p>
    <w:p>
      <w:pPr>
        <w:ind w:left="460" w:right="459" w:hanging="6"/>
        <w:spacing w:after="0" w:line="260" w:lineRule="auto"/>
        <w:tabs>
          <w:tab w:leader="none" w:pos="72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exceed that reserve as adjusted for the passage of time through the Closing Date in accordance with the past custom and practice of Parent in filing its Tax Return.</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3"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been in compliance in all respects with all applicable transfer pricing laws and legal requirements. The prices for any property or services (or for the use of any property), including interest and other prices for financial services, provided by or to Parent are arm’s-length prices for purposes of the relevant transfer pricing laws.</w:t>
      </w:r>
    </w:p>
    <w:p>
      <w:pPr>
        <w:spacing w:after="0" w:line="9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79"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02"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not a “United States real property holding corporation” within the meaning of Section 897(c)(2) of the Code at any time during the five-year period ending on the Closing Date.</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21"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not engaged in a “reportable transaction” within the meaning of United States Treasury regulations Section 1.6011-4(b).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PARTIES PENDING CLOSING</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Conduct of the Business</w:t>
      </w:r>
      <w:r>
        <w:rPr>
          <w:rFonts w:ascii="Times New Roman" w:cs="Times New Roman" w:eastAsia="Times New Roman" w:hAnsi="Times New Roman"/>
          <w:sz w:val="18"/>
          <w:szCs w:val="18"/>
          <w:color w:val="auto"/>
        </w:rPr>
        <w:t>. Each of the Company and Parent covenants and agrees that:</w:t>
      </w:r>
    </w:p>
    <w:p>
      <w:pPr>
        <w:spacing w:after="0" w:line="158" w:lineRule="exact"/>
        <w:rPr>
          <w:sz w:val="20"/>
          <w:szCs w:val="20"/>
          <w:color w:val="auto"/>
        </w:rPr>
      </w:pPr>
    </w:p>
    <w:p>
      <w:pPr>
        <w:jc w:val="both"/>
        <w:ind w:left="460" w:right="459" w:firstLine="858"/>
        <w:spacing w:after="0" w:line="254" w:lineRule="auto"/>
        <w:tabs>
          <w:tab w:leader="none" w:pos="158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through the Closing Date, each party shall conduct business only in the ordinary course (including the payment of accounts payable and the collection of accounts receivable), consistent with past practices, and shall not enter into any material transactions outside the ordinary course of business without the prior written consent of the other party, and shall use its commercially reasonable efforts to preserve intact its business relationships with employees, clients, suppliers, contract manufacturing organizations, contract research organizations and other third parties. Without limiting the generality of the foregoing, from the date hereof through and including the Closing Date, without the other party’s prior written consent (which shall not be unreasonably conditioned, withheld or delayed), neither the Company nor Parent shall, and the Company shall cause its Subsidiaries not to:</w:t>
      </w:r>
    </w:p>
    <w:p>
      <w:pPr>
        <w:spacing w:after="0" w:line="120"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3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supplement its certificate of incorporation or bylaws or other organizational or governing documents, or engage in any reorganization, reclassification, liquidation, dissolution or similar transaction;</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256"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any provision of, terminate prior to its scheduled expiration date, or otherwise compromise in any way or relinquish any material right under, any Material Contract or other right or asset of the Company or Parent, as applicable;</w:t>
      </w:r>
    </w:p>
    <w:p>
      <w:pPr>
        <w:spacing w:after="0" w:line="108" w:lineRule="exact"/>
        <w:rPr>
          <w:rFonts w:ascii="Times New Roman" w:cs="Times New Roman" w:eastAsia="Times New Roman" w:hAnsi="Times New Roman"/>
          <w:sz w:val="18"/>
          <w:szCs w:val="18"/>
          <w:color w:val="auto"/>
        </w:rPr>
      </w:pPr>
    </w:p>
    <w:p>
      <w:pPr>
        <w:jc w:val="both"/>
        <w:ind w:left="880" w:right="479" w:firstLine="1086"/>
        <w:spacing w:after="0" w:line="261" w:lineRule="auto"/>
        <w:tabs>
          <w:tab w:leader="none" w:pos="233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the Company, modify, amend or enter into any contract, agreement, lease, license or commitment, including for capital expenditures, that would be considered a Material Contract if in effect on of the date hereof, except in the ordinary course of the Company’s business;</w:t>
      </w:r>
    </w:p>
    <w:p>
      <w:pPr>
        <w:spacing w:after="0" w:line="112" w:lineRule="exact"/>
        <w:rPr>
          <w:rFonts w:ascii="Times New Roman" w:cs="Times New Roman" w:eastAsia="Times New Roman" w:hAnsi="Times New Roman"/>
          <w:sz w:val="18"/>
          <w:szCs w:val="18"/>
          <w:color w:val="auto"/>
        </w:rPr>
      </w:pPr>
    </w:p>
    <w:p>
      <w:pPr>
        <w:ind w:left="4060" w:right="479" w:hanging="2094"/>
        <w:spacing w:after="0" w:line="485" w:lineRule="auto"/>
        <w:tabs>
          <w:tab w:leader="none" w:pos="2274"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in excess of $200,000 (individually or in the aggregate); 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2" w:name="page333"/>
    <w:bookmarkEnd w:id="3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1086"/>
        <w:spacing w:after="0" w:line="266" w:lineRule="auto"/>
        <w:tabs>
          <w:tab w:leader="none" w:pos="226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or otherwise dispose of any of the Company’s or Parent’s, as applicable, material assets, except pursuant to existing contracts or commitments disclosed herein or in the ordinary course of the Company’s business or Parent’s business (as applicable);</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55" w:lineRule="auto"/>
        <w:tabs>
          <w:tab w:leader="none" w:pos="2272"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 declare or promise to pay any dividends or other distributions with respect to its capital stock or other equity securities; (B) pay, declare or promise to pay any other amount to any stockholder, shareholder or other equityholder in its capacity as such (which for the avoidance of doubt does not include payment of salary, benefits, commissions and other regular and necessary customary payments made in the ordinary course of business consistent with past practices); or (C) except as contemplated by any Additional Agreement, amend any term, right or obligation with respect to any outstanding shares of its capital stock or other equity securities;</w:t>
      </w:r>
    </w:p>
    <w:p>
      <w:pPr>
        <w:spacing w:after="0" w:line="121" w:lineRule="exact"/>
        <w:rPr>
          <w:rFonts w:ascii="Times New Roman" w:cs="Times New Roman" w:eastAsia="Times New Roman" w:hAnsi="Times New Roman"/>
          <w:sz w:val="18"/>
          <w:szCs w:val="18"/>
          <w:color w:val="auto"/>
        </w:rPr>
      </w:pPr>
    </w:p>
    <w:p>
      <w:pPr>
        <w:jc w:val="both"/>
        <w:ind w:left="880" w:right="459" w:firstLine="1086"/>
        <w:spacing w:after="0" w:line="257" w:lineRule="auto"/>
        <w:tabs>
          <w:tab w:leader="none" w:pos="2349"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loan, advance or capital contribution to any Person; (B) incur any Indebtedness, including drawings under the lines of credit, if any, other than (1) loans evidenced by promissory notes made to Parent as working capital advances as described in the Prospectus and</w:t>
      </w:r>
    </w:p>
    <w:p>
      <w:pPr>
        <w:spacing w:after="0" w:line="1" w:lineRule="exact"/>
        <w:rPr>
          <w:rFonts w:ascii="Times New Roman" w:cs="Times New Roman" w:eastAsia="Times New Roman" w:hAnsi="Times New Roman"/>
          <w:sz w:val="18"/>
          <w:szCs w:val="18"/>
          <w:color w:val="auto"/>
        </w:rPr>
      </w:pPr>
    </w:p>
    <w:p>
      <w:pPr>
        <w:jc w:val="both"/>
        <w:ind w:left="880" w:right="479" w:firstLine="6"/>
        <w:spacing w:after="0" w:line="255" w:lineRule="auto"/>
        <w:tabs>
          <w:tab w:leader="none" w:pos="1162"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Indebtedness; or (C) repay or satisfy any Indebtedness, other than the repayment of Indebtedness in accordance with the terms thereof (provided, however, that the Company shall not be permitted to repay or satisfy all or any portion of the SVB Loan);</w:t>
      </w:r>
    </w:p>
    <w:p>
      <w:pPr>
        <w:spacing w:after="0" w:line="104" w:lineRule="exact"/>
        <w:rPr>
          <w:rFonts w:ascii="Times New Roman" w:cs="Times New Roman" w:eastAsia="Times New Roman" w:hAnsi="Times New Roman"/>
          <w:sz w:val="18"/>
          <w:szCs w:val="18"/>
          <w:color w:val="auto"/>
        </w:rPr>
      </w:pPr>
    </w:p>
    <w:p>
      <w:pPr>
        <w:ind w:left="2380" w:hanging="414"/>
        <w:spacing w:after="0"/>
        <w:tabs>
          <w:tab w:leader="none" w:pos="2380"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suffer or incur any Lien, except for Permitted Liens, on the Company’s or Parent’s, as</w:t>
      </w:r>
    </w:p>
    <w:p>
      <w:pPr>
        <w:spacing w:after="0" w:line="38" w:lineRule="exact"/>
        <w:rPr>
          <w:rFonts w:ascii="Times New Roman" w:cs="Times New Roman" w:eastAsia="Times New Roman" w:hAnsi="Times New Roman"/>
          <w:sz w:val="17"/>
          <w:szCs w:val="17"/>
          <w:color w:val="auto"/>
        </w:rPr>
      </w:pPr>
    </w:p>
    <w:p>
      <w:pPr>
        <w:ind w:left="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applicable, assets;</w:t>
      </w:r>
    </w:p>
    <w:p>
      <w:pPr>
        <w:spacing w:after="0" w:line="139" w:lineRule="exact"/>
        <w:rPr>
          <w:rFonts w:ascii="Times New Roman" w:cs="Times New Roman" w:eastAsia="Times New Roman" w:hAnsi="Times New Roman"/>
          <w:sz w:val="17"/>
          <w:szCs w:val="17"/>
          <w:color w:val="auto"/>
        </w:rPr>
      </w:pPr>
    </w:p>
    <w:p>
      <w:pPr>
        <w:jc w:val="both"/>
        <w:ind w:left="880" w:right="459" w:firstLine="1086"/>
        <w:spacing w:after="0" w:line="266" w:lineRule="auto"/>
        <w:tabs>
          <w:tab w:leader="none" w:pos="2268"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accelerate or cancel, or waive any material right with respect to, any receivables or Indebtedness owed to the Company or Parent, as applicable, or write off or make reserves against the same;</w:t>
      </w:r>
    </w:p>
    <w:p>
      <w:pPr>
        <w:spacing w:after="0" w:line="108"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26"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or enter a similar transaction with, or acquire all or substantially all of the assets or business of, any other Person; make any material investment in any Person; or be acquired by any other Person;</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281"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allow to lapse any insurance policy protecting any of the Company’s or Parent’s assets, unless simultaneously with such termination or lapse, a replacement policy underwritten by an insurance company of nationally recognized standing having comparable deductions and providing coverage equal to or greater than the coverage under the terminated or lapsed policy for substantially similar premiums or less is in full force and effect;</w:t>
      </w:r>
    </w:p>
    <w:p>
      <w:pPr>
        <w:spacing w:after="0" w:line="115"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42"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severance, retention or other employee plan or fail to continue to make timely contributions to each benefit plan in accordance with the terms thereof;</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389"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settle or agree to settle any Action before any Authority, in each case in excess of $100,000 (exclusive of any amounts covered by insurance) or that imposes injunctive or other non-monetary relief on such party;</w:t>
      </w:r>
    </w:p>
    <w:p>
      <w:pPr>
        <w:spacing w:after="0" w:line="9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98"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U.S. GAAP, make any material change in its accounting principles, methods or practices or write down the value of its assets;</w:t>
      </w:r>
    </w:p>
    <w:p>
      <w:pPr>
        <w:spacing w:after="0" w:line="94" w:lineRule="exact"/>
        <w:rPr>
          <w:rFonts w:ascii="Times New Roman" w:cs="Times New Roman" w:eastAsia="Times New Roman" w:hAnsi="Times New Roman"/>
          <w:sz w:val="18"/>
          <w:szCs w:val="18"/>
          <w:color w:val="auto"/>
        </w:rPr>
      </w:pPr>
    </w:p>
    <w:p>
      <w:pPr>
        <w:ind w:left="2320" w:hanging="354"/>
        <w:spacing w:after="0"/>
        <w:tabs>
          <w:tab w:leader="none" w:pos="232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principal place of business or jurisdiction of organization;</w:t>
      </w:r>
    </w:p>
    <w:p>
      <w:pPr>
        <w:spacing w:after="0" w:line="157"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37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redeem or repurchase any Equity Interests (other than (A) with respect to the Company, the exercise of any Company Option outstanding on the date hereof or the exercise of the Company Warrant, (B) with respect to Parent, any redemption by Parent of Parent Class A Shares held by its public stockholder pursuant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or (C) with respect to Parent, as otherwise contemplated by this Agreement or any Additional Agreement);</w:t>
      </w:r>
    </w:p>
    <w:p>
      <w:pPr>
        <w:spacing w:after="0" w:line="102"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421"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revoke any material Tax election; (B) change any annual Tax accounting periods; (C) settle or compromise any material claim, notice, audit report or assessment in respect of Taxes of the Company; (D) enter into any Tax allocation, Tax sharing, Tax indemnity or other closing agreement relating to any Taxes of the Company; or (E) surrender or forfeit any right to claim a material Tax refund;</w:t>
      </w:r>
    </w:p>
    <w:p>
      <w:pPr>
        <w:spacing w:after="0" w:line="115"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457"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with or distribute or advance any assets or property to any of its Affiliates, other than the payment of salary and benefits in the ordinary course;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3" w:name="page334"/>
    <w:bookmarkEnd w:id="3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1086"/>
        <w:spacing w:after="0" w:line="253" w:lineRule="auto"/>
        <w:tabs>
          <w:tab w:leader="none" w:pos="237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in the case of the Company, other than as required by a Plan, as set forth on </w:t>
      </w:r>
      <w:r>
        <w:rPr>
          <w:rFonts w:ascii="Times New Roman" w:cs="Times New Roman" w:eastAsia="Times New Roman" w:hAnsi="Times New Roman"/>
          <w:sz w:val="18"/>
          <w:szCs w:val="18"/>
          <w:u w:val="single" w:color="auto"/>
          <w:color w:val="auto"/>
        </w:rPr>
        <w:t>Schedule 7.1(a)(xix)</w:t>
      </w:r>
      <w:r>
        <w:rPr>
          <w:rFonts w:ascii="Times New Roman" w:cs="Times New Roman" w:eastAsia="Times New Roman" w:hAnsi="Times New Roman"/>
          <w:sz w:val="18"/>
          <w:szCs w:val="18"/>
          <w:color w:val="auto"/>
        </w:rPr>
        <w:t xml:space="preserve"> or as explicitly contemplated hereunder, (A) increase or make any material change in the compensation or benefits of any employee or other individual service provider of the Company other than in the ordinary course of the Company’s business consistent with past practice, (B) accelerate the vesting or payment of any compensation or benefits of any employee or other individual service provider of the Company, (C) terminate without “cause” any employee or other individual service provider of the Company, (D) hire or engage any new employee or other individual service provider of the Company if such new employee or individual service provider will receive annual base compensation in excess of $100,000, (E) make any loan to any present or former employee or other individual service provider of the Company, other than advancement of expenses in the ordinary course of business consistent with past practices, or (F) enter into, amend or terminate any collective bargaining agreement or other agreement with a labor union or labor organization;</w:t>
      </w:r>
    </w:p>
    <w:p>
      <w:pPr>
        <w:spacing w:after="0" w:line="122" w:lineRule="exact"/>
        <w:rPr>
          <w:rFonts w:ascii="Times New Roman" w:cs="Times New Roman" w:eastAsia="Times New Roman" w:hAnsi="Times New Roman"/>
          <w:sz w:val="18"/>
          <w:szCs w:val="18"/>
          <w:color w:val="auto"/>
        </w:rPr>
      </w:pPr>
    </w:p>
    <w:p>
      <w:pPr>
        <w:ind w:left="2320" w:hanging="354"/>
        <w:spacing w:after="0"/>
        <w:tabs>
          <w:tab w:leader="none" w:pos="232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the Company, enter into any Affiliate Transactions;</w:t>
      </w:r>
    </w:p>
    <w:p>
      <w:pPr>
        <w:spacing w:after="0" w:line="157"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9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duly observe and conform in all material respects to all applicable Law, including the Exchange Act, and Orders; or</w:t>
      </w:r>
    </w:p>
    <w:p>
      <w:pPr>
        <w:spacing w:after="0" w:line="80" w:lineRule="exact"/>
        <w:rPr>
          <w:rFonts w:ascii="Times New Roman" w:cs="Times New Roman" w:eastAsia="Times New Roman" w:hAnsi="Times New Roman"/>
          <w:sz w:val="18"/>
          <w:szCs w:val="18"/>
          <w:color w:val="auto"/>
        </w:rPr>
      </w:pPr>
    </w:p>
    <w:p>
      <w:pPr>
        <w:ind w:left="2420" w:hanging="454"/>
        <w:spacing w:after="0"/>
        <w:tabs>
          <w:tab w:leader="none" w:pos="242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do any of the foregoing.</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2" w:lineRule="auto"/>
        <w:tabs>
          <w:tab w:leader="none" w:pos="159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through the Closing Date, neither the Company, on the one hand, nor Parent, on the other hand, shall, and such Persons shall cause each of their respective officers, directors, Affiliates, managers, consultant, employees, representatives and agents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not to, directly or indirectly, (i) encourage, solicit, initiate, engage or participate in negotiations with any Person concerning any Alternative Transaction, (ii) take any other action intended or designed to facilitate the efforts of any Person relating to a possible Alternative Transaction or (iii) approve, recommend or enter into any Alternative Transaction or any Contract related to any Alternative Transaction. Immediately following the execution of this Agreement, the Company, on the one hand, and Parent, on the other hand, shall, and shall cause each of its Representatives, to terminate any existing discussion or negotiations with any Persons other than the Company or Parent, as applicable, concerning any Alternative Transaction. Each of the Company and Parent shall be responsible for any acts or omissions of any of its respective Representatives that, if they were the acts or omissions of the Company or Parent, as applicable, would be deemed a breach of such party’s obligations hereunder (it being understood that such responsibility shall be in addition to and not by way of limitation of any right or remedy the Company or Parent, as applicable, may have against such Representatives with respect to any such acts or omissions). For purposes of this Agreement, the term “</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means any of the following transactions involving the Company or Parent (other than the transactions contemplated by this Agreement): (A) any merger, consolidation, share exchange, business combination or other similar transaction or (B) any sale, lease, exchange, transfer or other disposition of all or a material portion of (x) the assets of such Person (other than sales of inventory in the ordinary course of business) or (y) any class or series of the capital stock or other equity interests of the Company or Parent, as the case may be, in a single transaction or series of transactions.</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is an unsolicited proposal for, or an indication of interest in entering into, an Alternative Transaction, communicated in writing to the Company or Parent or any of their respective representatives or agents (each, an “</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such party shall as promptly as practicable (and in any event within one (1) Business Day after receipt thereof) advise the other parties to this Agreement, orally and in writing, of such Alternative Proposal and the material terms and conditions thereof (including any changes thereto) and the identity of the Person making any such Alternative Proposal. The Company and Parent shall keep each other informed on a reasonably current basis of material developments with respect to any such Alternative Proposal. As used herein with respect to Parent, the term “Alternative Proposal” shall not include the receipt by Parent of any unsolicited communications (including the receipt of draft non-disclosure agreements) in the ordinary course of business inquiring as to Parent’s interest in a potential target for a business combination; provided, however, that Parent shall inform the person initiating such communication of the existence of this Agreement.</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From the date hereof through and including the Closing Date, the Company and Parent shall each, to the best of its ability, (a) continue to give the other party, its legal counsel and its other representatives full access to the offices, properties and Books and Records, (b) furnish to the other party, its legal counsel and its other representatives such information relating to the business of the Company and Parent as such Persons may request and (c) cause its employees, legal counsel, accountants and other representatives to cooperate with the other party in its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4" w:name="page335"/>
    <w:bookmarkEnd w:id="3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investigation of the Business (in the case of the Company) or the business of Parent (in the case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investigation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any investigation made prior to the date hereof) shall affect any representation or warranty given by the Company or Parent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investigation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Company. Notwithstanding anything to the contrary expressed or implied in this Agreement, neither party shall be required to provide the access described above or disclose any information to the other party if doing so is, in such party’s reasonable judgement, reasonably likely to (i) result in a waiver of attorney-client privilege, work product doctrine or similar privilege or (ii) violate any contract to which it is a party or to which it is subject or applicable Law.</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Notices of Certain Events</w:t>
      </w:r>
      <w:r>
        <w:rPr>
          <w:rFonts w:ascii="Times New Roman" w:cs="Times New Roman" w:eastAsia="Times New Roman" w:hAnsi="Times New Roman"/>
          <w:sz w:val="18"/>
          <w:szCs w:val="18"/>
          <w:color w:val="auto"/>
        </w:rPr>
        <w:t>. Each of Parent and the Company shall promptly notify the other party of:</w:t>
      </w:r>
    </w:p>
    <w:p>
      <w:pPr>
        <w:spacing w:after="0" w:line="158" w:lineRule="exact"/>
        <w:rPr>
          <w:sz w:val="20"/>
          <w:szCs w:val="20"/>
          <w:color w:val="auto"/>
        </w:rPr>
      </w:pPr>
    </w:p>
    <w:p>
      <w:pPr>
        <w:jc w:val="both"/>
        <w:ind w:left="460" w:right="459" w:firstLine="858"/>
        <w:spacing w:after="0" w:line="258" w:lineRule="auto"/>
        <w:tabs>
          <w:tab w:leader="none" w:pos="158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Person alleging or raising the possibility that the consent of such Person is or may be required in connection with the transactions contemplated by this Agreement or that the transactions contemplated by this Agreement might give rise to any Action or other rights by or on behalf of such Person or result in the loss of any rights or privileges of the Company (or Parent, post-Closing) to any such Person or create any Lien on any of the Company’s or Parent’s assets;</w:t>
      </w:r>
    </w:p>
    <w:p>
      <w:pPr>
        <w:spacing w:after="0" w:line="102"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1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Authority in connection with the transactions contemplated by this Agreement or the Additional Agreements;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9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commenced or threatened against, relating to or involving or otherwise affecting either party or any of their stockholders or their equity, assets or business or that relate to the consummation of the transactions contemplated by this Agreement or the Additional Agreements;</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fact or circumstance which constitutes or results, or would reasonably be expected to constitute or result in a Material Adverse Change; and</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3"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inaccuracy of any representation or warranty of such party contained in this Agreement at any time during the term hereof, or any failure of such party to comply with or satisfy any covenant, condition or agreement to be complied with or satisfied by it hereunder, that would reasonably be expected to cause any of the conditions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X not to be satisfied.</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Cooperation with Form S-4/Proxy Statement; Other Filings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3" w:lineRule="auto"/>
        <w:tabs>
          <w:tab w:leader="none" w:pos="1581"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provide to Parent such information concerning the Company and the Company Securityholders as is either required by the federal securities laws or reasonably requested by Parent for inclusion in the proxy statement/prospectus and Offer Documents. As promptly as practicable after the receipt by Parent from the Company of all such information, Parent and shall prepare and file with the SEC, and with all other applicable regulatory bodies, proxy materials for the purpose of soliciting proxies from holders of Parent Common Stock sufficient to obtain Parent Stockholder Approval at a meeting of holders of Parent Common Stock to be called and held for such purpose (the “</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Such proxy materials shall be in the form of a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which shall be included in a Registration Statement on Form S-4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filed by Parent with the SEC, pursuant to which the Parent Class A Shares issuable in the Merger shall be registered. Parent shall promptly respond to any SEC comments on the Form S-4. The Proxy Statement, the Form S-4 and the documents included or referred to therein, together with any supplements, amendments or exhibits thereto, are referred to herein as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1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(i) permit the Company and its counsel to review and comment on the Proxy Statement and Form S-4 and any exhibits, amendments or supplements thereto (or other related documents);</w:t>
      </w:r>
    </w:p>
    <w:p>
      <w:pPr>
        <w:jc w:val="both"/>
        <w:ind w:left="460" w:right="459" w:hanging="6"/>
        <w:spacing w:after="0" w:line="251" w:lineRule="auto"/>
        <w:tabs>
          <w:tab w:leader="none" w:pos="73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consider any such comments in good faith; and (iii) consult with the Company and its counsel prior to filing the Proxy Statement and Form S-4 or any exhibit, amendment or supplement thereto. As promptly as practicable after receipt thereof, Parent shall provide to the Company and its counsel notice and a copy of all correspondence (or, to the extent such correspondence is oral, a summary thereof), including any comments from the SEC or its staff, between Parent or any of its representatives, on the one hand, and the SEC or its staff or other government officials, on the other hand, with respect to the Proxy Statement and the S-4, and, in each case, shall consult with the Company and its counsel concerning any such correspondence. Parent shall, with respect to, any response letters to any comments from the SEC consider any comments from the Company and its counsel in good faith. Parent will advise the Company, promptly after it receives notice thereof, of the time when the Proxy Statement or the S-4 or any amendment or supplement thereto has been filed with the SEC and the time when the Form S-4 declared effective or any stop order relating</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5" w:name="page336"/>
    <w:bookmarkEnd w:id="33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to the Form S-4 is issued. Except as otherwise required by applicable Law, Parent covenants that none of Parent, the Parent Board of Directors nor any committee of the Parent Board of Directors shall withdraw or modify, or propose publicly or by formal action of Parent, the Parent Board of Directors or any committee of the Parent Board of Directors to withdraw or modify, in a manner adverse to the Company, the Parent Board Recommendation or any other recommendation by Parent, the Parent Board of Directors or any committee of the Parent Board of Directors of in connection with any of the Parent Proposals.</w:t>
      </w:r>
    </w:p>
    <w:p>
      <w:pPr>
        <w:spacing w:after="0" w:line="120" w:lineRule="exact"/>
        <w:rPr>
          <w:sz w:val="20"/>
          <w:szCs w:val="20"/>
          <w:color w:val="auto"/>
        </w:rPr>
      </w:pPr>
    </w:p>
    <w:p>
      <w:pPr>
        <w:jc w:val="both"/>
        <w:ind w:left="460" w:right="459" w:firstLine="858"/>
        <w:spacing w:after="0" w:line="255" w:lineRule="auto"/>
        <w:tabs>
          <w:tab w:leader="none" w:pos="1588"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date on which the Form S-4 is declared effective by the SEC (such effective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Parent shall distribute the Proxy Statement to the holders of Parent Common Stock and, pursuant thereto, shall call the Parent Stockholder Meeting in accordance with its organizational documents and the laws of the State of Delaware and, subject to the other provisions of this Agreement, solicit proxies from such holders to vote in favor of the adoption of this Agreement and the approval of the transactions contemplated hereby and the other matters presented to the Parent’s stockholders for approval or adoption at the Parent Stockholder Meeting, including the matters described in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608"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comply with all applicable provisions of and rules under the Securities Act and Exchange Act and all applicable Laws of the State of Delaware and Nasdaq in the preparation, filing and distribution of the Form S-4 and the Proxy Statement (or any amendment or supplement thereto), as applicable, the solicitation of proxies under the Proxy Statement and the calling and holding of the Parent Stockholder Meeting. Without limiting the foregoing, Parent shall ensure that each of the Form S-4, as of the Effective Date, and the Proxy Statement, as of the date on which it is first distributed to Parent’s stockholders, and as of the date of the Parent Stockholder Meeting, does not contain any untrue statement of a material fact or omit to state a material fact necessary in order to make the statements made,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be responsible for the accuracy or completeness of any information relating to the Company or any other information furnished by the Company for inclusion in the Proxy Statement). The Company represents and warrants that the information relating to the Company supplied by the Company for inclusion in the Form S-4 or the Proxy Statement, as applicable, as of the Effective Date and the date on which the Proxy Statement (or any amendment or supplement thereto) is first distributed to Parent Stockholders or at the time of the Parent Stockholder Meeting, does not contain any untrue statement of a material fact or omit to state a material fact necessary in order to make the statements made, in light of the circumstances under which they were made, not misleading. If at any time prior to the Effective Time, a change in the information relating to the Company or any other information furnished by Parent, Merger Sub or the Company for inclusion in the Proxy Statement, which would make the preceding sentence incorrect, should be discovered by Parent, Merger Sub or the Company, as applicable, such party shall promptly notify the other parties of such change or discovery and an appropriate amendment or supplement describing such information shall be promptly filed with the SEC and, to the extent required by Law, disseminated to Parent’s stockholders. In connection therewith, Parent, Merger Sub and the Company shall instruct their respective employees, counsel, financial advisors, auditors and other authorized representatives to reasonably cooperate with Parent as relevant if required to achieve the foregoing.</w:t>
      </w:r>
    </w:p>
    <w:p>
      <w:pPr>
        <w:spacing w:after="0" w:line="123" w:lineRule="exact"/>
        <w:rPr>
          <w:rFonts w:ascii="Times New Roman" w:cs="Times New Roman" w:eastAsia="Times New Roman" w:hAnsi="Times New Roman"/>
          <w:sz w:val="18"/>
          <w:szCs w:val="18"/>
          <w:color w:val="auto"/>
        </w:rPr>
      </w:pPr>
    </w:p>
    <w:p>
      <w:pPr>
        <w:jc w:val="both"/>
        <w:ind w:left="460" w:right="479" w:firstLine="858"/>
        <w:spacing w:after="0" w:line="257" w:lineRule="auto"/>
        <w:tabs>
          <w:tab w:leader="none" w:pos="159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Parent’s amended and restated certificate of incorporation and applicable securities laws, rules and regulations, including the DGCL and rules and regulations of Nasdaq in the Proxy Statement, Parent shall seek from the holders of Parent Common Stock the approval of the following proposals: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Stockholder Approval; (ii) adoption and approval of the Amended and Restated Certificate of Incorporation of Parent,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including the change of the name of Parent to “Gemini Therapeutics, Inc.”; (iii) adoption and approval of the Amended and Restated Bylaws of Parent in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(iv) approval of the Parent Equity Incentive Plan; (v) approval of the issuance of more than 20% of the issued and outstanding shares of Parent Common Stock to the Company Securityholders in connection with the Merger under applicable exchange listing rules; (vi) approval to adjourn the Parent Stockholder Meeting, if necessary; and (vii) approval to obtain any and all other approvals necessary or advisable to effect the consummation of the Merger as determined by Parent (the proposals set forth in the forgoing clauses (i) through (vii) collectively, the “</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w:t>
      </w:r>
    </w:p>
    <w:p>
      <w:pPr>
        <w:spacing w:after="0" w:line="125"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57"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with the assistance of the Company, shall use its reasonable best efforts to cause the S-4 and the Proxy Statement to “clear” comments from the SEC and the S-4 to become effective as promptly as reasonably practicable. The Offer Documents shall provide the public stockholders of Parent with the opportunity to redeem all or a portion of their public Parent Class A Shares, up to that number of Parent Class A Shares that would permit Parent to maintain net tangible assets of at least $5,000,001 (the “</w:t>
      </w:r>
      <w:r>
        <w:rPr>
          <w:rFonts w:ascii="Times New Roman" w:cs="Times New Roman" w:eastAsia="Times New Roman" w:hAnsi="Times New Roman"/>
          <w:sz w:val="18"/>
          <w:szCs w:val="18"/>
          <w:u w:val="single" w:color="auto"/>
          <w:color w:val="auto"/>
        </w:rPr>
        <w:t>Offering Shares</w:t>
      </w:r>
      <w:r>
        <w:rPr>
          <w:rFonts w:ascii="Times New Roman" w:cs="Times New Roman" w:eastAsia="Times New Roman" w:hAnsi="Times New Roman"/>
          <w:sz w:val="18"/>
          <w:szCs w:val="18"/>
          <w:color w:val="auto"/>
        </w:rPr>
        <w:t>”), at a price per share determined in accordance with the Parent Certificate of Incorporation, all in accordance with applicable Law and any applicable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6" w:name="page337"/>
    <w:bookmarkEnd w:id="3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rules and regulations of the SEC. In accordance with the Parent Certificate of Incorporation, the proceeds held in the Trust Account will be used for the redemption of the Parent Class A Shares held by Parent’s public stockholders who have elected to redeem such shares, if any.</w:t>
      </w:r>
    </w:p>
    <w:p>
      <w:pPr>
        <w:spacing w:after="0" w:line="108" w:lineRule="exact"/>
        <w:rPr>
          <w:sz w:val="20"/>
          <w:szCs w:val="20"/>
          <w:color w:val="auto"/>
        </w:rPr>
      </w:pPr>
    </w:p>
    <w:p>
      <w:pPr>
        <w:ind w:left="460" w:right="479" w:firstLine="858"/>
        <w:spacing w:after="0" w:line="282" w:lineRule="auto"/>
        <w:tabs>
          <w:tab w:leader="none" w:pos="158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to the contrary in this Agreement or any Additional Agreements, Parent may make any public filing with respect to the Merger to the extent required by applicable Law.</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call and hold the Parent Stockholder Meeting as promptly as practicable after the Effective Date for the purpose of seeking the approval of each of the Parent Proposals, and Parent shall consult in good faith with the Company with respect to the date on which such meeting is to be held. Parent shall use reasonable best efforts to solicit from its stockholders proxies in favor of the approval and adoption of the Merger and this Agreement. The Company acknowledges that a substantial portion of the Proxy Statement shall include disclosure regarding the Company and its management, operations and financial condition. Accordingly, the Company agrees to as promptly as reasonably practical provide Parent with such information as shall be reasonably requested by Parent for inclusion in or attachment to the Proxy Statement, and that such information is accurate in all material respects and complies as to form in all material respects with the requirements of the Exchange Act and the rules and regulations promulgated thereunder. The Company understands that such information shall be included in the Proxy Statement/Form S-4 or responses to comments from the SEC or its staff in connection therewith. The Company shall make, and cause each Subsidiary to make, their managers, directors, officers and employees available to Parent and its counsel in connection with the drafting of such filings and mailings and responding in a timely manner to comments from the SEC.</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Parent covenants that it shall cause the funds in the Trust Account to be disbursed in accordance with the Trust Agreement, including for the payment of (a) all amounts payable to public stockholders of Parent holding Parent Class A Shares who shall have validly redeemed their Parent Class A Shares upon acceptance by Parent of such Parent Class A Shares (the “</w:t>
      </w:r>
      <w:r>
        <w:rPr>
          <w:rFonts w:ascii="Times New Roman" w:cs="Times New Roman" w:eastAsia="Times New Roman" w:hAnsi="Times New Roman"/>
          <w:sz w:val="18"/>
          <w:szCs w:val="18"/>
          <w:u w:val="single" w:color="auto"/>
          <w:color w:val="auto"/>
        </w:rPr>
        <w:t>Parent Redemption Amount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460" w:right="479" w:hanging="6"/>
        <w:spacing w:after="0" w:line="260" w:lineRule="auto"/>
        <w:tabs>
          <w:tab w:leader="none" w:pos="73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underwriting commissions and the expenses to third parties to which they are owed, and (c) the remaining monies in the Trust Account to Parent after the Closing.</w:t>
      </w:r>
    </w:p>
    <w:p>
      <w:pPr>
        <w:spacing w:after="0" w:line="11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Obligations of Merger Sub</w:t>
      </w:r>
      <w:r>
        <w:rPr>
          <w:rFonts w:ascii="Times New Roman" w:cs="Times New Roman" w:eastAsia="Times New Roman" w:hAnsi="Times New Roman"/>
          <w:sz w:val="18"/>
          <w:szCs w:val="18"/>
          <w:color w:val="auto"/>
        </w:rPr>
        <w:t>. Parent shall take all action necessary to cause Merger Sub to perform its obligations under this Agreement and to consummate the transactions contemplated under this Agreement, upon the terms and subject to the conditions set forth in this Agreement.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Private Placement, Parent Support Agreements</w:t>
      </w:r>
      <w:r>
        <w:rPr>
          <w:rFonts w:ascii="Times New Roman" w:cs="Times New Roman" w:eastAsia="Times New Roman" w:hAnsi="Times New Roman"/>
          <w:sz w:val="18"/>
          <w:szCs w:val="18"/>
          <w:color w:val="auto"/>
        </w:rPr>
        <w:t>. Neither Parent, Merger Sub or any of their respective Affiliates or representatives shall make or agree to any amendments, changes, modifications or waivers (except, in each case, with respect to ministerial changes that do not have an economic impact) to any of the Subscription Agreements, without the prior written consent of the Company, which consent shall not be unreasonably withheld, conditioned or delayed.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1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Reporting; Compliance with Laws</w:t>
      </w:r>
      <w:r>
        <w:rPr>
          <w:rFonts w:ascii="Times New Roman" w:cs="Times New Roman" w:eastAsia="Times New Roman" w:hAnsi="Times New Roman"/>
          <w:sz w:val="18"/>
          <w:szCs w:val="18"/>
          <w:color w:val="auto"/>
        </w:rPr>
        <w:t>. From the date hereof through and including the Closing Date:</w:t>
      </w:r>
    </w:p>
    <w:p>
      <w:pPr>
        <w:spacing w:after="0" w:line="158" w:lineRule="exact"/>
        <w:rPr>
          <w:sz w:val="20"/>
          <w:szCs w:val="20"/>
          <w:color w:val="auto"/>
        </w:rPr>
      </w:pPr>
    </w:p>
    <w:p>
      <w:pPr>
        <w:jc w:val="both"/>
        <w:ind w:left="460" w:right="459" w:firstLine="858"/>
        <w:spacing w:after="0" w:line="255" w:lineRule="auto"/>
        <w:tabs>
          <w:tab w:leader="none" w:pos="158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duly and timely file all material Tax Returns required to be filed with the applicable Taxing Authorities and pay any and all Taxes due and payable during such time period. The Company shall prepare, or cause to be prepared, each such material Tax Return in a manner consistent with the Company’s past practice. The Company shall provide each such Tax Return to Parent for review and comment as soon as reasonably practicable before the due date of each such Tax Return and not file such Tax Returns without the prior written consent of Parent (such consent not to be unreasonably withheld, conditioned or delayed).</w:t>
      </w:r>
    </w:p>
    <w:p>
      <w:pPr>
        <w:spacing w:after="0" w:line="121"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Commercially Reasonable Efforts to Obtain Consents</w:t>
      </w:r>
      <w:r>
        <w:rPr>
          <w:rFonts w:ascii="Times New Roman" w:cs="Times New Roman" w:eastAsia="Times New Roman" w:hAnsi="Times New Roman"/>
          <w:sz w:val="18"/>
          <w:szCs w:val="18"/>
          <w:color w:val="auto"/>
        </w:rPr>
        <w:t xml:space="preserve">. The Company shall use its commercially reasonable efforts to obtain each Company Consent set forth on </w:t>
      </w:r>
      <w:r>
        <w:rPr>
          <w:rFonts w:ascii="Times New Roman" w:cs="Times New Roman" w:eastAsia="Times New Roman" w:hAnsi="Times New Roman"/>
          <w:sz w:val="18"/>
          <w:szCs w:val="18"/>
          <w:u w:val="single" w:color="auto"/>
          <w:color w:val="auto"/>
        </w:rPr>
        <w:t>Schedule 8.2</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Company’s Stockholders Approval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8" w:lineRule="auto"/>
        <w:tabs>
          <w:tab w:leader="none" w:pos="1571"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and in any event within two (2) Business Days following the Effective Date (the “</w:t>
      </w:r>
      <w:r>
        <w:rPr>
          <w:rFonts w:ascii="Times New Roman" w:cs="Times New Roman" w:eastAsia="Times New Roman" w:hAnsi="Times New Roman"/>
          <w:sz w:val="18"/>
          <w:szCs w:val="18"/>
          <w:u w:val="single" w:color="auto"/>
          <w:color w:val="auto"/>
        </w:rPr>
        <w:t>Company Stockholder Written Consent Deadline</w:t>
      </w:r>
      <w:r>
        <w:rPr>
          <w:rFonts w:ascii="Times New Roman" w:cs="Times New Roman" w:eastAsia="Times New Roman" w:hAnsi="Times New Roman"/>
          <w:sz w:val="18"/>
          <w:szCs w:val="18"/>
          <w:color w:val="auto"/>
        </w:rPr>
        <w:t>”), the Company shall obtain and deliver to Parent a true, complete and correct copy of a written consent (in form and substance reasonably satisfactory to Parent and certified by an executive officer of the Company) evidencing the Company Stockholder Approval that is duly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7" w:name="page338"/>
    <w:bookmarkEnd w:id="3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executed by the Company Stockholders that hold at least the requisite number and class of issued and outstanding shares of Company Capital Stock required to obtain the Company Stockholder Approval (the “</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858"/>
        <w:spacing w:after="0" w:line="266" w:lineRule="auto"/>
        <w:tabs>
          <w:tab w:leader="none" w:pos="157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Company’s Board of Directors, nor any committee thereof, shall withhold, withdraw, amend, modify, change or propose or resolve to withhold, withdraw, amend, modify or change, in each case in a manner adverse to Parent, the Company Board Recommendation.</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3"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obtained prior to the initiation of the requisite Company Stockholder approval procedure under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xml:space="preserve"> below, a waiver of the right to receive payments that could constitute “parachute payments” under Section 280G of the Code and regulations promulgated thereunder (a “</w:t>
      </w:r>
      <w:r>
        <w:rPr>
          <w:rFonts w:ascii="Times New Roman" w:cs="Times New Roman" w:eastAsia="Times New Roman" w:hAnsi="Times New Roman"/>
          <w:sz w:val="18"/>
          <w:szCs w:val="18"/>
          <w:u w:val="single" w:color="auto"/>
          <w:color w:val="auto"/>
        </w:rPr>
        <w:t>Parachute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Waiver</w:t>
      </w:r>
      <w:r>
        <w:rPr>
          <w:rFonts w:ascii="Times New Roman" w:cs="Times New Roman" w:eastAsia="Times New Roman" w:hAnsi="Times New Roman"/>
          <w:sz w:val="18"/>
          <w:szCs w:val="18"/>
          <w:color w:val="auto"/>
        </w:rPr>
        <w:t xml:space="preserve">”), in a form reasonably acceptable to Parent, from each Person whom the Company and/or Parent reasonably believes is, with respect to the Company, a “disqualified individual” (within the meaning of Section 280G of the Code and the regulations promulgated thereunder), as determined immediately prior to the initiation of the requisite Company Stockholder approval procedure under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and whom the Company and/or Parent believes might otherwise receive, have received, or have the right or entitlement to receive any parachute payment under Section 280G of the Code, and the Company shall have delivered each such Parachute Payment Waiver to Parent on or before the Closing Date.</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3"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reasonable best efforts to obtain the approval by such number of Company Stockholders as is required by the terms of Section 280G(b)(5)(B) of the Code so as to render the parachute payment provisions of Section 280G of the Code inapplicable to any and all payments and/or benefits provided pursuant to contracts or arrangements that, in the absence of the executed Parachute Payment Waivers by the affected Persons under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 xml:space="preserve"> above, might otherwise result, separately or in the aggregate, in the payment of any amount and/or the provision of any benefit that would not be deductible by reason of Section 280G of the Code, with such Company Stockholder approval to be obtained in a manner which satisfies all applicable requirements of such Section 280G(b)(5)(B) of the Code and the Treasury Regulations thereunder, including Q-7 of Section 1.280G-I of such Treasury Regulations. The Company shall forward to Parent, and allow Parent to review and comment upon, prior to submission to the Company Stockholders, copies of all material documents prepared for purposes of complying with this provision and shall consider any such reasonable comments in good faith.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ALL PARTIES HERETO</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Commercially Reasonable Efforts; Further Assurances; Governmental Consents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4"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matters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(which shall be subject to the terms and conditions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and otherwise subject to the terms and conditions of this Agreement, each party (other than the Stockholders’ Representative) shall use its reasonable best efforts to take, or cause to be taken, all actions and to do, or cause to be done, all things necessary or desirable under applicable Laws, or as reasonably requested by the other parties, to consummate and implement expeditiously each of the transactions contemplated by this Agreement, including using its reasonable best efforts to (i) obtain all necessary actions, nonactions, waivers, consents, approvals and other authorizations from all applicable Authorities prior to the Effective Time; (ii) avoid an Action by any Authority, and (iii) execute and deliver any additional instruments necessary to consummate the transactions contemplated by this Agreement. The parties (other than the Stockholders’ Representative) shall execute and deliver such other documents, certificates, agreements and other writings and take such other actions as may be necessary or desirable in order to consummate or implement expeditiously each of the transactions contemplated by this Agreement.</w:t>
      </w:r>
    </w:p>
    <w:p>
      <w:pPr>
        <w:spacing w:after="0" w:line="12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matters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(which shall be subject to the terms and conditions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and otherwise subject to applicable Law, each of the Company and Parent agrees to (i) cooperate and consult with the other regarding obtaining and making all notifications and filings with Authorities, (ii) furnish to the other such information and assistance as the other may reasonably request in connection with its preparation of any notifications or filings, (iii) keep the other apprised of the status of matters relating to the completion of the transactions contemplated by this Agreement, including promptly furnishing the other with copies of notices or other communications received by such party from, or given by such party to, any third party or any Authority with respect to such transactions, (iv) permit the other party to review and incorporate the other party’s reasonable comments in any communication to be given by it to any Authority with respect to any filings required to</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8" w:name="page339"/>
    <w:bookmarkEnd w:id="3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be made with, or action or nonactions, waivers, expirations or terminations of waiting periods, clearances, consents or orders required to be obtained from, such Authority in connection with execution and delivery of this Agreement and the consummation of the transactions contemplated by this Agreement and (v) to the extent reasonably practicable, consult with the other in advance of and not participate in any meeting or discussion relating to the transactions contemplated by this Agreement, either in person or by telephone, with any Authority in connection with the proposed transactions unless it gives the other party the opportunity to attend and observe;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of clauses (ii), (iii) and (iv) above, that materials may be redacted</w:t>
      </w:r>
    </w:p>
    <w:p>
      <w:pPr>
        <w:spacing w:after="0" w:line="3" w:lineRule="exact"/>
        <w:rPr>
          <w:sz w:val="20"/>
          <w:szCs w:val="20"/>
          <w:color w:val="auto"/>
        </w:rPr>
      </w:pPr>
    </w:p>
    <w:p>
      <w:pPr>
        <w:jc w:val="both"/>
        <w:ind w:left="460" w:right="479" w:hanging="6"/>
        <w:spacing w:after="0" w:line="255" w:lineRule="auto"/>
        <w:tabs>
          <w:tab w:leader="none" w:pos="767"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references concerning the valuation of such party and its Affiliates, (B) as necessary to comply with contractual arrangements or applicable Laws, and (C) as necessary to address reasonable attorney-client or other privilege or confidentiality concerns.</w:t>
      </w:r>
    </w:p>
    <w:p>
      <w:pPr>
        <w:spacing w:after="0" w:line="11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Except as necessary to complete the Offer Documents or any Other Filings, the Company, on the one hand, and Parent and Merger Sub, on the other hand, shall hold and shall cause their respective representatives to hold in strict confidence, unless compelled to disclose by judicial or administrative process or by other requirements of Law, all documents and information concerning the other party furnished to it by such other party or its representatives in connection with the transactions contemplated by this Agreement (except to the extent that such information can be shown to have been (a) previously known by the party to which it was furnished, (b) in the public domain through no fault of such party or (c) later lawfully acquired from another source, which source is not the agent of the other party and is not under any obligation of confidentiality with respect to such information); and no party shall release or disclose such information to any other Person, except its representatives in connection with this Agreement. In the event that any party believes that it is required to disclose any such confidential information pursuant to applicable Law, to the extent legally permissible, such party shall give timely written notice to the other party so that such party may have an opportunity to obtain a protective order or other appropriate relief. Each party shall be deemed to have satisfied its obligations to hold confidential information concerning or supplied by the other party if it exercises the same care as it takes to preserve confidentiality for its own similar information. The parties acknowledge that some previously confidential information will be required to be disclosed in the Offer Documents and Other Filings. Notwithstanding anything in this Agreement to the contrary, following the Closing, the Stockholders’ Representative shall be permitted to disclose information as required by Law or to employees, advisors, agents or consultants of the Stockholders’ Representative and to the Company Securityholders, in each case who have a need to know such information, provided that such persons are subject to confidentiality obligations with respect thereto.</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Directors’ and Officers’ Indemnification and Liability Insurance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61" w:lineRule="auto"/>
        <w:tabs>
          <w:tab w:leader="none" w:pos="1601"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indemnification for acts or omissions occurring through the Closing Date now existing in favor of the current directors and officers of the Company and Parent as provided in their respective organizational documents or in any indemnification agreements shall survive the applicable Merger and shall continue in full force and effect in accordance with their terms.</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09"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Parent and the Company shall reasonably cooperate in order to obtain directors’ and officers’ liability insurance for Parent and the Company that shall be effective as of Closing and will cover (i) those Persons who were directors and officers of the Company prior to the Closing and (ii) those Persons who will be the directors and officers of Parent and its subsidiaries (including the Company after the Effective Time) at and after the Closing on terms not less favorable than the better of (x) the terms of the current directors’ and officers’ liability insurance in place for the Company’s directors and officers and (y) the terms of a typical directors’ and officers’ liability insurance policy for a company whose equity is listed on Nasdaq which policy has a scope and amount of coverage that is reasonably appropriate for a company of similar characteristics (including the line of business and revenues) as the Company.</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74"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are intended to be for the benefit of, and shall be enforceable by, each Person who will have been a director or officer of the Company or Parent for all periods ending on or before the Closing Date and may not be changed with respect to any officer or director without his or her written consent.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shall be permitted to obtain and fully pay the premium for a six year prepaid “tail” policy for the extension of the directors’ and officers’ liability coverage of the Company’s existing directors’ and officers’ liability insurance policies, for claims reporting or discovery period of six years from and after the Effective Time, on terms and conditions providing coverage retentions, limits and other material terms substantially equivalent to the current policies of directors’ and officers’ liability insurance maintained by the Company with respect to matters arising on or before the Effective Time, covering without limitation the transactions contemplated hereby (the “</w:t>
      </w:r>
      <w:r>
        <w:rPr>
          <w:rFonts w:ascii="Times New Roman" w:cs="Times New Roman" w:eastAsia="Times New Roman" w:hAnsi="Times New Roman"/>
          <w:sz w:val="18"/>
          <w:szCs w:val="18"/>
          <w:u w:val="single" w:color="auto"/>
          <w:color w:val="auto"/>
        </w:rPr>
        <w:t>Tail Policy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9" w:name="page340"/>
    <w:bookmarkEnd w:id="3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Parent shall use its reasonable best efforts to cause (a) Parent’s initial listing application with the Nasdaq in connection with the transactions contemplated by this Agreement to have been approved; (b) all applicable initial and continuing listing requirements of the Nasdaq to be satisfied; and (c) the Closing Payment Shares, to be approved for listing on the Nasdaq, subject to official notice of issuance, in each case, as promptly as reasonably practicable after the date of this Agreement and in any event prior to the Effective Time.</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6" w:lineRule="auto"/>
        <w:tabs>
          <w:tab w:leader="none" w:pos="1597"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the Company shall take any action, or fail to take any action, that could reasonably be expected to cause the Merger to fail to qualify as a “reorganization” within the meaning of Section 368(a) of the Code. Parent and the Company intend to report and, except to the extent otherwise required by a change in Law, shall report, for U.S. federal income tax purposes, the Merger as a “reorganization” within the meaning of Section 368(a) of the Code, unless otherwise required by applicable Law.</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22"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its Affiliates to) provide any information reasonably requested to allow Parent to comply with any information reporting or withholding requirements contained in the Code or other applicable Laws with respect to the transactions contemplated by, or any payment made in connection with, this Agreement.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1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documentary, sales, use, value added, goods and services, stamp, registration, notarial fees and other similar Taxes and fees (collectively,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paid by the Surviving Corporation. After the Closing Date, the Surviving Corporation will prepare and file all necessary Tax Returns and other documentation with respect to all such Transfer Taxes that are required to be filed after the Closing Date, and, if required by applicable Law, the Company Securityholders and Parent will, and will cause their respective Affiliates to, cooperate and join in the execution of any such Tax Returns and other documentation, as applicable. Each party (other than the Stockholders’ Representative) shall (and shall cause its Affiliates to) provide certificates or forms, and timely execute any Tax Return, that are necessary or appropriate to establish an exemption for (or reduction in) any Transfer Tax.</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Prior to the Effective Date, Parent shall adopt a new equity incentive plan in substantially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with such changes or modifications thereto as the Company and Parent may mutually agree (such agreement not to be unreasonably withheld, conditioned or delayed by either the Company or Parent, as applicable) (the “</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xml:space="preserve">”), effective as of one day prior to the Closing Date. The Parent Equity Incentive Plan shall have such number of shares available for issuance as mutually determined by the Company and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shares of Company Common Stock that remain reserved for issuance under the Equity Incentive Plans shall be converted into shares of Parent Class A Common Stock reserved or available for issuance under the Parent Equity Incentive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Condition to the Obligations of the Parties</w:t>
      </w:r>
      <w:r>
        <w:rPr>
          <w:rFonts w:ascii="Times New Roman" w:cs="Times New Roman" w:eastAsia="Times New Roman" w:hAnsi="Times New Roman"/>
          <w:sz w:val="18"/>
          <w:szCs w:val="18"/>
          <w:color w:val="auto"/>
        </w:rPr>
        <w:t>. The obligations of all of the parties to consummate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Merger are subject to the satisfaction of all the following conditions:</w:t>
      </w:r>
    </w:p>
    <w:p>
      <w:pPr>
        <w:spacing w:after="0" w:line="139" w:lineRule="exact"/>
        <w:rPr>
          <w:sz w:val="20"/>
          <w:szCs w:val="20"/>
          <w:color w:val="auto"/>
        </w:rPr>
      </w:pPr>
    </w:p>
    <w:p>
      <w:pPr>
        <w:ind w:left="460" w:right="479" w:firstLine="858"/>
        <w:spacing w:after="0" w:line="282" w:lineRule="auto"/>
        <w:tabs>
          <w:tab w:leader="none" w:pos="159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provisions of any applicable Law and no Order shall restrain or prohibit or impose any condition on the consummation of the Transactions.</w:t>
      </w:r>
    </w:p>
    <w:p>
      <w:pPr>
        <w:spacing w:after="0" w:line="94"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08"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consent or approval required to be obtained from any Authority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10.1(b)</w:t>
      </w:r>
      <w:r>
        <w:rPr>
          <w:rFonts w:ascii="Times New Roman" w:cs="Times New Roman" w:eastAsia="Times New Roman" w:hAnsi="Times New Roman"/>
          <w:sz w:val="18"/>
          <w:szCs w:val="18"/>
          <w:color w:val="auto"/>
        </w:rPr>
        <w:t xml:space="preserve"> shall have been obtained.</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9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any Action brought by any governmental Authority to enjoin or otherwise restrict the consummation of the Transactions.</w:t>
      </w:r>
    </w:p>
    <w:p>
      <w:pPr>
        <w:spacing w:after="0" w:line="94"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84"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have redeemed the Parent Class A Shares in an amount that would cause Parent to have net tangible assets of less than $5,000,001 upon consummation of the Merger.</w:t>
      </w:r>
    </w:p>
    <w:p>
      <w:pPr>
        <w:spacing w:after="0" w:line="94" w:lineRule="exact"/>
        <w:rPr>
          <w:rFonts w:ascii="Times New Roman" w:cs="Times New Roman" w:eastAsia="Times New Roman" w:hAnsi="Times New Roman"/>
          <w:sz w:val="18"/>
          <w:szCs w:val="18"/>
          <w:color w:val="auto"/>
        </w:rPr>
      </w:pPr>
    </w:p>
    <w:p>
      <w:pPr>
        <w:ind w:left="1560" w:hanging="242"/>
        <w:spacing w:after="0"/>
        <w:tabs>
          <w:tab w:leader="none" w:pos="15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Proposals shall have been duly approved at the Parent Stockholder Meeting;</w:t>
      </w:r>
    </w:p>
    <w:p>
      <w:pPr>
        <w:spacing w:after="0" w:line="144"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shall have been obtained.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0" w:name="page341"/>
    <w:bookmarkEnd w:id="3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Conditions to Obligations of Parent and Merger Sub</w:t>
      </w:r>
      <w:r>
        <w:rPr>
          <w:rFonts w:ascii="Times New Roman" w:cs="Times New Roman" w:eastAsia="Times New Roman" w:hAnsi="Times New Roman"/>
          <w:sz w:val="18"/>
          <w:szCs w:val="18"/>
          <w:color w:val="auto"/>
        </w:rPr>
        <w:t>. The obligation of Parent and Merger Sub to consummate the Merger is subject to the satisfaction, or the waiver in Parent’s sole and absolute discretion, of all the following further conditions:</w:t>
      </w:r>
    </w:p>
    <w:p>
      <w:pPr>
        <w:spacing w:after="0" w:line="108" w:lineRule="exact"/>
        <w:rPr>
          <w:sz w:val="20"/>
          <w:szCs w:val="20"/>
          <w:color w:val="auto"/>
        </w:rPr>
      </w:pPr>
    </w:p>
    <w:p>
      <w:pPr>
        <w:jc w:val="both"/>
        <w:ind w:left="460" w:right="479" w:firstLine="858"/>
        <w:spacing w:after="0" w:line="266" w:lineRule="auto"/>
        <w:tabs>
          <w:tab w:leader="none" w:pos="159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performed or complied with, in all material respects, all of its obligations hereunder required to be performed or complied with (without giving effect to any materiality or similar qualifiers contained therein) by the Company at or prior to the Closing Date.</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3"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this Agreement (disregarding all qualifications and exceptions contained therein relating to materiality or Material Adverse Effect), other than the Company Fundamental Representations,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1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1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received a certificate signed by the Chief Executive Officer or the Chief Financial Officer certifying the accuracy of the provisions of the foregoing clauses (a), (b) and (c)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Certificate</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a certificate signed by the Secretary of the Company attaching true and correct copies of (i) the Company Certificate of Incorporation and by-laws, certified as of a recent date by the. Secretary of State of the State of Delaware; (ii) copies of resolutions duly adopted by the Board of Directors of the Company authorizing this Agreement, the Additional Agreements to which the Company is a party and the transactions contemplated hereby and thereby and the Company Stockholder Written Consent; and (iii) a certificate of good standing of the Company, certified as of a recent date by the Secretary of State of the State of Delaware.</w:t>
      </w:r>
    </w:p>
    <w:p>
      <w:pPr>
        <w:spacing w:after="0" w:line="10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03"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Specified Company Securityholders shall have duly executed and delivered to Parent a copy of the Registration Rights Agreement.</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and Sponsor a copy of the Escrow Agreement, duly executed by the Company.</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29"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Specified Company Securityholders shall have duly executed and delivered to Parent a copy of the Voting Agreement.</w:t>
      </w:r>
    </w:p>
    <w:p>
      <w:pPr>
        <w:spacing w:after="0" w:line="80"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a Material Adverse Effect since the date hereof that is continuing.</w:t>
      </w:r>
    </w:p>
    <w:p>
      <w:pPr>
        <w:spacing w:after="0" w:line="157"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59"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three percent (3%) of the issued and outstanding shares of Company Common Stock (including shares of Company Common Stock issuable upon conversion of Company Preferred Stock) shall continue Dissenting Shares.</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1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a duly executed certificate conforming to the requirements of Sections 1.897-2(h)(1)(i) and 1.1445-2(c)(3)(i) of the United States Treasury regulations, and a notice to be delivered to the United States Internal Revenue Service as required under Section 1.897-2(h)(2) of the United States Treasury regulations, each dated no more than thirty (30) days prior to the Closing Date and in substantially the form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588"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evidence, in form and substance reasonably acceptable to Parent, that (x) each of the Contracts set forth on Schedule 10.2(l) has been terminated without any further obligations of the Company and (y) the Convertible Notes have been converted into Company Series B Preferred Stock prior to the Closing.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1" w:name="page342"/>
    <w:bookmarkEnd w:id="3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620" w:hanging="302"/>
        <w:spacing w:after="0"/>
        <w:tabs>
          <w:tab w:leader="none" w:pos="16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each Company Consent set forth on Schedule 10.2(m).</w:t>
      </w:r>
    </w:p>
    <w:p>
      <w:pPr>
        <w:spacing w:after="0" w:line="14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02"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evidence of termination of the Equity Incentive Plans in accordance with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7"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the consent of the holders of outstanding awards under the Equity Incentive Plans, to ensure that no more than five percent (5%) of the outstanding equity and equity-based awards under the Equity Incentive Plans accelerate in connection with the Closing or otherwise as a result of the transactions contemplated by this Agreement.</w:t>
      </w:r>
    </w:p>
    <w:p>
      <w:pPr>
        <w:spacing w:after="0" w:line="9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1"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executed and delivered to Parent a copy of each Additional Agreement to which it or any of its stockholders is a party.</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9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copies of the Lockup Agreements, duly executed by each of the Company Securityholders set forth on </w:t>
      </w:r>
      <w:r>
        <w:rPr>
          <w:rFonts w:ascii="Times New Roman" w:cs="Times New Roman" w:eastAsia="Times New Roman" w:hAnsi="Times New Roman"/>
          <w:sz w:val="18"/>
          <w:szCs w:val="18"/>
          <w:u w:val="single" w:color="auto"/>
          <w:color w:val="auto"/>
        </w:rPr>
        <w:t>Schedule 10.2(q)</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obligations of the Company to consummate the Merger is subject to the satisfaction, or the waiver in the Company’s sole and absolute discretion, of all of the following further conditions:</w:t>
      </w:r>
    </w:p>
    <w:p>
      <w:pPr>
        <w:spacing w:after="0" w:line="95" w:lineRule="exact"/>
        <w:rPr>
          <w:sz w:val="20"/>
          <w:szCs w:val="20"/>
          <w:color w:val="auto"/>
        </w:rPr>
      </w:pPr>
    </w:p>
    <w:p>
      <w:pPr>
        <w:jc w:val="both"/>
        <w:ind w:left="460" w:right="459" w:firstLine="858"/>
        <w:spacing w:after="0" w:line="261" w:lineRule="auto"/>
        <w:tabs>
          <w:tab w:leader="none" w:pos="1613"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each have duly performed or complied with, in all material respects, all of its respective obligations hereunder required to be performed or complied with (without giving effect to any materiality or similar qualifiers contained therein) by Parent or Merger Sub, as applicable, at or prior to the Closing Date.</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1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Merger Sub contained in this Agreement (disregarding all qualifications contained therein relating to materiality or Material Adverse Effect), other than the Parent Fundamental Representations, shall be true and correct as of the date of this Agreement and as of the Closing Date, as if made at and as of such date (except to the extent that any such representation and warranty is made as of an earlier date, in which case such representation and warranty shall be true and correct at and as of such earlier date), except for any failure of such representations and warranties which would not in the aggregate reasonably be expected to have a Material Adverse Effect on Parent or on Parent’s ability to consummate the transactions contemplated by this Agreement and the Additional Agreements.</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4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w:t>
      </w:r>
    </w:p>
    <w:p>
      <w:pPr>
        <w:spacing w:after="0" w:line="106"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8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Amended and Restated Certificate of Incorporation of Parent,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shall have been filed with, and declared effective by, the Delaware Secretary of State.</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17"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received a certificate signed by an authorized officer of Parent accuracy of the provisions of the foregoing clauses (a), (b) and (c) of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560" w:hanging="242"/>
        <w:spacing w:after="0"/>
        <w:tabs>
          <w:tab w:leader="none" w:pos="15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shall have executed and delivered to the Company a copy of the Registration Rights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25"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shall have executed and delivered to the Company a copy of the Escrow Agreement.</w:t>
      </w:r>
    </w:p>
    <w:p>
      <w:pPr>
        <w:spacing w:after="0" w:line="144" w:lineRule="exact"/>
        <w:rPr>
          <w:rFonts w:ascii="Times New Roman" w:cs="Times New Roman" w:eastAsia="Times New Roman" w:hAnsi="Times New Roman"/>
          <w:sz w:val="18"/>
          <w:szCs w:val="18"/>
          <w:color w:val="auto"/>
        </w:rPr>
      </w:pPr>
    </w:p>
    <w:p>
      <w:pPr>
        <w:ind w:left="1620" w:hanging="302"/>
        <w:spacing w:after="0"/>
        <w:tabs>
          <w:tab w:leader="none" w:pos="16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Sponsor shall have executed and delivered to Parent a copy of the Voting</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25"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4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executed and delivered to the Company a copy of each Additional Agreement to which it or any of its stockholders is a party.</w:t>
      </w:r>
    </w:p>
    <w:p>
      <w:pPr>
        <w:spacing w:after="0" w:line="80"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7"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size and composition of the post-Closing Parent Board of Directors shall have been appointed as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Transaction Proceeds shall be equal to or greater than $170,000,000.</w:t>
      </w:r>
    </w:p>
    <w:p>
      <w:pPr>
        <w:spacing w:after="0" w:line="144"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4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initial listing application with Nasdaq in connection with the transactions contemplated by this Agreement shall have been conditionally approved and, immediately following the Effective Time, Parent shall satisfy any applicable initial and continuing listing requirements of Nasdaq, and Parent shall not have received any notice of non-compliance therewith, and the Closing Payment Shares shall have been approved for listing on Nasdaq.</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2" w:name="page343"/>
    <w:bookmarkEnd w:id="3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Indemnification of Parent</w:t>
      </w:r>
      <w:r>
        <w:rPr>
          <w:rFonts w:ascii="Times New Roman" w:cs="Times New Roman" w:eastAsia="Times New Roman" w:hAnsi="Times New Roman"/>
          <w:sz w:val="18"/>
          <w:szCs w:val="18"/>
          <w:color w:val="auto"/>
        </w:rPr>
        <w:t>. From and after the Closing, the Escrow Participants shall, severally and not jointly, indemnify and hold harmless Parent, its officers, directors and Affiliates and their respective successors and permitted assigns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and in respect of any and all out-of-pocket loss, cost, payment, demand, penalty, forfeiture, expense, liability, judgment, deficiency or damage (including actual costs of investigation and attorneys’ fees and other costs and expenses) (all of the foregoing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incurred or sustained by Parent as a result of (a) any breach or inaccuracy of any of the representations or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modified by the Schedules) or in the Company Certificate, in each case, for the avoidance of doubt, as of the date of this Agreement or the Closing Date or such other date as expressly set forth in such representation or warranty; or (b) any breach or nonfulfillment of any covenants of the Company contained in this Agreement to be performed at or prior to the Closing Date. Notwithstanding anything in this Agreement to the contrary, the maximum liability of the Escrow Participants under this Agreement, including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otherwise in connection with the transactions contemplated by this Agreement, shall in no event exceed an amount equal to (i) the Escrow Share Value, </w:t>
      </w:r>
      <w:r>
        <w:rPr>
          <w:rFonts w:ascii="Times New Roman" w:cs="Times New Roman" w:eastAsia="Times New Roman" w:hAnsi="Times New Roman"/>
          <w:sz w:val="18"/>
          <w:szCs w:val="18"/>
          <w:i w:val="1"/>
          <w:iCs w:val="1"/>
          <w:u w:val="single" w:color="auto"/>
          <w:color w:val="auto"/>
        </w:rPr>
        <w:t>multiplied</w:t>
      </w:r>
      <w:r>
        <w:rPr>
          <w:rFonts w:ascii="Times New Roman" w:cs="Times New Roman" w:eastAsia="Times New Roman" w:hAnsi="Times New Roman"/>
          <w:sz w:val="18"/>
          <w:szCs w:val="18"/>
          <w:color w:val="auto"/>
        </w:rPr>
        <w:t xml:space="preserve"> by</w:t>
      </w:r>
    </w:p>
    <w:p>
      <w:pPr>
        <w:spacing w:after="0" w:line="1" w:lineRule="exact"/>
        <w:rPr>
          <w:sz w:val="20"/>
          <w:szCs w:val="20"/>
          <w:color w:val="auto"/>
        </w:rPr>
      </w:pPr>
    </w:p>
    <w:p>
      <w:pPr>
        <w:jc w:val="both"/>
        <w:ind w:left="460" w:right="459" w:hanging="6"/>
        <w:spacing w:after="0" w:line="252" w:lineRule="auto"/>
        <w:tabs>
          <w:tab w:leader="none" w:pos="72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Shares (the “</w:t>
      </w:r>
      <w:r>
        <w:rPr>
          <w:rFonts w:ascii="Times New Roman" w:cs="Times New Roman" w:eastAsia="Times New Roman" w:hAnsi="Times New Roman"/>
          <w:sz w:val="18"/>
          <w:szCs w:val="18"/>
          <w:u w:val="single" w:color="auto"/>
          <w:color w:val="auto"/>
        </w:rPr>
        <w:t>Indemnifiable Loss Limit</w:t>
      </w:r>
      <w:r>
        <w:rPr>
          <w:rFonts w:ascii="Times New Roman" w:cs="Times New Roman" w:eastAsia="Times New Roman" w:hAnsi="Times New Roman"/>
          <w:sz w:val="18"/>
          <w:szCs w:val="18"/>
          <w:color w:val="auto"/>
        </w:rPr>
        <w:t xml:space="preserve">”). Parent shall not be entitled to indemnification pursuant to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unless and until the aggregate amount of Losses incurred by Parent equals at least $1,612,500 (the “</w:t>
      </w:r>
      <w:r>
        <w:rPr>
          <w:rFonts w:ascii="Times New Roman" w:cs="Times New Roman" w:eastAsia="Times New Roman" w:hAnsi="Times New Roman"/>
          <w:sz w:val="18"/>
          <w:szCs w:val="18"/>
          <w:u w:val="single" w:color="auto"/>
          <w:color w:val="auto"/>
        </w:rPr>
        <w:t>Basket</w:t>
      </w:r>
      <w:r>
        <w:rPr>
          <w:rFonts w:ascii="Times New Roman" w:cs="Times New Roman" w:eastAsia="Times New Roman" w:hAnsi="Times New Roman"/>
          <w:sz w:val="18"/>
          <w:szCs w:val="18"/>
          <w:color w:val="auto"/>
        </w:rPr>
        <w:t>”), at which time, subject to the Indemnifiable Loss Limit, Parent shall be entitled to indemnification for any and all Losses above the Basket. The Escrow Participants shall have no liability or obligation to indemnify Parent or any other Indemnified Party under this Agreement with respect to the breach or inaccuracy of any representation or warranty, based on any matter, fact or circumstance Known by Parent on the date of this Agreement.</w:t>
      </w:r>
    </w:p>
    <w:p>
      <w:pPr>
        <w:spacing w:after="0" w:line="121"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The following shall apply with respect to all claims by an Indemnified Party for indemnification pursuant to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59" w:firstLine="858"/>
        <w:spacing w:after="0" w:line="253" w:lineRule="auto"/>
        <w:tabs>
          <w:tab w:leader="none" w:pos="1653"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Indemnified Party shall give the Stockholders’ Representative prompt notice (an “</w:t>
      </w:r>
      <w:r>
        <w:rPr>
          <w:rFonts w:ascii="Times New Roman" w:cs="Times New Roman" w:eastAsia="Times New Roman" w:hAnsi="Times New Roman"/>
          <w:sz w:val="18"/>
          <w:szCs w:val="18"/>
          <w:u w:val="single" w:color="auto"/>
          <w:color w:val="auto"/>
        </w:rPr>
        <w:t>Indemnification Notice</w:t>
      </w:r>
      <w:r>
        <w:rPr>
          <w:rFonts w:ascii="Times New Roman" w:cs="Times New Roman" w:eastAsia="Times New Roman" w:hAnsi="Times New Roman"/>
          <w:sz w:val="18"/>
          <w:szCs w:val="18"/>
          <w:color w:val="auto"/>
        </w:rPr>
        <w:t>”) of (i) any event, circumstance, development, state of facts or occurrence of which such Indemnified Party is aware that resulted or may result in any Losses by any Indemnified Party with respect to which such Indemnified Party seeks indemnification pursuant to this Agreement and/or (ii) any third-party action with respect to which such Indemnified Party seeks indemnification pursuant to this Agreement (a “</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which shall describe in reasonable detail the Loss that has been or may be suffered by the Indemnified Party. The failure to promptly give the Indemnification Notice shall not impair any of the rights or benefits of such Indemnified Party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except to the extent such failure materially prejudices the ability of the Stockholders’ Representative, on behalf of the Escrow Participants (the “</w:t>
      </w:r>
      <w:r>
        <w:rPr>
          <w:rFonts w:ascii="Times New Roman" w:cs="Times New Roman" w:eastAsia="Times New Roman" w:hAnsi="Times New Roman"/>
          <w:sz w:val="18"/>
          <w:szCs w:val="18"/>
          <w:u w:val="single" w:color="auto"/>
          <w:color w:val="auto"/>
        </w:rPr>
        <w:t>Indemnifying Parties</w:t>
      </w:r>
      <w:r>
        <w:rPr>
          <w:rFonts w:ascii="Times New Roman" w:cs="Times New Roman" w:eastAsia="Times New Roman" w:hAnsi="Times New Roman"/>
          <w:sz w:val="18"/>
          <w:szCs w:val="18"/>
          <w:color w:val="auto"/>
        </w:rPr>
        <w:t>”), to defend such claim or increases the amount of such liability.</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3"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Third-Party Claims as to which indemnification is sought by any Indemnified Party, such Indemnified Party shall be entitled, at the sole expense and liability of the Escrow Participants, to exercise full control of the defense, compromise or settlement of any Third-Party Claim unless the Stockholders’ Representative, within a reasonable time after the giving of an Indemnification Notice by the Indemnified Party (but in any event within twenty (20) Business Days thereafter), shall (x) notify such Indemnified Party in writing of the intention of the Indemnifying Parties to assume the defense thereof and</w:t>
      </w:r>
    </w:p>
    <w:p>
      <w:pPr>
        <w:spacing w:after="0" w:line="5" w:lineRule="exact"/>
        <w:rPr>
          <w:rFonts w:ascii="Times New Roman" w:cs="Times New Roman" w:eastAsia="Times New Roman" w:hAnsi="Times New Roman"/>
          <w:sz w:val="18"/>
          <w:szCs w:val="18"/>
          <w:color w:val="auto"/>
        </w:rPr>
      </w:pPr>
    </w:p>
    <w:p>
      <w:pPr>
        <w:ind w:left="460" w:right="479" w:hanging="6"/>
        <w:spacing w:after="0" w:line="260" w:lineRule="auto"/>
        <w:tabs>
          <w:tab w:leader="none" w:pos="727"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legal counsel reasonably satisfactory to the Indemnified Party to conduct the defense of such Third-Party Claim.</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77"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Stockholders’ Representative, on behalf of the Indemnifying Parties, assumes the defense of any such Third-Party Claim pursuant to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then the Indemnified Party shall cooperate with the Stockholders’ Representative in any manner reasonably requested in connection with the defense, and the Indemnified Party shall have the right to be kept fully informed by the Stockholders’ Representative and its legal counsel with respect to the status of any legal proceedings, to the extent not inconsistent with the preservation of attorney-client or work product privilege. If the Stockholders’ Representative so assumes the defense of any such Third-Party Claim the Indemnified Party shall have the right to employ separate counsel and to participate in (but not control) the defense, compromise or settlement thereof, but the fees and expenses of such counsel employed by the Indemnified Party shall be at the expense of such Indemnified Party unless</w:t>
      </w:r>
    </w:p>
    <w:p>
      <w:pPr>
        <w:spacing w:after="0" w:line="6"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698"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Representative has agreed, on behalf of the Indemnifying Parties, to pay such fees and expenses or (ii) the named parties to any such Third-Party Claim (including any impleaded parties) include an Indemnified Party and an Indemnifying Party and such Indemnified Party shall have been advised by its counsel that there may be a conflict of interest between such Indemnified Party and the Indemnifying Parties in the conduct of the defense thereof, in which event the reasonable documented out-of-pocket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3" w:name="page344"/>
    <w:bookmarkEnd w:id="3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 xml:space="preserve">fees and expenses of such separate counsel of the Indemnified Party shall be borne by the Indemnifying Parties,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59" w:firstLine="858"/>
        <w:spacing w:after="0" w:line="252" w:lineRule="auto"/>
        <w:tabs>
          <w:tab w:leader="none" w:pos="161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Stockholders’ Representative elects to assume the defense of any Third-Party Claim pursuant to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the Indemnified Party shall not pay, or permit to be paid, any part of any claim or demand arising from such asserted liability unless the Stockholders’ Representative withdraws from or fails to adequately prosecute the defense of such asserted liability or Third-Party Claim, or unless a judgment is entered against the Indemnified Party for such liability by an Authority of competent jurisdiction. If the Stockholders’ Representative does not elect to defend, or if, after commencing or undertaking any such defense, the Stockholders’ Representative withdraws from or fails to adequately prosecute such defense, the Indemnified Party shall have the right to undertake the defense or settlement thereof, at the Indemnifying Parties’ expense,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Notwithstanding anything to the contrary, the Stockholders’ Representative shall not be entitled to control, but may participate in, and the Indemnified Parties (at the expense of the Indemnifying Parties) shall be entitled to have sole control over, the defense or settlement of (x) that part of any Third-Party Claim (i) that seeks a temporary restraining order, a preliminary or permanent injunction or specific performance against such Indemnified Parties, or (ii) to the extent such Third-Party Claim involves criminal allegations against such Indemnified Parties or (y) the entire Third-Party Claim if such Third-Party Claim would impose liability on the part of such Indemnified Party in an amount which is greater than the amount as to which such Indemnified Party is entitled to indemnification under this Agreement. In the event the Indemnified Parties retain control of the Third-Party Claim, the Indemnified Parties will not settle the subject claim without the prior written consent of the Stockholders’ Representative, which consent will not be unreasonably withheld or delayed.</w:t>
      </w:r>
    </w:p>
    <w:p>
      <w:pPr>
        <w:spacing w:after="0" w:line="123"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03"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Indemnified Party undertakes the defense of any such Third-Party Claim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and proposes to settle the same prior to a final judgment thereon or to forgo appeal with respect thereto, then the Indemnified Party shall give the Stockholders’ Representative prompt written notice thereof and the Stockholders’ Representative (on behalf of the Indemnifying Parties) shall have the right to participate in the settlement, assume or reassume the defense thereof or prosecute such appeal, in each case at the Indemnifying Parties’ expense. The Stockholders’ Representative shall not, without the prior written consent of such Indemnified Party settle or compromise or consent to entry of any judgment with respect to any such Third-Party Claim (i) in which any relief other than the payment of money damages is or may be sought against such Indemnified Party, (ii) in which such Third-Party Claim could be reasonably expected to impose or create a monetary liability on the part of the Indemnified Party (such as an increase in the Indemnified Party’s income Tax liability), other than the monetary claim of the third party in such Third-Party Claim being paid pursuant to such settlement or judgment, or (iii) which does not include as an unconditional term thereof the giving by the claimant, person conducting such investigation or initiating such hearing, plaintiff or petitioner to such Indemnified Party of a release from all liability with respect to such Third-Party Claim and all other actions (known or unknown) arising or which might arise out of the same facts.</w:t>
      </w:r>
    </w:p>
    <w:p>
      <w:pPr>
        <w:spacing w:after="0" w:line="11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5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disinterested members of the Board of Directors of Parent shall have the authority to institute and prosecute any claims for indemnification hereunder in good faith on behalf of Parent or any other Indemnified Party to enforce the terms of this Agreement.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Escrow of Escrow Shares by Escrow Participants</w:t>
      </w:r>
      <w:r>
        <w:rPr>
          <w:rFonts w:ascii="Times New Roman" w:cs="Times New Roman" w:eastAsia="Times New Roman" w:hAnsi="Times New Roman"/>
          <w:sz w:val="18"/>
          <w:szCs w:val="18"/>
          <w:color w:val="auto"/>
        </w:rPr>
        <w:t>. The Company and the Company Securityholders hereby authorize Parent to deliver the Escrow Shares to the Escrow Agent to be held in escrow (such Escrow Shares, together with any dividends or other distributions of any kind made in respect thereof and any earnings thereon, the “</w:t>
      </w:r>
      <w:r>
        <w:rPr>
          <w:rFonts w:ascii="Times New Roman" w:cs="Times New Roman" w:eastAsia="Times New Roman" w:hAnsi="Times New Roman"/>
          <w:sz w:val="18"/>
          <w:szCs w:val="18"/>
          <w:u w:val="single" w:color="auto"/>
          <w:color w:val="auto"/>
        </w:rPr>
        <w:t>Escrow Fund</w:t>
      </w:r>
      <w:r>
        <w:rPr>
          <w:rFonts w:ascii="Times New Roman" w:cs="Times New Roman" w:eastAsia="Times New Roman" w:hAnsi="Times New Roman"/>
          <w:sz w:val="18"/>
          <w:szCs w:val="18"/>
          <w:color w:val="auto"/>
        </w:rPr>
        <w:t xml:space="preserve">”) pursuant to the Escrow Agreement. For purposes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the Escrow Shares are valued at the greater of: (a) $10.00 per share and (b) the VWAP (the “</w:t>
      </w:r>
      <w:r>
        <w:rPr>
          <w:rFonts w:ascii="Times New Roman" w:cs="Times New Roman" w:eastAsia="Times New Roman" w:hAnsi="Times New Roman"/>
          <w:sz w:val="18"/>
          <w:szCs w:val="18"/>
          <w:u w:val="single" w:color="auto"/>
          <w:color w:val="auto"/>
        </w:rPr>
        <w:t>Escrow Share Value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79" w:firstLine="858"/>
        <w:spacing w:after="0" w:line="255" w:lineRule="auto"/>
        <w:tabs>
          <w:tab w:leader="none" w:pos="1582"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other distributions of any kind made in respect of the Escrow Shares will be delivered promptly to the Escrow Agent to be held in escrow pursuant to the terms of the Escrow Agreement. Each Escrow Participant shall be entitled to vote such Escrow Participant’s Pro Rata Portion of the Escrow Shares on any matters to come before the stockholders of Parent. It is intended that for U.S. federal (and applicable state, local and foreign) income tax purposes that while the Escrow Shares are held by the Escrow Agent, the Escrow Participants shall be treated as owners of the Escrow Shares, and to the extent required by applicable Law, the Escrow Agent shall report in a manner consistent with such treatment.</w:t>
      </w:r>
    </w:p>
    <w:p>
      <w:pPr>
        <w:spacing w:after="0" w:line="107"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0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times provided for in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 the Escrow Shares shall be distributed to each Escrow Participant in accordance with such Escrow Participant’s Pro Rata Portion. Parent will take such action as may be necessary to cause such securities to be issued in the names of the appropriate Persons. Certificates representing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4" w:name="page345"/>
    <w:bookmarkEnd w:id="3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Escrow Shares so issued that are subject to resale restrictions under applicable securities laws will bear a legend to that effect. No fractional shares shall be released and delivered from the Escrow Fund and all fractional shares shall be rounded to the nearest whole share.</w:t>
      </w:r>
    </w:p>
    <w:p>
      <w:pPr>
        <w:spacing w:after="0" w:line="108" w:lineRule="exact"/>
        <w:rPr>
          <w:sz w:val="20"/>
          <w:szCs w:val="20"/>
          <w:color w:val="auto"/>
        </w:rPr>
      </w:pPr>
    </w:p>
    <w:p>
      <w:pPr>
        <w:jc w:val="both"/>
        <w:ind w:left="460" w:right="459" w:firstLine="858"/>
        <w:spacing w:after="0" w:line="261" w:lineRule="auto"/>
        <w:tabs>
          <w:tab w:leader="none" w:pos="1627"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Escrow Shares or any beneficial interest therein may be pledged, sold, assigned or transferred, including by operation of law, by the Escrow Participants or be taken or reached by any legal or equitable process in satisfaction of any debt or other liability of the Escrow Participants, prior to the delivery to such Escrow Participants of the Escrow Fund by the Escrow Agent as provided herein.</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no event later than five (5) Business Days, following expiration of the Survival Period (the “</w:t>
      </w:r>
      <w:r>
        <w:rPr>
          <w:rFonts w:ascii="Times New Roman" w:cs="Times New Roman" w:eastAsia="Times New Roman" w:hAnsi="Times New Roman"/>
          <w:sz w:val="18"/>
          <w:szCs w:val="18"/>
          <w:u w:val="single" w:color="auto"/>
          <w:color w:val="auto"/>
        </w:rPr>
        <w:t>Release Date</w:t>
      </w:r>
      <w:r>
        <w:rPr>
          <w:rFonts w:ascii="Times New Roman" w:cs="Times New Roman" w:eastAsia="Times New Roman" w:hAnsi="Times New Roman"/>
          <w:sz w:val="18"/>
          <w:szCs w:val="18"/>
          <w:color w:val="auto"/>
        </w:rPr>
        <w:t xml:space="preserve">”), the Escrow Shares,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the number of Escrow Shares (at an assumed value equal to the Escrow Share Value per Escrow Share) reasonably necessary to serve as security for Losses set forth in any Indemnification Notice delivered by Parent prior to the expiration of the Survival Period with respect to any claims for indemnification that remain pending and unresolved as of the Release Date, will be released from escrow to the Escrow Participants (in accordance with each Escrow Participant’s Pro Rata Portion). The Stockholders’ Representative and Parent shall jointly issue to the Escrow Agent a certificate executed by each of them instructing the Escrow Agent to release such number of Escrow Shares (in accordance with each Escrow Participant’s Pro Rata Portion) determined in accordance with this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 xml:space="preserve">. Promptly, but in no event later than five (5) Business Days, following the resolution, in accordance with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of any claim(s) for indemnification that remain unresolved as of the Release Date, the Stockholders’ Representative and Parent shall jointly issue to the Escrow Agent a certificate executed by each of them instructing the Escrow Agent to release to each Escrow Participant (in accordance with such Escrow Participant’s Pro Rata Portion) the number of Escrow Shares retained in escrow as a result of such claim(s) following the resolution of such claim(s) and not released to Parent. Any Escrow Shares received by Parent as an indemnification payment shall be promptly cancelled by Parent after its receipt thereof.</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Payment of Indemnification</w:t>
      </w:r>
      <w:r>
        <w:rPr>
          <w:rFonts w:ascii="Times New Roman" w:cs="Times New Roman" w:eastAsia="Times New Roman" w:hAnsi="Times New Roman"/>
          <w:sz w:val="18"/>
          <w:szCs w:val="18"/>
          <w:color w:val="auto"/>
        </w:rPr>
        <w:t xml:space="preserve">. In the event that Parent is entitled to indemnification for any Losses pursuant to this Agreement or otherwise in connection with the transactions contemplated by this Agreement, Parent’s sole and exclusive remedy for such Losses shall be the recovery of a number of Parent Class A Shares from the then-remaining Escrow Shares having a value equal to the Losses that have been finally determined to be owing to Parent in accordance with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(at an assumed value equal to the Escrow Share Value per Escrow Share), in each case,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Any payments to Parent from the Escrow Shares (a) is intended to comply with, and shall be effected in accordance with, Rev. Proc. 84-42, 1984-1 C.B. 521 and (b) shall be treated as a reduction in the number of Parent Class A Shares issued to the Escrow Participants for U.S. federal (and applicable state, local, and foreign) income Tax purposes except to the extent otherwise required pursuant to a “determination” (as defined in Section 1313(a) of the Code or any similar provision of state, local or foreign Law) or with respect to any amounts treated as imputed interest under Section 483 of the Code.</w:t>
      </w:r>
    </w:p>
    <w:p>
      <w:pPr>
        <w:spacing w:after="0" w:line="12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In calculating amounts of Losses payable to an Indemnified Party hereunder, the amount of any indemnified Losses shall be determined net of amounts actually recovered by the applicable Indemnified Party under any insurance policy or other third party reimbursement actually received.</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Survival of Indemnification Rights</w:t>
      </w:r>
      <w:r>
        <w:rPr>
          <w:rFonts w:ascii="Times New Roman" w:cs="Times New Roman" w:eastAsia="Times New Roman" w:hAnsi="Times New Roman"/>
          <w:sz w:val="18"/>
          <w:szCs w:val="18"/>
          <w:color w:val="auto"/>
        </w:rPr>
        <w:t>. The representations and warranties of the Company shall survive until twelve (12) months (the “</w:t>
      </w:r>
      <w:r>
        <w:rPr>
          <w:rFonts w:ascii="Times New Roman" w:cs="Times New Roman" w:eastAsia="Times New Roman" w:hAnsi="Times New Roman"/>
          <w:sz w:val="18"/>
          <w:szCs w:val="18"/>
          <w:u w:val="single" w:color="auto"/>
          <w:color w:val="auto"/>
        </w:rPr>
        <w:t>Survival Period</w:t>
      </w:r>
      <w:r>
        <w:rPr>
          <w:rFonts w:ascii="Times New Roman" w:cs="Times New Roman" w:eastAsia="Times New Roman" w:hAnsi="Times New Roman"/>
          <w:sz w:val="18"/>
          <w:szCs w:val="18"/>
          <w:color w:val="auto"/>
        </w:rPr>
        <w:t xml:space="preserve">”) following the Closing. The covenants of the Company contained in this Agreement to be performed prior to the Closing shall expire and be of no further force or effect as of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claim for breach or nonfulfillment may be asserted at any time prior to the expiration of the Survival Period as set forth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The indemnification to which any Indemnified Party is entitled from the Indemnifying Parties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for Losses shall be effective so long as it is asserted prior to the expiration of the Survival Period (for the avoidance of doubt, any claim set forth in an Indemnification Notice shall be deemed asserted upon delivery of such Indemnification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Indemnification Notice shall have been given in accordance with the provisions of this Agreement prior to the expiration of the Survival Period and such claim has not been finally resolved by the expiration of the Survival Period, the representations, warranties, covenants, agreements or obligations that are the subject of such Indemnifications Notice shall survive solely for purposes of resolving such claim until such matters are finally resolved. The parties acknowledge that the time periods set forth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for the assertion of claims under this Agreement are the result of arms’-length negotiation among the parties and that they intend for the time periods to be enforced as agreed by the parties without regard to the applicable statute of limitations with respect to such matters and that the twenty (20) year statute of limitations contemplated by Title 10 of Section 8106(c) of the Delaware Code shall not apply to this Agreement.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5" w:name="page346"/>
    <w:bookmarkEnd w:id="3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Sole and Exclusive Remedy</w:t>
      </w:r>
      <w:r>
        <w:rPr>
          <w:rFonts w:ascii="Times New Roman" w:cs="Times New Roman" w:eastAsia="Times New Roman" w:hAnsi="Times New Roman"/>
          <w:sz w:val="18"/>
          <w:szCs w:val="18"/>
          <w:color w:val="auto"/>
        </w:rPr>
        <w:t xml:space="preserve">. The remedies provided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the rights to enforce the Additional Agreements in accordance with their terms shall be deemed the sole and exclusive remedies of the Indemnified Parties, from and after the Closing Date, with respect to any and all claims arising out of or related to this Agreement or in connection with the transactions contemplated hereby, except nothing in this Agreement (a) will limit the parties’ rights to seek injunctive relief or other equitable remedies, (b) shall prevent Parent from bringing an action for fraud (with scienter) against the Person who committed such Fraud (with scienter) or (c) limit the right of any Person to pursue remedies under any Additional Agreement against the parties thereto.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5" w:lineRule="auto"/>
        <w:tabs>
          <w:tab w:leader="none" w:pos="1574"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promptly submit any dispute, claim, or controversy arising out of or relating to this Agreement (including with respect to the meaning, effect, validity, termination, interpretation, performance, or enforcement of this Agreement) or any alleged breach thereof (including any action in tort, contract, equity, or otherwise), to binding arbitration before one arbitrator (the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Binding arbitration shall be the sole means of resolving any dispute, claim, or controversy arising out of or relating to this Agreement (including with respect to the meaning, effect, validity, termination, interpretation, performance or enforcement of this Agreement) or any alleged breach thereof (including any claim in tort, contract, equity, or otherwise).</w:t>
      </w:r>
    </w:p>
    <w:p>
      <w:pPr>
        <w:spacing w:after="0" w:line="107"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83"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cannot agree upon the Arbitrator, the Arbitrator shall be selected by the New York, New York chapter head of the American Arbitration Association upon the written request of any party. The Arbitrator shall be selected within thirty (30) days of the written request of any party.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9"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the State of Delaware shall apply to any arbitration hereunder. In any arbitration hereunder, this Agreement shall be governed by the laws of the State of Delaware applicable to a contract negotiated, signed and to be performed wholly in the State of Delaware, which laws the Arbitrator shall apply in rendering his decision. The Arbitrator shall issue a written decision, setting forth findings of fact and conclusions of law, within sixty (60) days after he shall have been selected. The Arbitrator shall have no authority to award punitive or other exemplary damages.</w:t>
      </w:r>
    </w:p>
    <w:p>
      <w:pPr>
        <w:spacing w:after="0" w:line="119"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98"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held in New York, New York in accordance with and under the then-current provisions of the rules of the American Arbitration Association, except as otherwise provided herein.</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4"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application to the Arbitrator, any party shall have rights to discovery to the same extent as would be provided under the Federal Rules of Civil Procedure, and the Federal Rules of Evidence shall apply to any arbitration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Arbitrator shall limit any discovery or evidence such that his decision shall be rendered within the period referred to in </w:t>
      </w:r>
      <w:r>
        <w:rPr>
          <w:rFonts w:ascii="Times New Roman" w:cs="Times New Roman" w:eastAsia="Times New Roman" w:hAnsi="Times New Roman"/>
          <w:sz w:val="18"/>
          <w:szCs w:val="18"/>
          <w:u w:val="single" w:color="auto"/>
          <w:color w:val="auto"/>
        </w:rPr>
        <w:t>Section 12.1(c)</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51"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may, at his discretion and at the expense of the party who will bear the cost of the arbitration, employ experts to assist him in his determinations.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costs of the arbitration proceeding and any proceeding in court to confirm any arbitration award or to obtain relief as provided in </w:t>
      </w:r>
      <w:r>
        <w:rPr>
          <w:rFonts w:ascii="Times New Roman" w:cs="Times New Roman" w:eastAsia="Times New Roman" w:hAnsi="Times New Roman"/>
          <w:sz w:val="18"/>
          <w:szCs w:val="18"/>
          <w:u w:val="single" w:color="auto"/>
          <w:color w:val="auto"/>
        </w:rPr>
        <w:t>Section 12.1(h)</w:t>
      </w:r>
      <w:r>
        <w:rPr>
          <w:rFonts w:ascii="Times New Roman" w:cs="Times New Roman" w:eastAsia="Times New Roman" w:hAnsi="Times New Roman"/>
          <w:sz w:val="18"/>
          <w:szCs w:val="18"/>
          <w:color w:val="auto"/>
        </w:rPr>
        <w:t>, as applicable (including actual attorneys’ fees and costs), shall be borne by the unsuccessful party (if the Stockholders’ Representative, then solely on behalf of the Company Securityholders) and shall be awarded as part of the Arbitrator’s decision, unless the Arbitrator shall otherwise allocate such costs in such decision. The determination of the Arbitrator shall be final and binding upon the parties and not subject to appeal.</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7"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judgment upon any award rendered by the Arbitrator may be entered in and enforced by any court of competent jurisdiction. The parties expressly consent to the non-exclusive jurisdiction of the courts (Federal and state) in Delaware, to enforce any award of the Arbitrator or to render any provisional, temporary, or injunctive relief in connection with or in aid of the arbitration. The parties expressly consent to the personal and subject matter jurisdiction of the Arbitrator to arbitrate any and all matters to be submitted to arbitration hereunder. None of the parties hereto shall challenge any arbitration hereunder on the grounds that any party necessary to such arbitration (including the parties hereto) shall have been absent from such arbitration for any reason, including that such party shall have been the subject of any bankruptcy, reorganization, or insolvency proceeding.</w:t>
      </w:r>
    </w:p>
    <w:p>
      <w:pPr>
        <w:spacing w:after="0" w:line="120"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58"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 the case of the Stockholders’ Representative, solely on behalf of the Company Securityholders) shall indemnify the Arbitrator and any experts employed by the Arbitrator and hold them harmless from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6" w:name="page347"/>
    <w:bookmarkEnd w:id="3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and against any claim or demand arising out of any arbitration under this Agreement or any agreement contemplated hereby, unless resulting from the gross negligence or willful misconduct of the person indemnified.</w:t>
      </w:r>
    </w:p>
    <w:p>
      <w:pPr>
        <w:spacing w:after="0" w:line="108" w:lineRule="exact"/>
        <w:rPr>
          <w:sz w:val="20"/>
          <w:szCs w:val="20"/>
          <w:color w:val="auto"/>
        </w:rPr>
      </w:pPr>
    </w:p>
    <w:p>
      <w:pPr>
        <w:jc w:val="both"/>
        <w:ind w:left="460" w:right="459" w:firstLine="858"/>
        <w:spacing w:after="0" w:line="255" w:lineRule="auto"/>
        <w:tabs>
          <w:tab w:leader="none" w:pos="1543"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parties agree that irreparable damage would occur if any of the provisions of this Agreement were not performed in accordance with their specific terms or were otherwise breached. It is accordingly agreed that the parties shall be entitled to seek an injunction or injunctions, specific performance and other equitable relief to prevent breaches of this Agreement and to enforce specifically the terms and provisions of this Agreement. The parties expressly consent to the non-exclusive jurisdiction of the courts (Federal and state) in Delaware to render such relief and to enforce specifically the terms and provisions of this Agreement.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Waiver of Jury Trial; Exemplary Damages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58"/>
        <w:spacing w:after="0" w:line="256" w:lineRule="auto"/>
        <w:tabs>
          <w:tab w:leader="none" w:pos="160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THIS AGREEMENT HEREBY KNOWINGLY, VOLUNTARILY AND IRREVOCABLY WAIVE ANY RIGHT EACH SUCH PARTY MAY HAVE TO TRIAL BY JURY IN ANY ACTION OF ANY KIND OR NATURE, IN ANY COURT IN WHICH AN ACTION MAY BE COMMENCED, ARISING OUT OF OR IN CONNECTION WITH THIS AGREEMENT. NO PARTY SHALL BE AWARDED PUNITIVE OR OTHER EXEMPLARY DAMAGES RESPECTING ANY DISPUTE ARISING UNDER THIS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3"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acknowledges that it has been represented in connection with the signing of the foregoing waiver by independent legal counsel selected by it and that such party has discussed the legal consequences and import of such waiver with legal counsel. Each of the parties to this Agreement further acknowledges that it has read and understands the meaning of such waiver and grants such waiver knowingly, voluntarily, without duress and only after consideration of the consequences of this waiver with legal counsel.</w:t>
      </w:r>
    </w:p>
    <w:p>
      <w:pPr>
        <w:spacing w:after="0" w:line="1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Termination Without Default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4" w:lineRule="auto"/>
        <w:tabs>
          <w:tab w:leader="none" w:pos="1577"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the Closing of the transactions contemplated hereunder has not occurred by April 15, 2021 (the “Outside Closing Date”) (provided that, if the SEC has not declared the Proxy Statement/Form S-4 effective on or prior to January 15, 2021, the Outside Closing Date shall be automatically extended to May 15, 2021); and (ii) the party (i.e., Parent or the Merger Sub, on one hand, or the Company, on the other hand) seeking to terminate this Agreement is not in material breach of this Agreement, then Parent or the Company, as applicable, shall have the right, at its sole option, to terminate this Agreement without liability to the other party. Such right may be exercised by Parent or the Company, as the case may be, giving written notice to the other at any time after the Outside Closing Date.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1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(i) an Authority shall have issued an Order, having the effect of permanently restraining, enjoining or otherwise prohibiting the Merger, which Order is final and non-appealable or (ii) any applicable Law is in effect making the consummation of the Merger illegal, Parent or the Company shall have the right, at its sole option, to terminate this Agreement without liability to the other party.</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Termination Upon Default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1"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may terminate this Agreement by giving notice to the Company at any time prior to the Closing, without prejudice to any rights or obligations Parent or Merger Sub may have, if: (i) (x) the Company shall have breached any representation, warranty, agreement or covenant contained herein which has rendered or would render the satisfaction of any of the conditions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impossible and (y) such breach cannot be cured or is not be cured by the earlier of the Outside Closing Date and thirty (30) days following receipt by the Company of a written notice from Parent describing in reasonable detail the nature of such breach; or (ii) evidence that the Company Stockholder Written Consent was obtained is not delivered to Parent by the Company Stockholder Written Consent Deadline (provided that Parent shall not be permitted to terminate this Agreement under this </w:t>
      </w:r>
      <w:r>
        <w:rPr>
          <w:rFonts w:ascii="Times New Roman" w:cs="Times New Roman" w:eastAsia="Times New Roman" w:hAnsi="Times New Roman"/>
          <w:sz w:val="18"/>
          <w:szCs w:val="18"/>
          <w:u w:val="single" w:color="auto"/>
          <w:color w:val="auto"/>
        </w:rPr>
        <w:t>Section 13.2(a)(ii)</w:t>
      </w:r>
      <w:r>
        <w:rPr>
          <w:rFonts w:ascii="Times New Roman" w:cs="Times New Roman" w:eastAsia="Times New Roman" w:hAnsi="Times New Roman"/>
          <w:sz w:val="18"/>
          <w:szCs w:val="18"/>
          <w:color w:val="auto"/>
        </w:rPr>
        <w:t xml:space="preserve"> at any time (A) prior to the Company Stockholder Written Consent Deadline or (B) after such evidence has been delivered to Parent).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7" w:name="page348"/>
    <w:bookmarkEnd w:id="3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6" w:lineRule="auto"/>
        <w:tabs>
          <w:tab w:leader="none" w:pos="1587"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terminate this Agreement by giving notice to Parent at any time prior to the Closing, without prejudice to any rights or obligations the Company may have, if: (i) Parent shall have breached any of its covenants, agreements, representations, and warranties contained herein, which has rendered or would render the satisfaction of any of the conditions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impossible; and (ii) such breach cannot be cured or is not be cured by the earlier of the Outside Closing Date and thirty (30) days following receipt by Parent of a written notice from the Company describing in reasonable detail the nature of such breach.</w:t>
      </w:r>
    </w:p>
    <w:p>
      <w:pPr>
        <w:spacing w:after="0" w:line="120"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If this Agreement is terminated pursuant to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this Agreement shall become void and be of no further force or effect, without any liability on the part of any party (or any shareholder, director, officer, employee, Affiliate, agent, consultant or representative of such party) to the other party hereto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shall relieve any party from liability incurred as a result of the willful breach by such party of this Agreement or such party’s fraud, in which case such party shall be fully liable for any and all liabilities and damages incurred or suffered by the other party as a result of such breach or fraud. The provisions of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XII,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shall survive any termination hereof pursuant to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39"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hereunder shall be sent in writing, addressed as specified below, and shall be deemed given: (a) if by hand, electronic mail or recognized courier service, by 5:00 PM on a Business Day, addressee’s day and time, on the date of delivery, and otherwise on the first Business Day after such delivery;</w:t>
      </w:r>
    </w:p>
    <w:p>
      <w:pPr>
        <w:spacing w:after="0" w:line="1" w:lineRule="exact"/>
        <w:rPr>
          <w:sz w:val="20"/>
          <w:szCs w:val="20"/>
          <w:color w:val="auto"/>
        </w:rPr>
      </w:pPr>
    </w:p>
    <w:p>
      <w:pPr>
        <w:jc w:val="both"/>
        <w:ind w:left="460" w:right="459" w:hanging="6"/>
        <w:spacing w:after="0" w:line="252" w:lineRule="auto"/>
        <w:tabs>
          <w:tab w:leader="none" w:pos="747"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fax, on the date that transmission is confirmed electronically, if by 5:00 PM on a Business Day, addressee’s day and time, and otherwise on the first Business Day after the date of such confirmation; (c) if by email, on the date of transmission; or (d) five (5)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the Company (or, following the Closing, the Surviving Corporation or Parent),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Mitchell S. Bloom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Laurie A. Burlingame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mbloom@goodwinlaw.com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lburlingame@goodwinlaw.com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the Stockholders’ Representative, or to the Company Securityholders after Closing,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Shareholder Representative Services LLC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950 17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Street, Suite 1400</w:t>
      </w:r>
    </w:p>
    <w:p>
      <w:pPr>
        <w:ind w:left="1320"/>
        <w:spacing w:after="0"/>
        <w:rPr>
          <w:sz w:val="20"/>
          <w:szCs w:val="20"/>
          <w:color w:val="auto"/>
        </w:rPr>
      </w:pPr>
      <w:r>
        <w:rPr>
          <w:rFonts w:ascii="Times New Roman" w:cs="Times New Roman" w:eastAsia="Times New Roman" w:hAnsi="Times New Roman"/>
          <w:sz w:val="18"/>
          <w:szCs w:val="18"/>
          <w:color w:val="auto"/>
        </w:rPr>
        <w:t>Denver, CO 80202</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Managing Director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Facsimile: (303) 623-0294</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Telephone: (303) 648-4085</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8" w:name="page349"/>
    <w:bookmarkEnd w:id="3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Parent or Merger Sub:</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Dennis Ryan</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docs-Investments@foresitecapital.com</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Amendments; No Waivers; Remedies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1" w:lineRule="auto"/>
        <w:tabs>
          <w:tab w:leader="none" w:pos="158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2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2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7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no statement herein of any right or remedy shall impair any other right or remedy stated herein or that otherwise may be available.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Arm’s Length Bargaining; No Presumption Against Drafter</w:t>
      </w:r>
      <w:r>
        <w:rPr>
          <w:rFonts w:ascii="Times New Roman" w:cs="Times New Roman" w:eastAsia="Times New Roman" w:hAnsi="Times New Roman"/>
          <w:sz w:val="18"/>
          <w:szCs w:val="18"/>
          <w:color w:val="auto"/>
        </w:rPr>
        <w:t>. This Agreement has been negotiated at arm’s-length by parties of equal bargaining strength, each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Except as required by law or applicable stock exchange rules and except with respect to the Additional Parent SEC Documents, the parties agree that neither they nor their agents shall issue any press release or make any other public disclosure concerning the transactions contemplated hereunder without the prior approval of the other party hereto. If a party is required to make such a disclosure as required by law or applicable stock exchange rules, the party making such determination will, if practicable in the circumstances, use reasonable commercial efforts to allow the other party reasonable time to comment on such disclosure in advance of its issuance. Notwithstanding the foregoing, following Closing and the public announcement (if any) of the Merger, the Stockholders’ Representative shall be permitted to publicly announce that it has been engaged to serve as the Stockholders’ Representative in connection herewith as long as such announcement does not disclose any of the other terms hereof.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9" w:name="page350"/>
    <w:bookmarkEnd w:id="3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The anticipated costs and expenses of the Company in connection with any merger, consolidation or business combination, including this Agreement and the transactions contemplated hereby as of the Closing Date as set forth on </w:t>
      </w:r>
      <w:r>
        <w:rPr>
          <w:rFonts w:ascii="Times New Roman" w:cs="Times New Roman" w:eastAsia="Times New Roman" w:hAnsi="Times New Roman"/>
          <w:sz w:val="18"/>
          <w:szCs w:val="18"/>
          <w:u w:val="single" w:color="auto"/>
          <w:color w:val="auto"/>
        </w:rPr>
        <w:t>Schedule 14.5</w:t>
      </w:r>
      <w:r>
        <w:rPr>
          <w:rFonts w:ascii="Times New Roman" w:cs="Times New Roman" w:eastAsia="Times New Roman" w:hAnsi="Times New Roman"/>
          <w:sz w:val="18"/>
          <w:szCs w:val="18"/>
          <w:color w:val="auto"/>
        </w:rPr>
        <w:t xml:space="preserve"> shall be paid by Parent after the Closing. If the Closing does not take place, each party (in the case of the Stockholders’ Representative, solely on behalf of the Company Securityholders) shall be responsible for its own expenses.</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No Assignment or Delegation</w:t>
      </w:r>
      <w:r>
        <w:rPr>
          <w:rFonts w:ascii="Times New Roman" w:cs="Times New Roman" w:eastAsia="Times New Roman" w:hAnsi="Times New Roman"/>
          <w:sz w:val="18"/>
          <w:szCs w:val="18"/>
          <w:color w:val="auto"/>
        </w:rPr>
        <w:t>. No party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Delaware, without giving effect to the conflict of laws principles thereof.</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(including scanned .pdf image) signature pages that together (but need not individually) bear the signatures of all other parties.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Additional Agreements, sets forth the entire agreement of the parties with respect to the subject matter hereof and thereof and supersedes all prior and contemporaneous understandings and agreements related thereto (whether written or oral), all of which are merged herein. No provision of this Agreement or any Additional Agreement may be explained or qualified by any agreement, negotiations, understanding, discussion, conduct or course of conduct or by any trade usage. Except as otherwise expressly stated herein or in any Additional Agreement, there is no condition precedent to the effectiveness of any provision hereof or thereof.</w:t>
      </w:r>
    </w:p>
    <w:p>
      <w:pPr>
        <w:spacing w:after="0" w:line="12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0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execute and deliver such documents and take such action, as may reasonably be considered within the scope of such party’s obligations hereunder, necessary to effectuate the transactions contemplated by this Agreement.</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neither this Agreement nor any provision hereof confers any benefit or right upon or may be enforced by any Person not a signatory hereto.</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Reference is made to the final prospectus of Parent, dated August 13, 2020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has read the Prospectus and understands that Parent has established the Trust Account for the benefit of the public shareholders of Parent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each of the Company and the Stockholders’ Representative, for itself and on behalf of the Company Securityholders, hereby agrees that it does not now and shall not at any time hereafter have any right, title, interest or claim of any kind in or to any monies in the Trust Account as a result of, or arising out of, any negotiations, contracts or agreements with Parent and hereby agrees that it will not seek recourse against the Trust Account for any reason.</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By virtue of the adoption of this Agreement and the transactions contemplated hereby, the approval of the principal terms of the Merger and the consummation of the Merger or participating in the Merger and receiving the benefits thereof, including the right to receive the consideration payable in connection with the Merger, each Company Securityholder shall be deemed to have appointed the designation of, and hereby designates, Shareholder Representative Services LLC as the Stockholders’ Representative for all purposes in connection with this Agreement and any agreement ancillary hereto, including (a) to give and receive notices and communications to Parent for any purpose under this Agreement and the Additional Agreements; (b) to agree to, negotiate, enter into settlements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0" w:name="page351"/>
    <w:bookmarkEnd w:id="3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and compromises of and demand arbitration and comply with orders of courts and awards of arbitrators with respect to any indemnification claims (including Third-Party Claims) under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or, following the Closing, other disputes arising under or related to this Agreement; (c) to enter into and deliver the Escrow Agreement on behalf of each of the Company Securityholders; (d) to authorize or object to delivery to Parent of the Escrow Fund, or any portion thereof, in satisfaction of indemnification claims by Parent in accordance with the provisions of the Escrow Agreement; (e) to act on behalf of Company Securityholders in accordance with the provisions of the Agreement, the securities described herein and any other document or instrument executed in connection with the Agreement and the Merger; and (f) to take all actions necessary or appropriate in the judgment of the Stockholders’ Representative for the accomplishment of the foregoing. The Stockholders’ Representative may resign at any time. Such agency may be changed by the Company Securityholders from time to time upon no less than twenty (20) days’ prior written notice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Stockholders’ Representative may not be removed unless holders of a majority of the Company Securities (on an as converted or exercised basis) outstanding immediately prior to the Effective Time agree to such removal. Any vacancy in the position of Stockholders’ Representative may be filled by approval of the holders of a majority of the Company Securities (on an as converted or exercised basis) outstanding immediately prior to the Effective Time. No bond shall be required of the Stockholders’ Representative. The Stockholders’ Representative will incur no liability of any kind with respect to any action or omission by the Stockholders’ Representative in connection with the Stockholders’ Representative’s services pursuant to this Agreement and any agreement ancillary hereto, except in the event of liability directly resulting from the Stockholders’ Representative’s gross negligence or willful misconduct. The Stockholders’ Representative shall not be liable for any action or omission pursuant to the advice of counsel. The Company Securityholders will indemnify, defend and hold harmless the Stockholders’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xml:space="preserve">”) arising out of or in connection with the Stockholders’ Representative’s execution and performance of this Agreement and any agreement ancillary hereto, in each case as such Representative Loss is suffered or incurred; provided, that in the event that any such Representative Loss is finally adjudicated to have been directly caused by the gross negligence or willful misconduct of the Stockholders’ Representative, the Stockholders’ Representative will reimburse the Company Securityholders the amount of such indemnified Representative Loss to the extent attributable to such gross negligence or willful misconduct. If not paid directly to the Stockholders’ Representative by the Company Securityholders, any such Representative Losses may be recovered by the Stockholders’ Representative from (i) the funds in the Expense Fund, and (ii) the amounts in the Escrow Fund at such time as remaining amounts would otherwise be distributable to the Company Securityholders;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while this provision allows the Stockholders’ Representative to be paid from the aforementioned sources of funds, this does not relieve the Company Securityholders from their obligation to promptly pay such Representative Losses as they are suffered or incurred, nor does it prevent the Stockholders’ Representative from seeking any remedies available to it at law or otherwise. In no event will the Stockholders’ Representative be required to advance its own funds on behalf of the Company Securityholders or otherwise. Notwithstanding anything in this Agreement to the contrary, any restrictions or limitations on liability or indemnification obligations of, or provisions limiting the recourse against non-parties otherwise applicable to, the Company Securityholders set forth elsewhere in this Agreement are not intended to be applicable to the indemnities provided to the Stockholders’ Representative under this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 The foregoing indemnities will survive the Closing, the resignation or removal of the Stockholders’ Representative or the termination of this Agreement. Upon the Closing, the Company will wire $150,000 (the “</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to the Stockholders’ Representative, which will be used for the purposes of paying directly, or reimbursing the Stockholders’ Representative for, any third party expenses pursuant to this Agreement and the agreements ancillary hereto. The Company Securityholders will not receive any interest or earnings on the Expense Fund and irrevocably transfer and assign to the Stockholders’ Representative any ownership right that they may otherwise have had in any such interest or earnings. The Stockholders’ Representative will not be liable for any loss of principal of the Expense Fund other than as a result of its gross negligence or willful misconduct. The Stockholders’ Representative will hold these funds separate from its corporate funds, will not use these funds for its operating expenses or any other corporate purposes and will not voluntarily make these funds available to its creditors in the event of bankruptcy. As soon as practicable following the completion of the Stockholders’ Representative’s responsibilities, the Stockholders’ Representative will deliver any remaining balance of the Expense Fund to the Company. For Tax purposes, the Expense Fund will be treated as having been received and voluntarily set aside by the Company at the time of Closing.</w:t>
      </w:r>
    </w:p>
    <w:p>
      <w:pPr>
        <w:spacing w:after="0" w:line="12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be enforced only against, and any dispute, claim or controversy based upon, arising out of or related to this Agreement or the transactions contemplated hereby may be brought only against, the entities that are expressly named as parties hereto and then only with respect to the specific obligations set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1" w:name="page352"/>
    <w:bookmarkEnd w:id="3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forth in this Agreement with respect to such party. No past, present or future director, officer, employee, incorporator, member, partner, shareholder, agent, attorney, advisor, lender or representative or Affiliate of any named party to this Agreement (which Persons are intended third party beneficiaries of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shall have any liability (whether in contract or tort, at law or in equity or otherwise, or based upon any theory that seeks to impose liability of an entity party against its owners or Affiliates) for any one or more of the representations, warranties, covenants, agreements or other obligations or liabilities of such named party or for any dispute, claim or controversy based on, arising out of, or related to this Agreement or the transactions contemplated hereby, provided, that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shall not apply to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 which shall be enforceable by the Stockholders’ Representative in its entirety against the Company Securityholders.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7"/>
          <w:szCs w:val="17"/>
          <w:color w:val="auto"/>
        </w:rPr>
        <w:t xml:space="preserve">14.16 </w:t>
      </w:r>
      <w:r>
        <w:rPr>
          <w:rFonts w:ascii="Times New Roman" w:cs="Times New Roman" w:eastAsia="Times New Roman" w:hAnsi="Times New Roman"/>
          <w:sz w:val="17"/>
          <w:szCs w:val="17"/>
          <w:u w:val="single" w:color="auto"/>
          <w:color w:val="auto"/>
        </w:rPr>
        <w:t>No Other Representations; No Reliance</w:t>
      </w:r>
      <w:r>
        <w:rPr>
          <w:rFonts w:ascii="Times New Roman" w:cs="Times New Roman" w:eastAsia="Times New Roman" w:hAnsi="Times New Roman"/>
          <w:sz w:val="17"/>
          <w:szCs w:val="17"/>
          <w:color w:val="auto"/>
        </w:rPr>
        <w:t xml:space="preserve">. NONE OF THE COMPANY, ANY COMPANY SECURITYHOLDER NOR ANY OF THEIR RESPECTIVE REPRESENTATIVES HAS MADE ANY REPRESENTATIONS OR WARRANTIES, EXPRESS OR IMPLIED, OF ANY NATURE WHATSOEVER RELATING TO THE COMPANY OR THE BUSINESS OR OTHERWISE IN CONNECTION WITH THE TRANSACTIONS CONTEMPLATED BY THIS AGREEMENT OR ANY ADDITIONAL AGREEMENT, OTHER THAN THOSE REPRESENTATIONS AND WARRANTIES EXPRESSLY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IN EACH CASE, AS MODIFIED BY THE SCHEDULES TO THIS AGREEMENT. Without limiting the generality of the foregoing, neither the Company, any Company Securityholder nor any of their respective representatives has made, and shall not be deemed to have made, any representations or warranties in the materials relating to the Company made available to Parent and its representatives, including due diligence materials, or in any presentation of the business of the Company by management of the Company or others in connection with the transactions contemplated hereby, and no statement contained in any of such materials or made in any such presentation shall be deemed a representation or warranty hereunder or otherwise or deemed to be relied upon by Parent or Merger Sub in executing, delivering and performing this Agreement, the Additional Agreements or the transactions contemplated hereby or thereby, in each case except for the representations and warranties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as modified by the Schedules to this Agreement. It is understood that any cost estimates, projections or other predictions, any data, any financial information or any memoranda or offering materials or presentations, including any offering memorandum or similar materials made available by the Company, any Company Securityholder or their respective representatives are not and shall not be deemed to be or to include representations or warranties of the Company or any Company Securityholder, and are not and shall not be deemed to be relied upon by Parent or Merger Sub in executing, delivering and performing this Agreement, the Additional Agreement and the transactions contemplated hereby or thereby, in each case except for the representations and warranties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in each case, as modified by the Schedules to this Agreement. Except for the specific representations and warranties expressly made by the Company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in each case as modified by the Schedules: (a) Parent acknowledges and agrees that: (i) neither the Company, the Company Securityholders nor any of their respective representatives is making or has made any representation or warranty, express or implied, at law or in equity, in respect of the Company, the business, assets, liabilities, operations, prospects or condition (financial or otherwise) of the Company, the nature or extent of any liabilities of the Company, the effectiveness or the success of any operations of the Company or the accuracy or completeness of any confidential information memoranda, projections, forecasts or estimates of earnings, or other information (financial or otherwise) regarding the Company furnished to Parent, Merger Sub or their respective representatives or made available to Parent and its representatives in any “data rooms,” “virtual data rooms,” management presentations or any other form in expectation of, or in connection with, the transactions contemplated hereby, or in respect of any other matter or thing whatsoever; and (ii) no representative of any Company Securityholder or the Company has any authority, express or implied, to make any representations, warranties or agreements not specifically set forth in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xml:space="preserve"> and subject to the limited remedies herein provided; (b) Parent specifically disclaims that it is relying upon or has relied upon any such other representations or warranties that may have been made by any Person, and acknowledges and agrees that the Company Securityholders and the Company have specifically disclaimed and do hereby specifically disclaim any such other representation or warranty made by any Person; and (c) none of the Company, the Company Securityholders nor any other Person shall have any liability to Parent or any other Person with respect to any such other representations or warranties, including projections, forecasts, estimates, plans or budgets of future revenue, expenses or expenditures, future results of operations, future cash flows or the future financial condition of the Company or the future business, operations or affairs of the Company.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intentionally left blank; signature pages to follow]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2" w:name="page353"/>
    <w:bookmarkEnd w:id="3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day and year first above written.</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18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198"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Merger Sub:</w:t>
      </w: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FSG MERGER SUB, INC.</w:t>
      </w:r>
    </w:p>
    <w:p>
      <w:pPr>
        <w:spacing w:after="0" w:line="198"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98"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tab/>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Jason Meyenburg</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Stockholders’ Representative:</w:t>
      </w: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SHAREHOLDER REPRESENTATIVE SERVICES LLC,</w:t>
      </w:r>
    </w:p>
    <w:p>
      <w:pPr>
        <w:spacing w:after="0" w:line="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solely in its capacity as the Stockholders’ Representative</w:t>
      </w:r>
    </w:p>
    <w:p>
      <w:pPr>
        <w:spacing w:after="0" w:line="180"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tab/>
        <w:t>/s/ Sam Riffe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Sam Riffe</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3" w:name="page354"/>
    <w:bookmarkEnd w:id="35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SUPPORT AGREEMENT</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COMPANY SUPPORT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October 15, 2020, by and among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persons set forth on Schedule I attached hereto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Each of Parent and each Stockholder are sometimes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ascribed to them in the Merger Agreement (as defined below).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herewith, Parent, FSG Merger Sub, Inc., a Delaware corporation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FS Development Holdings, LLC, a Delaware limited liability company, Shareholder Representative Services LLC, as the Stockholders’ Representative, and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are entering into that certain Agreement and Plan of Merger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Parent, and each share of Company Capital Stock (including the Subject Company Shares (as defined below)) will be converted into the right to receive Parent Class A Shares, in each case, on the terms and subject to the conditions set forth in the Merger Agreement;</w:t>
      </w:r>
    </w:p>
    <w:p>
      <w:pPr>
        <w:spacing w:after="0" w:line="104"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Stockholder is the record and beneficial owner of the number and type of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(together with any other Company Securities or other eqiuty interest (including anything convertible into such equity interests) of the Company that each Stockholder acquires record or beneficial ownership after the date hereof, collectively, the “</w:t>
      </w:r>
      <w:r>
        <w:rPr>
          <w:rFonts w:ascii="Times New Roman" w:cs="Times New Roman" w:eastAsia="Times New Roman" w:hAnsi="Times New Roman"/>
          <w:sz w:val="18"/>
          <w:szCs w:val="18"/>
          <w:u w:val="single" w:color="auto"/>
          <w:color w:val="auto"/>
        </w:rPr>
        <w:t>Subject Company Shares</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benefits to be received by each Stockholder under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and as a material inducement to Parent and the other Parent Parties agreeing to enter into and consummate the transactions contemplated by the Merger Agreement, each Stockholder agrees to enter into this Agreement and to be bound by the agreements, covenants and obligations contained in this Agreement; and</w:t>
      </w:r>
    </w:p>
    <w:p>
      <w:pPr>
        <w:spacing w:after="0" w:line="109"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acknowledge and agree that Parent and the other Parent Parties would not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and agreed to consummate the transactions contemplated by the Merger Agreement without each Stockholder entering into this Agreement and agreeing to be bound by the agreements, covenants and obligations contained in this Agreement.</w:t>
      </w:r>
    </w:p>
    <w:p>
      <w:pPr>
        <w:spacing w:after="0" w:line="95"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set forth herein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acknowledged, the Parties, each intending to be legally bound, hereby agree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62" w:lineRule="exact"/>
        <w:rPr>
          <w:sz w:val="20"/>
          <w:szCs w:val="20"/>
          <w:color w:val="auto"/>
        </w:rPr>
      </w:pPr>
    </w:p>
    <w:p>
      <w:pPr>
        <w:ind w:left="1060" w:hanging="174"/>
        <w:spacing w:after="0"/>
        <w:tabs>
          <w:tab w:leader="none" w:pos="10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Consent and Related Matters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9"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As promptly as reasonably practicable (and in any event within two (2) Business Days) following the Effective Date, each Stockholder shall duly execute and deliver to the Company and Parent the Company Stockholder Written Consent under which it shall irrevocably and unconditionally consent to the matters, actions and proposals contemplated by Section 8.3(a) (Company Stockholder Approval) of the Merger Agreement. Without limiting the generality of the first sentence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prior to the Closing, each Stockholder shall vote (or cause to be voted) the Subject Company Shares against and withhold consent with respect to any Alternative Proposal. (2) In addition to the foregoing, each Stockholder hereby unconditionally and irrevocably agrees that, at any meeting of the holders of Company Capital Stock (or any adjournment or postponement thereof), such Stockholder shall, if a meeting is held, appear at the meeting, in person or by proxy, or otherwise cause its Subject Company Shares to be counted as present thereat for purposes of establishing a quorum, and such Stockholder shall vote or provide consent (or cause to be voted or consented), in person or by proxy, all of its Subject Company Shares:</w:t>
      </w:r>
    </w:p>
    <w:p>
      <w:pPr>
        <w:spacing w:after="0" w:line="108" w:lineRule="exact"/>
        <w:rPr>
          <w:rFonts w:ascii="Times New Roman" w:cs="Times New Roman" w:eastAsia="Times New Roman" w:hAnsi="Times New Roman"/>
          <w:sz w:val="18"/>
          <w:szCs w:val="18"/>
          <w:color w:val="auto"/>
        </w:rPr>
      </w:pPr>
    </w:p>
    <w:p>
      <w:pPr>
        <w:ind w:left="1320" w:right="479" w:firstLine="646"/>
        <w:spacing w:after="0" w:line="282" w:lineRule="auto"/>
        <w:tabs>
          <w:tab w:leader="none" w:pos="2188" w:val="left"/>
        </w:tabs>
        <w:numPr>
          <w:ilvl w:val="2"/>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adopt the Merger Agreement and the transactions contemplated thereby, including the Merger;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4" w:name="page355"/>
    <w:bookmarkEnd w:id="35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firstLine="646"/>
        <w:spacing w:after="0" w:line="258" w:lineRule="auto"/>
        <w:tabs>
          <w:tab w:leader="none" w:pos="2249"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upon which a consent or other approval is required under the organizational documents of the Company or otherwise sought with respect to the Merger Agreement or the transactions contemplated thereby, to vote, consent or approve (or cause to be voted, consented or approved) all of such Stockholder’s Subject Company Shares held at such time in favor thereof;</w:t>
      </w:r>
    </w:p>
    <w:p>
      <w:pPr>
        <w:spacing w:after="0" w:line="115" w:lineRule="exact"/>
        <w:rPr>
          <w:rFonts w:ascii="Times New Roman" w:cs="Times New Roman" w:eastAsia="Times New Roman" w:hAnsi="Times New Roman"/>
          <w:sz w:val="18"/>
          <w:szCs w:val="18"/>
          <w:color w:val="auto"/>
        </w:rPr>
      </w:pPr>
    </w:p>
    <w:p>
      <w:pPr>
        <w:jc w:val="both"/>
        <w:ind w:left="1320" w:right="479" w:firstLine="646"/>
        <w:spacing w:after="0" w:line="261" w:lineRule="auto"/>
        <w:tabs>
          <w:tab w:leader="none" w:pos="236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Alternative Transaction, or any other merger agreement, merger, consolidation, combination, sale of substantial assets, reorganization, recapitalization, dissolution, liquidation or winding up of or by the Company (other than the Merger Agreement and the transactions contemplated thereby); and</w:t>
      </w:r>
    </w:p>
    <w:p>
      <w:pPr>
        <w:spacing w:after="0" w:line="112" w:lineRule="exact"/>
        <w:rPr>
          <w:rFonts w:ascii="Times New Roman" w:cs="Times New Roman" w:eastAsia="Times New Roman" w:hAnsi="Times New Roman"/>
          <w:sz w:val="18"/>
          <w:szCs w:val="18"/>
          <w:color w:val="auto"/>
        </w:rPr>
      </w:pPr>
    </w:p>
    <w:p>
      <w:pPr>
        <w:jc w:val="both"/>
        <w:ind w:left="1320" w:right="459" w:firstLine="646"/>
        <w:spacing w:after="0" w:line="258" w:lineRule="auto"/>
        <w:tabs>
          <w:tab w:leader="none" w:pos="2279"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proposal, action or agreement that would (A) impede, frustrate, prevent or nullify any provision of this Agreement, the Merger Agreement or the Merger, (B) result in a breach in any respect of any covenant, representation, warranty or any other obligation or agreement of the Company under the Merger Agreement or (C) result in any of the conditions set forth in Article X of the Merger Agreement not being fulfilled.</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1"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other rights or remedies of Parent, each Stockholder hereby irrevocably appoints Parent or any individual designated by Parent as the Stockholder’s agent, attorney-in-fact and proxy (with full power of substitution and resubstituting), for and in the name, place and stead of the Stockholder, to attend on behalf of the Stockholder any meeting of the holders of Company Capital Stock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to include the Subject Company Shares in any computation for purposes of establishing a quorum at any such meeting of the holders of Company Capital Stock, to vote (or cause to be voted) the Subject Company Shares or consent (or withhold consent) with respect to any of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in connection with any meeting of the holders of Company Capital Stock or any action by written consent by the holders of Company Capital Stock (including the Company Stockholder Written Consent), in each case, in the event that the Stockholder fails to timely perform or otherwise comply with the covenants, agreements or obligations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7"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proxy granted by each Stockholder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coupled with an interest sufficient in law to support an irrevocable proxy and is granted in consideration for Parent entering into the Merger Agreement and agreeing to consummate the transactions contemplated thereby. The proxy granted by each Stockholder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also a durable proxy and shall survive the bankruptcy, dissolution, death, incapacity or other inability to act by each Stockholder and shall revoke any and all prior proxies granted by each Stockholder with respect to the Subject Company Shares. The vote or consent of the proxyholder in accordance with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and with respect to the matters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shall control in the event of any conflict between such vote or consent by the proxyholder of the Subject Company Shares and a vote or consent by each Stockholder of the Subject Company Shares (or any other Person with the power to vote the Subject Company Shares) with respect to the matters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The proxyholder may not exercise the proxy granted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on any matter except those provided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For the avoidance of doubt, each Stockholder may vote the Subject Company Shares on all other matters, subject to, for the avoidance of doubt, the other applicable covenants, agreements and obligations set forth in this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hereby (i) irrevocably and unconditionally waives any rights of appraisal, dissenter’s rights and any similar rights relating to the Merger Agreement and the consummation by the parties of the transactions contemplated thereby, including the Merger, that such Stockholder may have under applicable law (including Section 262 of the Delaware General Corporation Law or otherwise), (ii) consents to, on behalf of itself, and each other holder of Company Preferred Stock and irrevocably and unconditionally waives any and all rights such Stockholder may have with respect to, (x) the conversion of all outstanding shares of Company Preferred Stock into shares of Company Common Stock, with such conversion to be in accordance with the terms of the Company Certificate of Incorporation and effective as of immediately prior to the Effective Time of the Merger and (y) prior to the Closing, the conversion of each Convertible Note into Company Series B Preferred Stock, in accordance with the terms of each Convertible Note, in each case, as set forth on the Capitalization Table.</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1"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hereby irrevocably waives, on behalf of themselves and each other holder of Company Preferred Stock, its right to certain payments upon liquidation of the Company pursuant to Article IV, Section 2 of the Company Certificate of Incorporation,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5" w:name="page356"/>
    <w:bookmarkEnd w:id="3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060" w:hanging="174"/>
        <w:spacing w:after="0"/>
        <w:tabs>
          <w:tab w:leader="none" w:pos="106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 and Agreements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5"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hereby agrees that, notwithstanding anything to the contrary in any such agreement, (i) each of the agreements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shall be automatically terminated and of no further force and effect (including any provisions of any such agreement that, by its terms, survive such termination) effective as of, and subject to and conditioned upon the occurrence of, the Closing and (ii) upon such termination neither the Company nor any of its Affiliates (including from and after the Effective Time, Parent and its Affiliates) shall have any further obligations or liabilities under each such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indemnification provisions that are contemplated to survive the agreement marked with an asterisk (*)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shall survive such termination in accordance with their terms. Without limiting the generality of the foregoing, each Stockholder hereby agrees to promptly execute and deliver all additional agreements, documents and instruments and take, or cause to be taken, all actions necessary or reasonably advisable in order to achieve the purpose of the preceding sentence.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5"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acknowledges and agrees that Parent and the other Parent Parties are entering into the Merger Agreement in reliance upon the Stockholder entering into this Agreement and agreeing to be bound by, and perform, or otherwise comply with, as applicable, the agreements, covenants and obligations contained in this Agreement and but for the Stockholder entering into this Agreement and agreeing to be bound by, and perform, or otherwise comply with, as applicable, the agreements, covenants and obligations contained in this Agreement, Parent and the other Parent Parties would not have entered into or agreed to consummate the transactions contemplated by the Merger Agreement.</w:t>
      </w:r>
    </w:p>
    <w:p>
      <w:pPr>
        <w:spacing w:after="0" w:line="107" w:lineRule="exact"/>
        <w:rPr>
          <w:rFonts w:ascii="Times New Roman" w:cs="Times New Roman" w:eastAsia="Times New Roman" w:hAnsi="Times New Roman"/>
          <w:sz w:val="18"/>
          <w:szCs w:val="18"/>
          <w:color w:val="auto"/>
        </w:rPr>
      </w:pPr>
    </w:p>
    <w:p>
      <w:pPr>
        <w:ind w:left="1600" w:hanging="282"/>
        <w:spacing w:after="0"/>
        <w:tabs>
          <w:tab w:leader="none" w:pos="1600"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each Stockholder shall deliver to Parent a duly executed copy of that</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04"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Registration Rights Agreement, by and among Parent, the Company and the Specified Company Securityholders party thereto, in substantially the form attached as Exhibit F to the Merger Agreement and</w:t>
      </w:r>
    </w:p>
    <w:p>
      <w:pPr>
        <w:ind w:left="460" w:right="459" w:hanging="6"/>
        <w:spacing w:after="0" w:line="260" w:lineRule="auto"/>
        <w:tabs>
          <w:tab w:leader="none" w:pos="732"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Voting Agreement, by and among Parent, the Company and the Specified Company Securityholders party thereto, in substantially the form attached as Exhibit D to the Merger Agreement.</w:t>
      </w:r>
    </w:p>
    <w:p>
      <w:pPr>
        <w:spacing w:after="0" w:line="113" w:lineRule="exact"/>
        <w:rPr>
          <w:rFonts w:ascii="Times New Roman" w:cs="Times New Roman" w:eastAsia="Times New Roman" w:hAnsi="Times New Roman"/>
          <w:sz w:val="18"/>
          <w:szCs w:val="18"/>
          <w:color w:val="auto"/>
        </w:rPr>
      </w:pPr>
    </w:p>
    <w:p>
      <w:pPr>
        <w:ind w:left="1080" w:hanging="194"/>
        <w:spacing w:after="0"/>
        <w:tabs>
          <w:tab w:leader="none" w:pos="108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Representations and Warranties</w:t>
      </w:r>
      <w:r>
        <w:rPr>
          <w:rFonts w:ascii="Times New Roman" w:cs="Times New Roman" w:eastAsia="Times New Roman" w:hAnsi="Times New Roman"/>
          <w:sz w:val="18"/>
          <w:szCs w:val="18"/>
          <w:color w:val="auto"/>
        </w:rPr>
        <w:t>. Each Stockholder represents and warrants to Parent as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139"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70"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is not an individual, the Stockholder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9"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is not an individual, the Stockholder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This Agreement has been duly and validly executed and delivered by such Stockholder and constitutes a valid, legal and binding agreement of each Stockholder (assuming that this Agreement is duly authorized, executed and delivered by Parent), enforceable against each such Stockholder in accordance with its terms (subject to applicable bankruptcy, insolvency, reorganization, moratorium or other Laws affecting generally the enforcement of creditors’ rights and subject to general principles of equity).</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24"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designation, declaration or filing with, any governmental authority is required on the part of any Stockholder with respect to such Stockholder’s execution, delivery or performance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except for any consents, approvals, authorizations, designations, declarations, waivers or filings, the absence of which would not adversely affect the ability of such Stockholder to perform, or otherwise comply with, any of its covenants, agreements or obligations hereunder in any material respect.</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3"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or delivery of this Agreement by each Stockholder, the performance by such Stockholder of any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will, directly or indirectly (with or without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6" w:name="page357"/>
    <w:bookmarkEnd w:id="35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due notice or lapse of time or both) (i) result in any breach of any provision of such Stockholder’s organizational documents, (ii) result in a violation or breach of, or constitute a default or give rise to any right of termination, consent, cancellation, amendment, modification, suspension, revocation or acceleration under, any of the terms, conditions or provisions of any Contract to which such Stockholder is a party, (iii) violate, or constitute a breach under, any Order or applicable Law to which such Stockholder or any of its properties or assets are bound or (iv) result in the creation of any Lien upon the Subject Company Shares,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directly above, as would not adversely affect the ability of such Stockholder to perform, or otherwise comply with, any of its covenants, agreements or obligations hereunder in any material respect.</w:t>
      </w:r>
    </w:p>
    <w:p>
      <w:pPr>
        <w:spacing w:after="0" w:line="121" w:lineRule="exact"/>
        <w:rPr>
          <w:sz w:val="20"/>
          <w:szCs w:val="20"/>
          <w:color w:val="auto"/>
        </w:rPr>
      </w:pPr>
    </w:p>
    <w:p>
      <w:pPr>
        <w:jc w:val="both"/>
        <w:ind w:left="460" w:right="459" w:firstLine="858"/>
        <w:spacing w:after="0" w:line="252" w:lineRule="auto"/>
        <w:tabs>
          <w:tab w:leader="none" w:pos="1590" w:val="left"/>
        </w:tabs>
        <w:numPr>
          <w:ilvl w:val="2"/>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is the record and beneficial owner of the Subject Company Shares and has valid, good and marketable title to the Subject Company Shares, free and clear of all Liens (other than transfer restrictions under applicable Securities Law). Except for the shares of Company Capital Stock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together with any other shares of Company Capital Stock or other equity interest (including anything convertible into such equity interests) of the Company that the Stockholder acquires record or beneficial ownership after the date hereof, such Stockholder has the sole right to vote (and provide consent in respect of, as applicable) the Subject Company Shares and, except for this Agreement, the Merger Agreement and that certain Second Amended and Restated Voting Agreement, dated September 26, 2019, such Stockholder is not party to or bound by (i) any option, warrant, purchase right, or other Contract that would (either alone or in connection with one or more events, developments (including the satisfaction or waiver of any conditions precedent)) require such Stockholder to Transfer (as defined below) any of the Subject Company Shares or</w:t>
      </w:r>
    </w:p>
    <w:p>
      <w:pPr>
        <w:spacing w:after="0" w:line="3" w:lineRule="exact"/>
        <w:rPr>
          <w:rFonts w:ascii="Times New Roman" w:cs="Times New Roman" w:eastAsia="Times New Roman" w:hAnsi="Times New Roman"/>
          <w:sz w:val="18"/>
          <w:szCs w:val="18"/>
          <w:color w:val="auto"/>
        </w:rPr>
      </w:pPr>
    </w:p>
    <w:p>
      <w:pPr>
        <w:ind w:left="460" w:right="479" w:hanging="6"/>
        <w:spacing w:after="0" w:line="260" w:lineRule="auto"/>
        <w:tabs>
          <w:tab w:leader="none" w:pos="75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trust, proxy or other Contract with respect to the voting or Transfer of any of the Subject Company Shares.</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79" w:val="left"/>
        </w:tabs>
        <w:numPr>
          <w:ilvl w:val="2"/>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pending or, to the Stockholder’s knowledge, threatened against such Stockholder that questions the beneficial or record ownership of such Stockholder’s Subject Company Shares, the validity of this Agreement or the performance by such Stockholder of its obligations under this Agreement, or which would reasonably be expected to adversely affect the ability of such Stockholder to perform, or otherwise comply with, any of its covenants, agreements or obligations under this Agreement in any material respect.</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3" w:val="left"/>
        </w:tabs>
        <w:numPr>
          <w:ilvl w:val="2"/>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on his, her or its own behalf and on behalf of his, her or its Representatives, acknowledges, represents, warrants and agrees that (i) he, she or it has conducted his, her or its own independent review and analysis of, and, based thereon, has formed an independent judgment concerning, the business, assets, condition, operations and prospects of, the Parent Parties and (ii) he, she or it has been furnished with or given access to such documents and information about the Parent Parties and their respective businesses and operations as he, she or it and his, her or its Representatives have deemed necessary to enable him, her or it to make an informed decision with respect to the execution, delivery and performance of this Agreement, the other Additional Agreements to which he, she or it is or will be a party and the transactions contemplated hereby and thereby.</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4" w:val="left"/>
        </w:tabs>
        <w:numPr>
          <w:ilvl w:val="2"/>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this Agreement and the other Additional Agreements to which he, she or it is or will be a party, the Stockholder has relied solely on his, her or its own investigation and analysis and the representations and warranties expressly set forth in the Additional Agreements to which he, she or it is or will be a party and no other representations or warranties of any Parent Party (including, for the avoidance of doubt, none of the representations or warranties of any Parent Party set forth in the Merger Agreement or any other Additional Agreements), any Affiliate of Parent or any other Person, either express or implied, and such Stockholder, on his, her or its own behalf and on behalf of his, her or its Representatives, acknowledges, represents, warrants and agrees that, except for the representations and warranties expressly set forth in the Additional Agreements to which he, she or it is or will be a party, none of the Parent Parties, any Affiliate of Parent or any other Person makes or has made any representation or warranty, either express or implied, in connection with or related to this Agreement, the Additional Agreements to which he, she or it is or will be a party or the transactions contemplated hereby or thereby.</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7" w:lineRule="auto"/>
        <w:tabs>
          <w:tab w:leader="none" w:pos="1072"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Subject Securities</w:t>
      </w:r>
      <w:r>
        <w:rPr>
          <w:rFonts w:ascii="Times New Roman" w:cs="Times New Roman" w:eastAsia="Times New Roman" w:hAnsi="Times New Roman"/>
          <w:sz w:val="18"/>
          <w:szCs w:val="18"/>
          <w:color w:val="auto"/>
        </w:rPr>
        <w:t>. Except as expressly contemplated by the Merger Agreement or with the prior written consent of Parent (such consent to be given or withheld in its sole discretion), from and after the date hereof, each Stockholder agrees not to (a) Transfer any of the Subject Company Shares, (b) enter into</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68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warrant, purchase right, or other Contract that would (either alone or in connection with one or more events or developments (including the satisfaction or waiver of any conditions precedent)) require such Stockholder to Transfer the Subject Company Shares or (ii) any voting trust, proxy or other Contract with respect to the voting or Transfer of the Subject Company Shares, or (c) take any actions (i) having the effect of preventing or disabling such Stockholder from performing its obligations under this Agreement or (ii) in furtherance of any of the matters described in the foregoing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7" w:name="page358"/>
    <w:bookmarkEnd w:id="3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direct or indirect, sale, transfer, assignment, pledge, mortgage, exchange, hypothecation, grant of a security interest in or disposition or encumbrance of an interest (whether with or without consideration, whether voluntarily or involuntarily or by operation of law or otherwise).</w:t>
      </w:r>
    </w:p>
    <w:p>
      <w:pPr>
        <w:spacing w:after="0" w:line="112" w:lineRule="exact"/>
        <w:rPr>
          <w:sz w:val="20"/>
          <w:szCs w:val="20"/>
          <w:color w:val="auto"/>
        </w:rPr>
      </w:pPr>
    </w:p>
    <w:p>
      <w:pPr>
        <w:jc w:val="both"/>
        <w:ind w:left="460" w:right="459" w:firstLine="426"/>
        <w:spacing w:after="0" w:line="258" w:lineRule="auto"/>
        <w:tabs>
          <w:tab w:leader="none" w:pos="1072"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any notice or other action by any Party, and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upon the earlier of (a) the Effective Time; (b) the termination of the Merger Agreement in accordance with its terms and (c) upon the mutual written agreement of Parent and each Stockholder. Upon termination of this Agreement as provided in the immediately preceding sentence, none of the Parties shall have any further obligations or Liabilities under, or with respect to, this Agreement.</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8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Notwithstanding anything in this Agreement to the contrary, (a) each Stockholder makes no agreement or understanding herein in any capacity other than in such Stockholder’s capacity as a record holder and beneficial owner of the Subject Company Shares, and not in such Stockholder’s capacity as a director, officer or employee of the Company or any other capacity and (b) nothing herein will be construed to limit or affect any action or inaction by any Stockholder serving as a member of the board of directors of the Company or as an officer, employee or fiduciary of the Company, in each case, acting in such person’s capacity as a director, officer, employee or fiduciary of the Company.</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72"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 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Jim@foresitecapital.com</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New York, New York 10020-1095</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a Stockholder, to the address specified by such Stockholder in writing.</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Boston, MA 02210</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Attention:</w:t>
      </w:r>
    </w:p>
    <w:p>
      <w:pPr>
        <w:spacing w:after="0" w:line="200" w:lineRule="exact"/>
        <w:rPr>
          <w:sz w:val="20"/>
          <w:szCs w:val="20"/>
          <w:color w:val="auto"/>
        </w:rPr>
      </w:pPr>
    </w:p>
    <w:p>
      <w:pPr>
        <w:spacing w:after="0" w:line="25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Mitchell S. Bloom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mbloom@goodwinlaw.com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despinoza@goodwinlaw.com</w:t>
      </w:r>
    </w:p>
    <w:p>
      <w:pPr>
        <w:spacing w:after="0" w:line="137" w:lineRule="exact"/>
        <w:rPr>
          <w:sz w:val="20"/>
          <w:szCs w:val="20"/>
          <w:color w:val="auto"/>
        </w:rPr>
      </w:pPr>
    </w:p>
    <w:p>
      <w:pPr>
        <w:sectPr>
          <w:pgSz w:w="11900" w:h="16838" w:orient="portrait"/>
          <w:cols w:equalWidth="0" w:num="2">
            <w:col w:w="2040" w:space="300"/>
            <w:col w:w="6679"/>
          </w:cols>
          <w:pgMar w:left="1440" w:top="270" w:right="1440" w:bottom="1440" w:gutter="0" w:footer="0" w:header="0"/>
          <w:type w:val="continuous"/>
        </w:sect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8" w:name="page359"/>
    <w:bookmarkEnd w:id="3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61" w:lineRule="auto"/>
        <w:tabs>
          <w:tab w:leader="none" w:pos="109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Merger Agreement and documents referred to herein and therein constitutes the entire agreement of the Parties with respect to the subject matter of this Agreement, and supersede all prior agreements and undertakings, both written and oral, among the Parties with respect to the subject matter of this Agreement, except as otherwise expressly provided in this Agreement.</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72"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 Assignment</w:t>
      </w:r>
      <w:r>
        <w:rPr>
          <w:rFonts w:ascii="Times New Roman" w:cs="Times New Roman" w:eastAsia="Times New Roman" w:hAnsi="Times New Roman"/>
          <w:sz w:val="18"/>
          <w:szCs w:val="18"/>
          <w:color w:val="auto"/>
        </w:rPr>
        <w:t>. Any provision of this Agreement may be amended or waived if, and only if, such amendment or waiver is in writing and signed by each of Stockholder and Parent.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Stockholder without Parent’s prior written consent (to be withheld or given in its sole discretion).</w:t>
      </w:r>
    </w:p>
    <w:p>
      <w:pPr>
        <w:spacing w:after="0" w:line="121"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7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expressly set forth in the Merger Agreement, all fees and expenses incurred in connection with this Agreement and the transactions contemplated hereby, including the fees and disbursements of counsel, financial advisors and accountants, shall be paid by the Party incurring such fees or expenses.</w:t>
      </w:r>
    </w:p>
    <w:p>
      <w:pPr>
        <w:spacing w:after="0" w:line="98"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5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either Party does not perform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19" w:lineRule="exact"/>
        <w:rPr>
          <w:rFonts w:ascii="Times New Roman" w:cs="Times New Roman" w:eastAsia="Times New Roman" w:hAnsi="Times New Roman"/>
          <w:sz w:val="18"/>
          <w:szCs w:val="18"/>
          <w:color w:val="auto"/>
        </w:rPr>
      </w:pPr>
    </w:p>
    <w:p>
      <w:pPr>
        <w:jc w:val="both"/>
        <w:ind w:left="460" w:right="479" w:firstLine="426"/>
        <w:spacing w:after="0" w:line="258" w:lineRule="auto"/>
        <w:tabs>
          <w:tab w:leader="none" w:pos="117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of this Agreement. Nothing in this Agreement, expressed or implied, is intended to or shall constitute the Parties, partners or participants in a joint venture.</w:t>
      </w:r>
    </w:p>
    <w:p>
      <w:pPr>
        <w:spacing w:after="0" w:line="115"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8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Sections 1.2 (Construction), 14.7 (Governing Law), 14.8 (Counterparts; Facsimile Signatures) and 14.10 (Severability) of the Merger Agreement are incorporated herein by reference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9" w:name="page360"/>
    <w:bookmarkEnd w:id="3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executed and delivered this Company Support Agreement as of the date first above written.</w:t>
      </w:r>
    </w:p>
    <w:p>
      <w:pPr>
        <w:spacing w:after="0" w:line="15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18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51435</wp:posOffset>
            </wp:positionV>
            <wp:extent cx="231457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8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0" w:name="page361"/>
    <w:bookmarkEnd w:id="3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VENTURES,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SINGAPORE,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1" w:name="page362"/>
    <w:bookmarkEnd w:id="3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Capital GP VI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Advisors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Managing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2" w:name="page363"/>
    <w:bookmarkEnd w:id="3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ATLAS VENTURE FUND X,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Atlas Venture Associates X, L.P.</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color w:val="auto"/>
        </w:rPr>
        <w:t>By: Atlas Venture Associates X, LLC</w:t>
      </w:r>
    </w:p>
    <w:p>
      <w:pPr>
        <w:spacing w:after="0" w:line="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3" w:name="page364"/>
    <w:bookmarkEnd w:id="3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WU CAPITAL INVESTMENT LLC</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Wu Capital Investment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Director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4" w:name="page365"/>
    <w:bookmarkEnd w:id="3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r>
      <w:tr>
        <w:trPr>
          <w:trHeight w:val="203"/>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under</w:t>
            </w:r>
          </w:p>
        </w:tc>
      </w:tr>
      <w:tr>
        <w:trPr>
          <w:trHeight w:val="203"/>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Convertible</w:t>
            </w:r>
          </w:p>
        </w:tc>
      </w:tr>
      <w:tr>
        <w:trPr>
          <w:trHeight w:val="212"/>
        </w:trPr>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Stockholder</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w:t>
            </w:r>
          </w:p>
        </w:tc>
      </w:tr>
      <w:tr>
        <w:trPr>
          <w:trHeight w:val="46"/>
        </w:trPr>
        <w:tc>
          <w:tcPr>
            <w:tcW w:w="4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7"/>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Ventures, L.P.</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11,653,137</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976,931</w:t>
            </w: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Lightstone Ventures (A), L.P.</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1,587,559</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133,112</w:t>
            </w:r>
          </w:p>
        </w:tc>
        <w:tc>
          <w:tcPr>
            <w:tcW w:w="1040" w:type="dxa"/>
            <w:vAlign w:val="bottom"/>
          </w:tcPr>
          <w:p>
            <w:pPr>
              <w:spacing w:after="0"/>
              <w:rPr>
                <w:sz w:val="21"/>
                <w:szCs w:val="21"/>
                <w:color w:val="auto"/>
              </w:rPr>
            </w:pPr>
          </w:p>
        </w:tc>
      </w:tr>
      <w:tr>
        <w:trPr>
          <w:trHeight w:val="41"/>
        </w:trPr>
        <w:tc>
          <w:tcPr>
            <w:tcW w:w="4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Singapore L.P.</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3,700,139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4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13,240,696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7,400,280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4,887,000</w:t>
            </w:r>
          </w:p>
        </w:tc>
      </w:tr>
      <w:tr>
        <w:trPr>
          <w:trHeight w:val="40"/>
        </w:trPr>
        <w:tc>
          <w:tcPr>
            <w:tcW w:w="4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13,240,696</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5,180,196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4,361,000</w:t>
            </w:r>
          </w:p>
        </w:tc>
      </w:tr>
      <w:tr>
        <w:trPr>
          <w:trHeight w:val="24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 Capital Investment LLC</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7,400,280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5" w:name="page366"/>
    <w:bookmarkEnd w:id="3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148" w:lineRule="exact"/>
        <w:rPr>
          <w:sz w:val="20"/>
          <w:szCs w:val="20"/>
          <w:color w:val="auto"/>
        </w:rPr>
      </w:pPr>
    </w:p>
    <w:p>
      <w:pPr>
        <w:jc w:val="both"/>
        <w:ind w:left="880" w:right="459" w:hanging="426"/>
        <w:spacing w:after="0" w:line="266" w:lineRule="auto"/>
        <w:tabs>
          <w:tab w:leader="none" w:pos="95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Amended and Restated Voting Agreement, dated as of September 26, 2019, by and among the Company, each holder of Series A Preferred Stock, each holder of Series B Preferred Stock and the stockholders listed on Schedule B thereto.</w:t>
      </w:r>
    </w:p>
    <w:p>
      <w:pPr>
        <w:spacing w:after="0" w:line="108"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49"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Right of First Refusal and Co-Sale Agreement, dated as of September 26, 2019, by and among the Company, the Investors (as defined below) and the persons named on Schedule B thereto.</w:t>
      </w:r>
    </w:p>
    <w:p>
      <w:pPr>
        <w:spacing w:after="0" w:line="94"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92"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Investors’ Rights Agreement, dated as of September 26, 2019, by and among the Company and the Investors.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6" w:name="page367"/>
    <w:bookmarkEnd w:id="3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between FS Development Corp., a Delaware corporation (“</w:t>
      </w:r>
      <w:r>
        <w:rPr>
          <w:rFonts w:ascii="Times New Roman" w:cs="Times New Roman" w:eastAsia="Times New Roman" w:hAnsi="Times New Roman"/>
          <w:sz w:val="18"/>
          <w:szCs w:val="18"/>
          <w:u w:val="single" w:color="auto"/>
          <w:color w:val="auto"/>
        </w:rPr>
        <w:t>FSD</w:t>
      </w:r>
      <w:r>
        <w:rPr>
          <w:rFonts w:ascii="Times New Roman" w:cs="Times New Roman" w:eastAsia="Times New Roman" w:hAnsi="Times New Roman"/>
          <w:sz w:val="18"/>
          <w:szCs w:val="18"/>
          <w:color w:val="auto"/>
        </w:rPr>
        <w:t>”), and Gemini Therapeutics, Inc., a Delaware corporation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pursuant to a merger agreement to be entered into among FSD, Target, and the other parties thereto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FSD is seeking commitments from interested investors to purchase shares of Class A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FSD,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The aggregate purchase price to be paid by the undersigned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On or about the date of this Subscription Agreement, FSD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this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108" w:lineRule="exact"/>
        <w:rPr>
          <w:sz w:val="20"/>
          <w:szCs w:val="20"/>
          <w:color w:val="auto"/>
        </w:rPr>
      </w:pPr>
    </w:p>
    <w:p>
      <w:pPr>
        <w:jc w:val="both"/>
        <w:ind w:left="460" w:right="459" w:firstLine="426"/>
        <w:spacing w:after="0" w:line="266" w:lineRule="auto"/>
        <w:tabs>
          <w:tab w:leader="none" w:pos="108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072"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of the Shares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and (ii) delivery of written notice from (or on behalf of) FSD to the Investor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120"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74"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parties hereto to consummate the purchase and sale of the Shares pursuant to this Subscription Agreement is subject to the following conditions:</w:t>
      </w:r>
    </w:p>
    <w:p>
      <w:pPr>
        <w:spacing w:after="0" w:line="80"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648" w:val="left"/>
        </w:tabs>
        <w:numPr>
          <w:ilvl w:val="2"/>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governmental authority shall have enacted, issued, promulgated, enforced or entered any judgment, order, law, rule or regulation (whether temporary, preliminary or permanent)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7" w:name="page368"/>
    <w:bookmarkEnd w:id="3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which is then in effect and has the effect of making consummation of the transactions contemplated hereby illegal or otherwise restraining or prohibiting consummation of the transactions contemplated hereby;</w:t>
      </w:r>
    </w:p>
    <w:p>
      <w:pPr>
        <w:spacing w:after="0" w:line="108" w:lineRule="exact"/>
        <w:rPr>
          <w:sz w:val="20"/>
          <w:szCs w:val="20"/>
          <w:color w:val="auto"/>
        </w:rPr>
      </w:pPr>
    </w:p>
    <w:p>
      <w:pPr>
        <w:jc w:val="both"/>
        <w:ind w:left="1320" w:right="459" w:firstLine="1078"/>
        <w:spacing w:after="0" w:line="266" w:lineRule="auto"/>
        <w:tabs>
          <w:tab w:leader="none" w:pos="2669"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108"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764"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94" w:lineRule="exact"/>
        <w:rPr>
          <w:rFonts w:ascii="Times New Roman" w:cs="Times New Roman" w:eastAsia="Times New Roman" w:hAnsi="Times New Roman"/>
          <w:sz w:val="18"/>
          <w:szCs w:val="18"/>
          <w:color w:val="auto"/>
        </w:rPr>
      </w:pPr>
    </w:p>
    <w:p>
      <w:pPr>
        <w:ind w:left="2700" w:hanging="302"/>
        <w:spacing w:after="0"/>
        <w:tabs>
          <w:tab w:leader="none" w:pos="2700"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approved for listing on the Nasdaq Capital Market.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612"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121"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09"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Investor to consummate the purchase of the Shares pursuant to this Subscription Agreement shall be subject to the following conditions:</w:t>
      </w:r>
    </w:p>
    <w:p>
      <w:pPr>
        <w:spacing w:after="0" w:line="80" w:lineRule="exact"/>
        <w:rPr>
          <w:rFonts w:ascii="Times New Roman" w:cs="Times New Roman" w:eastAsia="Times New Roman" w:hAnsi="Times New Roman"/>
          <w:sz w:val="18"/>
          <w:szCs w:val="18"/>
          <w:color w:val="auto"/>
        </w:rPr>
      </w:pPr>
    </w:p>
    <w:p>
      <w:pPr>
        <w:jc w:val="both"/>
        <w:ind w:left="1320" w:right="459" w:firstLine="1078"/>
        <w:spacing w:after="0" w:line="256" w:lineRule="auto"/>
        <w:tabs>
          <w:tab w:leader="none" w:pos="2690" w:val="left"/>
        </w:tabs>
        <w:numPr>
          <w:ilvl w:val="2"/>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119"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667" w:val="left"/>
        </w:tabs>
        <w:numPr>
          <w:ilvl w:val="2"/>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108"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756" w:val="left"/>
        </w:tabs>
        <w:numPr>
          <w:ilvl w:val="2"/>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94" w:lineRule="exact"/>
        <w:rPr>
          <w:rFonts w:ascii="Times New Roman" w:cs="Times New Roman" w:eastAsia="Times New Roman" w:hAnsi="Times New Roman"/>
          <w:sz w:val="18"/>
          <w:szCs w:val="18"/>
          <w:color w:val="auto"/>
        </w:rPr>
      </w:pPr>
    </w:p>
    <w:p>
      <w:pPr>
        <w:jc w:val="both"/>
        <w:ind w:left="1320" w:right="479" w:firstLine="1078"/>
        <w:spacing w:after="0" w:line="266" w:lineRule="auto"/>
        <w:tabs>
          <w:tab w:leader="none" w:pos="2753" w:val="left"/>
        </w:tabs>
        <w:numPr>
          <w:ilvl w:val="2"/>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1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08"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7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FSD Representations and Warranties</w:t>
      </w:r>
      <w:r>
        <w:rPr>
          <w:rFonts w:ascii="Times New Roman" w:cs="Times New Roman" w:eastAsia="Times New Roman" w:hAnsi="Times New Roman"/>
          <w:sz w:val="18"/>
          <w:szCs w:val="18"/>
          <w:color w:val="auto"/>
        </w:rPr>
        <w:t>. FSD represents and warrants to the Investor, as of the date hereof and as of the Closing Date that:</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1"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81"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8" w:name="page369"/>
    <w:bookmarkEnd w:id="36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56" w:lineRule="auto"/>
        <w:tabs>
          <w:tab w:leader="none" w:pos="1594"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8"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 (B) the validity of the Shares; or (C) the legal authority of FSD to comply in all material respects with the terms of this Subscription Agreement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127"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04"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made all filings required to be filed by it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As of their respective dates, all reports, the Registration Statement of FSD filed on Form S-1 dated July 24, 2020 (as amended), and the prospectus of FSD dated August 11, 2020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required to be filed or actually filed by FSD with the SEC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113"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57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87"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 stock exchange on which FSD’s Class A common stock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0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FSD consists of 100,000,000 Shares of which 12,516,500 are outstanding, 10,000,000 shares of Class B common stock, par value $0.0001 per share of which 3,018,750 are issued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9" w:name="page370"/>
    <w:bookmarkEnd w:id="36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120" w:lineRule="exact"/>
        <w:rPr>
          <w:sz w:val="20"/>
          <w:szCs w:val="20"/>
          <w:color w:val="auto"/>
        </w:rPr>
      </w:pPr>
    </w:p>
    <w:p>
      <w:pPr>
        <w:jc w:val="both"/>
        <w:ind w:left="460" w:right="459" w:firstLine="858"/>
        <w:spacing w:after="0" w:line="258" w:lineRule="auto"/>
        <w:tabs>
          <w:tab w:leader="none" w:pos="1544"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43"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Investor’s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7" w:lineRule="auto"/>
        <w:tabs>
          <w:tab w:leader="none" w:pos="1580"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w:t>
      </w:r>
    </w:p>
    <w:p>
      <w:pPr>
        <w:spacing w:after="0" w:line="1" w:lineRule="exact"/>
        <w:rPr>
          <w:rFonts w:ascii="Times New Roman" w:cs="Times New Roman" w:eastAsia="Times New Roman" w:hAnsi="Times New Roman"/>
          <w:sz w:val="18"/>
          <w:szCs w:val="18"/>
          <w:color w:val="auto"/>
        </w:rPr>
      </w:pPr>
    </w:p>
    <w:p>
      <w:pPr>
        <w:ind w:left="460" w:right="459" w:hanging="6"/>
        <w:spacing w:after="0" w:line="260" w:lineRule="auto"/>
        <w:tabs>
          <w:tab w:leader="none" w:pos="74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decree, injunction, ruling or order of any governmental entity or arbitrator outstanding against FSD.</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41" w:val="left"/>
        </w:tabs>
        <w:numPr>
          <w:ilvl w:val="2"/>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38" w:val="left"/>
        </w:tabs>
        <w:numPr>
          <w:ilvl w:val="2"/>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under any obligation to pay any broker’s fee or commission in connection with the sale of the Shares hereunder other than to the Placement Agents (as defined herein).</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8" w:val="left"/>
        </w:tabs>
        <w:numPr>
          <w:ilvl w:val="2"/>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119"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FSD that: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71"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(iv) is not acquiring the Shares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0" w:name="page371"/>
    <w:bookmarkEnd w:id="3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2" w:lineRule="auto"/>
        <w:tabs>
          <w:tab w:leader="none" w:pos="16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12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3"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1"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119"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621"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9"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1" w:name="page372"/>
    <w:bookmarkEnd w:id="3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6" w:lineRule="auto"/>
        <w:tabs>
          <w:tab w:leader="none" w:pos="1557"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4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no federal or state agency has passed upon or endorsed the merits of the offering of the Shares or made any findings or determination as to the fairness of this investment.</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08"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4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7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12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8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disclosure or offering document has been prepared by either of the Placement Agents or any of their respective affiliates in connection with the offer and sale of the Shares.</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3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1"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issue and purchase of the Shares, the Placement Agents have not acted as the Investor’s financial advisor or fiduciary.</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9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required to deliver payment to FSD pursuant to Section 2 above, the Investor will have sufficient funds to pay the Subscription Amount and consummate the purchase and sale of the Shares pursuant to this Subscription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2" w:name="page373"/>
    <w:bookmarkEnd w:id="3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66" w:lineRule="auto"/>
        <w:tabs>
          <w:tab w:leader="none" w:pos="1586"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 Placement Agents are acting as FSD’s placement agents or financial advisors and certain of the Placement Agents are acting as financial advisor to Target in connection with the Transaction.</w:t>
      </w:r>
    </w:p>
    <w:p>
      <w:pPr>
        <w:spacing w:after="0" w:line="108"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0" w:lineRule="auto"/>
        <w:tabs>
          <w:tab w:leader="none" w:pos="1602"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Shares are not registered in connection with the consummation of the Transaction, FSD agrees that, within thirty (30) calendar days after the consummation of the Transaction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it will file with the SEC (at the its sole cost and expense) a registration statement registering the resale of such Shares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it shall use its commercially reasonable efforts to have the Registration Statement declared effective as soon as practicable after the filing thereof, but no later than the earlier of (1)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after the consummation of the Transaction (or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2"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3" w:name="page374"/>
    <w:bookmarkEnd w:id="3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124" w:lineRule="exact"/>
        <w:rPr>
          <w:sz w:val="20"/>
          <w:szCs w:val="20"/>
          <w:color w:val="auto"/>
        </w:rPr>
      </w:pPr>
    </w:p>
    <w:p>
      <w:pPr>
        <w:jc w:val="both"/>
        <w:ind w:left="460" w:right="459" w:firstLine="858"/>
        <w:spacing w:after="0" w:line="251" w:lineRule="auto"/>
        <w:tabs>
          <w:tab w:leader="none" w:pos="162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3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8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89"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4" w:name="page375"/>
    <w:bookmarkEnd w:id="3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120" w:lineRule="exact"/>
        <w:rPr>
          <w:sz w:val="20"/>
          <w:szCs w:val="20"/>
          <w:color w:val="auto"/>
        </w:rPr>
      </w:pPr>
    </w:p>
    <w:p>
      <w:pPr>
        <w:jc w:val="both"/>
        <w:ind w:left="460" w:right="459" w:firstLine="858"/>
        <w:spacing w:after="0" w:line="252" w:lineRule="auto"/>
        <w:tabs>
          <w:tab w:leader="none" w:pos="1566"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6"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109"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0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07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Account Waiver. The Investor hereby acknowledges that FSD has established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5" w:name="page376"/>
    <w:bookmarkEnd w:id="3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26" w:lineRule="exact"/>
        <w:rPr>
          <w:sz w:val="20"/>
          <w:szCs w:val="20"/>
          <w:color w:val="auto"/>
        </w:rPr>
      </w:pPr>
    </w:p>
    <w:p>
      <w:pPr>
        <w:ind w:left="1160" w:hanging="274"/>
        <w:spacing w:after="0"/>
        <w:tabs>
          <w:tab w:leader="none" w:pos="116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8"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6"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621"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04"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9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2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agreements, representations and warranties made by each party hereto in this Subscription Agreement shall survive the Closing.</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608"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97"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Times New Roman" w:cs="Times New Roman" w:eastAsia="Times New Roman" w:hAnsi="Times New Roman"/>
          <w:sz w:val="18"/>
          <w:szCs w:val="18"/>
          <w:u w:val="single" w:color="auto"/>
          <w:color w:val="auto"/>
        </w:rPr>
        <w:t>Sections 10(c)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10(d)</w:t>
      </w:r>
      <w:r>
        <w:rPr>
          <w:rFonts w:ascii="Times New Roman" w:cs="Times New Roman" w:eastAsia="Times New Roman" w:hAnsi="Times New Roman"/>
          <w:sz w:val="18"/>
          <w:szCs w:val="18"/>
          <w:color w:val="auto"/>
        </w:rPr>
        <w:t xml:space="preserve"> hereto, each Placement Agent shall be a third-party beneficiary to this Subscription Agreement and shall be entitled to the rights and benefits hereunder and may enforce the provisions hereof as if it were a party hereto.</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6" w:name="page377"/>
    <w:bookmarkEnd w:id="3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58" w:lineRule="auto"/>
        <w:tabs>
          <w:tab w:leader="none" w:pos="1599"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61"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5"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98"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61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55"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OF THIS SUBSCRIPTION AGREEMENT OR IN SUCH OTHER MANNER AS MAY BE PERMITTED BY LAW SHALL BE VALID AND SUFFICIENT SERVICE THEREOF.</w:t>
      </w:r>
    </w:p>
    <w:p>
      <w:pPr>
        <w:spacing w:after="0" w:line="12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8"/>
          <w:szCs w:val="18"/>
          <w:u w:val="single" w:color="auto"/>
          <w:color w:val="auto"/>
        </w:rPr>
        <w:t>SECTION 10(l)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858"/>
        <w:spacing w:after="0" w:line="261" w:lineRule="auto"/>
        <w:tabs>
          <w:tab w:leader="none" w:pos="163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7" w:name="page378"/>
    <w:bookmarkEnd w:id="3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All communications sent to FSD shall be sent to: FS Development Corp., 600 Montgomery Street, Suite 4500, San Francisco, California 94111, Attn: Jim Tananbaum, email: jim@foresitecapital.com, with a copy to: White &amp; Case LLP, 1221 Avenue of the Americas, New York, New York 10020, Attn: Joel L. Rubinstein, Esq., email: </w:t>
      </w:r>
      <w:r>
        <w:rPr>
          <w:rFonts w:ascii="Times New Roman" w:cs="Times New Roman" w:eastAsia="Times New Roman" w:hAnsi="Times New Roman"/>
          <w:sz w:val="18"/>
          <w:szCs w:val="18"/>
          <w:u w:val="single" w:color="auto"/>
          <w:color w:val="auto"/>
        </w:rPr>
        <w:t>joel.rubinstein@whitecase.com</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60" w:right="459" w:firstLine="426"/>
        <w:spacing w:after="0" w:line="252" w:lineRule="auto"/>
        <w:tabs>
          <w:tab w:leader="none" w:pos="1182"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128"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21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r>
        <w:rPr>
          <w:rFonts w:ascii="Times New Roman" w:cs="Times New Roman" w:eastAsia="Times New Roman" w:hAnsi="Times New Roman"/>
          <w:sz w:val="18"/>
          <w:szCs w:val="18"/>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8" w:name="page379"/>
    <w:bookmarkEnd w:id="3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its duly authorized representative as of the date set forth below.</w:t>
      </w:r>
    </w:p>
    <w:p>
      <w:pPr>
        <w:sectPr>
          <w:pgSz w:w="11900" w:h="16838" w:orient="portrait"/>
          <w:cols w:equalWidth="0" w:num="1">
            <w:col w:w="9019"/>
          </w:cols>
          <w:pgMar w:left="1440" w:top="270" w:right="1440" w:bottom="1440" w:gutter="0" w:footer="0" w:header="0"/>
        </w:sectPr>
      </w:pP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of Investor: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________________________________</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______________________________</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_______________________________</w:t>
      </w:r>
    </w:p>
    <w:p>
      <w:pPr>
        <w:spacing w:after="0" w:line="198" w:lineRule="exact"/>
        <w:rPr>
          <w:sz w:val="20"/>
          <w:szCs w:val="20"/>
          <w:color w:val="auto"/>
        </w:rPr>
      </w:pPr>
    </w:p>
    <w:p>
      <w:pPr>
        <w:ind w:left="460" w:right="60"/>
        <w:spacing w:after="0" w:line="282" w:lineRule="auto"/>
        <w:rPr>
          <w:sz w:val="20"/>
          <w:szCs w:val="20"/>
          <w:color w:val="auto"/>
        </w:rPr>
      </w:pPr>
      <w:r>
        <w:rPr>
          <w:rFonts w:ascii="Times New Roman" w:cs="Times New Roman" w:eastAsia="Times New Roman" w:hAnsi="Times New Roman"/>
          <w:sz w:val="18"/>
          <w:szCs w:val="18"/>
          <w:color w:val="auto"/>
        </w:rPr>
        <w:t>Name in which Shares are to be registered (if different):</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Investor’s EIN:</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Business Address-Street:</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City, State, Zip:</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Attn: _______________________________</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 No.:</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Facsimile No.:</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Shares subscribed for: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Aggregate Subscription Amount: $</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State/Country of Formation or Domicile: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Mailing Address-Street (if different):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_______________________________</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Per Share: $10</w:t>
      </w:r>
    </w:p>
    <w:p>
      <w:pPr>
        <w:spacing w:after="0" w:line="200" w:lineRule="exact"/>
        <w:rPr>
          <w:sz w:val="20"/>
          <w:szCs w:val="20"/>
          <w:color w:val="auto"/>
        </w:rPr>
      </w:pPr>
    </w:p>
    <w:p>
      <w:pPr>
        <w:sectPr>
          <w:pgSz w:w="11900" w:h="16838" w:orient="portrait"/>
          <w:cols w:equalWidth="0" w:num="2">
            <w:col w:w="3780" w:space="720"/>
            <w:col w:w="4519"/>
          </w:cols>
          <w:pgMar w:left="1440" w:top="270" w:right="1440" w:bottom="1440" w:gutter="0" w:footer="0" w:header="0"/>
          <w:type w:val="continuous"/>
        </w:sectPr>
      </w:pPr>
    </w:p>
    <w:p>
      <w:pPr>
        <w:spacing w:after="0" w:line="3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FSD in the Closing Notice.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79" w:name="page380"/>
    <w:bookmarkEnd w:id="3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IN WITNESS WHEREOF, FSD has accepted this Subscription Agreement as of the date set forth below.</w:t>
      </w:r>
    </w:p>
    <w:p>
      <w:pPr>
        <w:spacing w:after="0" w:line="2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77"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0" w:name="page381"/>
    <w:bookmarkEnd w:id="3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216" w:lineRule="exact"/>
        <w:rPr>
          <w:sz w:val="20"/>
          <w:szCs w:val="20"/>
          <w:color w:val="auto"/>
        </w:rPr>
      </w:pPr>
    </w:p>
    <w:p>
      <w:pPr>
        <w:ind w:left="880" w:right="4419" w:hanging="426"/>
        <w:spacing w:after="0" w:line="395" w:lineRule="auto"/>
        <w:tabs>
          <w:tab w:leader="none" w:pos="880"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 check the applicable subparagraphs):</w:t>
      </w:r>
    </w:p>
    <w:p>
      <w:pPr>
        <w:spacing w:after="0" w:line="72" w:lineRule="exact"/>
        <w:rPr>
          <w:rFonts w:ascii="Times New Roman" w:cs="Times New Roman" w:eastAsia="Times New Roman" w:hAnsi="Times New Roman"/>
          <w:sz w:val="17"/>
          <w:szCs w:val="17"/>
          <w:color w:val="auto"/>
        </w:rPr>
      </w:pPr>
    </w:p>
    <w:p>
      <w:pPr>
        <w:ind w:left="1100" w:hanging="214"/>
        <w:spacing w:after="0"/>
        <w:tabs>
          <w:tab w:leader="none" w:pos="1100" w:val="left"/>
        </w:tabs>
        <w:numPr>
          <w:ilvl w:val="1"/>
          <w:numId w:val="35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225" w:lineRule="exact"/>
        <w:rPr>
          <w:rFonts w:ascii="MS PGothic" w:cs="MS PGothic" w:eastAsia="MS PGothic" w:hAnsi="MS PGothic"/>
          <w:sz w:val="18"/>
          <w:szCs w:val="18"/>
          <w:color w:val="auto"/>
        </w:rPr>
      </w:pPr>
    </w:p>
    <w:p>
      <w:pPr>
        <w:ind w:left="880" w:right="3979" w:hanging="426"/>
        <w:spacing w:after="0" w:line="360" w:lineRule="auto"/>
        <w:tabs>
          <w:tab w:leader="none" w:pos="8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ACCREDITED INVESTOR STATUS (Please check the applicable subparagraphs):</w:t>
      </w:r>
    </w:p>
    <w:p>
      <w:pPr>
        <w:spacing w:after="0" w:line="66" w:lineRule="exact"/>
        <w:rPr>
          <w:sz w:val="20"/>
          <w:szCs w:val="20"/>
          <w:color w:val="auto"/>
        </w:rPr>
      </w:pPr>
    </w:p>
    <w:p>
      <w:pPr>
        <w:jc w:val="both"/>
        <w:ind w:left="1320" w:right="459" w:hanging="434"/>
        <w:spacing w:after="0" w:line="228" w:lineRule="exact"/>
        <w:tabs>
          <w:tab w:leader="none" w:pos="1306" w:val="left"/>
        </w:tabs>
        <w:numPr>
          <w:ilvl w:val="0"/>
          <w:numId w:val="35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01" w:lineRule="exact"/>
        <w:rPr>
          <w:rFonts w:ascii="Times New Roman" w:cs="Times New Roman" w:eastAsia="Times New Roman" w:hAnsi="Times New Roman"/>
          <w:sz w:val="18"/>
          <w:szCs w:val="18"/>
          <w:color w:val="auto"/>
        </w:rPr>
      </w:pPr>
    </w:p>
    <w:p>
      <w:pPr>
        <w:ind w:left="1300" w:hanging="414"/>
        <w:spacing w:after="0" w:line="207" w:lineRule="exact"/>
        <w:tabs>
          <w:tab w:leader="none" w:pos="1300" w:val="left"/>
        </w:tabs>
        <w:numPr>
          <w:ilvl w:val="0"/>
          <w:numId w:val="35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not a natural person.</w:t>
      </w:r>
    </w:p>
    <w:p>
      <w:pPr>
        <w:spacing w:after="0" w:line="17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16" w:lineRule="exact"/>
        <w:rPr>
          <w:sz w:val="20"/>
          <w:szCs w:val="20"/>
          <w:color w:val="auto"/>
        </w:rPr>
      </w:pPr>
    </w:p>
    <w:p>
      <w:pPr>
        <w:ind w:left="880" w:right="459" w:firstLine="6"/>
        <w:spacing w:after="0" w:line="282" w:lineRule="auto"/>
        <w:tabs>
          <w:tab w:leader="none" w:pos="1109" w:val="left"/>
        </w:tabs>
        <w:numPr>
          <w:ilvl w:val="1"/>
          <w:numId w:val="3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94" w:lineRule="exact"/>
        <w:rPr>
          <w:rFonts w:ascii="MS PGothic" w:cs="MS PGothic" w:eastAsia="MS PGothic" w:hAnsi="MS PGothic"/>
          <w:sz w:val="18"/>
          <w:szCs w:val="18"/>
          <w:color w:val="auto"/>
        </w:rPr>
      </w:pPr>
    </w:p>
    <w:p>
      <w:pPr>
        <w:jc w:val="both"/>
        <w:ind w:left="880" w:right="459" w:firstLine="6"/>
        <w:spacing w:after="0" w:line="266" w:lineRule="auto"/>
        <w:tabs>
          <w:tab w:leader="none" w:pos="1150" w:val="left"/>
        </w:tabs>
        <w:numPr>
          <w:ilvl w:val="1"/>
          <w:numId w:val="3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94" w:lineRule="exact"/>
        <w:rPr>
          <w:rFonts w:ascii="MS PGothic" w:cs="MS PGothic" w:eastAsia="MS PGothic" w:hAnsi="MS PGothic"/>
          <w:sz w:val="18"/>
          <w:szCs w:val="18"/>
          <w:color w:val="auto"/>
        </w:rPr>
      </w:pPr>
    </w:p>
    <w:p>
      <w:pPr>
        <w:jc w:val="both"/>
        <w:ind w:left="880" w:right="479" w:firstLine="6"/>
        <w:spacing w:after="0" w:line="266" w:lineRule="auto"/>
        <w:tabs>
          <w:tab w:leader="none" w:pos="1101" w:val="left"/>
        </w:tabs>
        <w:numPr>
          <w:ilvl w:val="1"/>
          <w:numId w:val="3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08" w:lineRule="exact"/>
        <w:rPr>
          <w:rFonts w:ascii="MS PGothic" w:cs="MS PGothic" w:eastAsia="MS PGothic" w:hAnsi="MS PGothic"/>
          <w:sz w:val="18"/>
          <w:szCs w:val="18"/>
          <w:color w:val="auto"/>
        </w:rPr>
      </w:pPr>
    </w:p>
    <w:p>
      <w:pPr>
        <w:jc w:val="both"/>
        <w:ind w:left="880" w:right="459" w:firstLine="6"/>
        <w:spacing w:after="0" w:line="266" w:lineRule="auto"/>
        <w:tabs>
          <w:tab w:leader="none" w:pos="1110" w:val="left"/>
        </w:tabs>
        <w:numPr>
          <w:ilvl w:val="1"/>
          <w:numId w:val="3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08" w:lineRule="exact"/>
        <w:rPr>
          <w:rFonts w:ascii="MS PGothic" w:cs="MS PGothic" w:eastAsia="MS PGothic" w:hAnsi="MS PGothic"/>
          <w:sz w:val="18"/>
          <w:szCs w:val="18"/>
          <w:color w:val="auto"/>
        </w:rPr>
      </w:pPr>
    </w:p>
    <w:p>
      <w:pPr>
        <w:ind w:left="880" w:right="479" w:firstLine="6"/>
        <w:spacing w:after="0" w:line="282" w:lineRule="auto"/>
        <w:tabs>
          <w:tab w:leader="none" w:pos="1116" w:val="left"/>
        </w:tabs>
        <w:numPr>
          <w:ilvl w:val="1"/>
          <w:numId w:val="3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80" w:lineRule="exact"/>
        <w:rPr>
          <w:rFonts w:ascii="MS PGothic" w:cs="MS PGothic" w:eastAsia="MS PGothic" w:hAnsi="MS PGothic"/>
          <w:sz w:val="18"/>
          <w:szCs w:val="18"/>
          <w:color w:val="auto"/>
        </w:rPr>
      </w:pPr>
    </w:p>
    <w:p>
      <w:pPr>
        <w:ind w:left="880" w:right="479" w:firstLine="6"/>
        <w:spacing w:after="0" w:line="282" w:lineRule="auto"/>
        <w:tabs>
          <w:tab w:leader="none" w:pos="1090" w:val="left"/>
        </w:tabs>
        <w:numPr>
          <w:ilvl w:val="1"/>
          <w:numId w:val="3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94" w:lineRule="exact"/>
        <w:rPr>
          <w:rFonts w:ascii="MS PGothic" w:cs="MS PGothic" w:eastAsia="MS PGothic" w:hAnsi="MS PGothic"/>
          <w:sz w:val="18"/>
          <w:szCs w:val="18"/>
          <w:color w:val="auto"/>
        </w:rPr>
      </w:pPr>
    </w:p>
    <w:p>
      <w:pPr>
        <w:ind w:left="840" w:hanging="386"/>
        <w:spacing w:after="0"/>
        <w:tabs>
          <w:tab w:leader="none" w:pos="8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ACCOUNTS STATUS</w:t>
      </w:r>
    </w:p>
    <w:p>
      <w:pPr>
        <w:spacing w:after="0" w:line="157" w:lineRule="exact"/>
        <w:rPr>
          <w:rFonts w:ascii="Times New Roman" w:cs="Times New Roman" w:eastAsia="Times New Roman" w:hAnsi="Times New Roman"/>
          <w:sz w:val="18"/>
          <w:szCs w:val="18"/>
          <w:color w:val="auto"/>
        </w:rPr>
      </w:pPr>
    </w:p>
    <w:p>
      <w:pPr>
        <w:ind w:left="1100" w:hanging="214"/>
        <w:spacing w:after="0"/>
        <w:tabs>
          <w:tab w:leader="none" w:pos="1100" w:val="left"/>
        </w:tabs>
        <w:numPr>
          <w:ilvl w:val="1"/>
          <w:numId w:val="3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an “institutional account” (as defined in FINRA RULE 4512(c)).</w:t>
      </w:r>
    </w:p>
    <w:p>
      <w:pPr>
        <w:spacing w:after="0" w:line="144" w:lineRule="exact"/>
        <w:rPr>
          <w:rFonts w:ascii="MS PGothic" w:cs="MS PGothic" w:eastAsia="MS PGothic" w:hAnsi="MS PGothic"/>
          <w:sz w:val="18"/>
          <w:szCs w:val="18"/>
          <w:color w:val="auto"/>
        </w:rPr>
      </w:pPr>
    </w:p>
    <w:p>
      <w:pPr>
        <w:ind w:left="840" w:hanging="386"/>
        <w:spacing w:after="0"/>
        <w:tabs>
          <w:tab w:leader="none" w:pos="8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29" w:lineRule="exact"/>
        <w:rPr>
          <w:sz w:val="20"/>
          <w:szCs w:val="20"/>
          <w:color w:val="auto"/>
        </w:rPr>
      </w:pPr>
    </w:p>
    <w:p>
      <w:pPr>
        <w:jc w:val="both"/>
        <w:ind w:left="1320" w:right="459" w:hanging="434"/>
        <w:spacing w:after="0" w:line="228" w:lineRule="exact"/>
        <w:tabs>
          <w:tab w:leader="none" w:pos="1347" w:val="left"/>
        </w:tabs>
        <w:numPr>
          <w:ilvl w:val="0"/>
          <w:numId w:val="36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88" w:lineRule="exact"/>
        <w:rPr>
          <w:rFonts w:ascii="Times New Roman" w:cs="Times New Roman" w:eastAsia="Times New Roman" w:hAnsi="Times New Roman"/>
          <w:sz w:val="18"/>
          <w:szCs w:val="18"/>
          <w:color w:val="auto"/>
        </w:rPr>
      </w:pPr>
    </w:p>
    <w:p>
      <w:pPr>
        <w:ind w:left="1300" w:hanging="414"/>
        <w:spacing w:after="0" w:line="207" w:lineRule="exact"/>
        <w:tabs>
          <w:tab w:leader="none" w:pos="1300" w:val="left"/>
        </w:tabs>
        <w:numPr>
          <w:ilvl w:val="0"/>
          <w:numId w:val="36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a natural person.</w:t>
      </w:r>
    </w:p>
    <w:p>
      <w:pPr>
        <w:spacing w:after="0" w:line="18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1" w:name="page382"/>
    <w:bookmarkEnd w:id="3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08" w:lineRule="exact"/>
        <w:rPr>
          <w:sz w:val="20"/>
          <w:szCs w:val="20"/>
          <w:color w:val="auto"/>
        </w:rPr>
      </w:pPr>
    </w:p>
    <w:p>
      <w:pPr>
        <w:ind w:left="880" w:right="459" w:firstLine="6"/>
        <w:spacing w:after="0" w:line="282" w:lineRule="auto"/>
        <w:tabs>
          <w:tab w:leader="none" w:pos="1098" w:val="left"/>
        </w:tabs>
        <w:numPr>
          <w:ilvl w:val="0"/>
          <w:numId w:val="3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94" w:lineRule="exact"/>
        <w:rPr>
          <w:rFonts w:ascii="MS PGothic" w:cs="MS PGothic" w:eastAsia="MS PGothic" w:hAnsi="MS PGothic"/>
          <w:sz w:val="18"/>
          <w:szCs w:val="18"/>
          <w:color w:val="auto"/>
        </w:rPr>
      </w:pPr>
    </w:p>
    <w:p>
      <w:pPr>
        <w:jc w:val="both"/>
        <w:ind w:left="880" w:right="459" w:firstLine="6"/>
        <w:spacing w:after="0" w:line="254" w:lineRule="auto"/>
        <w:tabs>
          <w:tab w:leader="none" w:pos="1088" w:val="left"/>
        </w:tabs>
        <w:numPr>
          <w:ilvl w:val="0"/>
          <w:numId w:val="3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 or</w:t>
      </w:r>
    </w:p>
    <w:p>
      <w:pPr>
        <w:spacing w:after="0" w:line="107" w:lineRule="exact"/>
        <w:rPr>
          <w:rFonts w:ascii="MS PGothic" w:cs="MS PGothic" w:eastAsia="MS PGothic" w:hAnsi="MS PGothic"/>
          <w:sz w:val="18"/>
          <w:szCs w:val="18"/>
          <w:color w:val="auto"/>
        </w:rPr>
      </w:pPr>
    </w:p>
    <w:p>
      <w:pPr>
        <w:jc w:val="both"/>
        <w:ind w:left="880" w:right="459" w:firstLine="6"/>
        <w:spacing w:after="0" w:line="266" w:lineRule="auto"/>
        <w:tabs>
          <w:tab w:leader="none" w:pos="1088" w:val="left"/>
        </w:tabs>
        <w:numPr>
          <w:ilvl w:val="0"/>
          <w:numId w:val="3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2" w:name="page383"/>
    <w:bookmarkEnd w:id="3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SUPPORT AGREEMENT</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PARENT SUPPORT AGREEMENT, dated as of October __,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FS Development Holdings,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each of the stockholders of Parent whose names appear on the signature pages of this Agreement (each, a “</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Capitalized terms used herein and not otherwise defined will have the meaning given such terms in the Merger Agreement (as defined below).</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WHEREAS, concurrently herewith, Parent, FSG Merger Sub, Inc., a Delaware corporation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FS Development Holdings,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Shareholder Representative Services LLC, a Colorado limited liability company, as the Stockholders’ Representative, and the Company, are entering into that certain Agreement and Plan of Merger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Parent;</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WHEREAS, as of the date hereof, each Founder owns of record the number of Parent Class A Shares and Parent Class B Shares as set forth opposite such Founder’s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(all such Parent Class A Shares and Parent Class B Shares and the Parent Class A Shares and Parent Class B Shares of which ownership of record or the power to vote is hereafter acquired by the Founders prior to the termination of this Agreement being referred to herein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WHEREAS, in order to induce Parent and the Company to enter into the Merger Agreement, the Founders are executing and delivering this Agreement to Parent and the Company.</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of the mutual covenants and agreements contained herein, and intending to be legally bound hereby, each of the Founders (severally and not jointly), the Company and Parent hereby agrees as follows:</w:t>
      </w:r>
    </w:p>
    <w:p>
      <w:pPr>
        <w:spacing w:after="0" w:line="95" w:lineRule="exact"/>
        <w:rPr>
          <w:sz w:val="20"/>
          <w:szCs w:val="20"/>
          <w:color w:val="auto"/>
        </w:rPr>
      </w:pPr>
    </w:p>
    <w:p>
      <w:pPr>
        <w:jc w:val="both"/>
        <w:ind w:left="460" w:right="459" w:firstLine="426"/>
        <w:spacing w:after="0" w:line="255" w:lineRule="auto"/>
        <w:tabs>
          <w:tab w:leader="none" w:pos="1072"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Each Founder, by this Agreement, with respect to its Shares, hereby agrees to vote, at any meeting of the stockholders of Parent, and in any action by written consent of the stockholders of Parent, all of such Founder’s Shares (a) in favor of the approval and adoption of the Merger Agreement, each of the Parent Proposals, the transactions contemplated by the Merger Agreement and this Agreement, and (b) in favor of any other matter reasonably necessary to the consummation of the transactions contemplated by the Merger Agreement, the approval of the Parent Proposals and considered and voted upon by the stockholders of Parent in connection therewith. Each Founder acknowledges receipt and review of a copy of the Merger Agreement.</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7" w:lineRule="auto"/>
        <w:tabs>
          <w:tab w:leader="none" w:pos="1072"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Each of the Founders agrees that it shall not, directly or indirectly, (a) sell, assign, transfer (including by operation of law), lien, pledge, dispose of or otherwise encumber any of the Shares or otherwise agree to do any of the foregoing (unless the transferee agrees to be bound by this Agreement),</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2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any Shares into a voting trust or enter into a voting agreement or arrangement or grant any proxy or power of attorney with respect thereto that is inconsistent with this Agreement, (c) enter into any contract, option or other arrangement or undertaking with respect to the direct or indirect acquisition or sale, assignment, transfer (including by operation of law) or other disposition of any Shares (unless the transferee agrees to be bound by this Agreement) or (d) take any action that would have the effect of preventing or disabling the Founder from performing its obligations hereunder.</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099"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Anti-Dilution Provision</w:t>
      </w:r>
      <w:r>
        <w:rPr>
          <w:rFonts w:ascii="Times New Roman" w:cs="Times New Roman" w:eastAsia="Times New Roman" w:hAnsi="Times New Roman"/>
          <w:sz w:val="18"/>
          <w:szCs w:val="18"/>
          <w:color w:val="auto"/>
        </w:rPr>
        <w:t>. Each Founder hereby (but subject to the consummation of the Merger) waives (for itself, for its successors, heirs and assigns), to the fullest extent permitted by law and the amended and restated certificate of incorporation of Parent (as may be amended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xml:space="preserve">”), the provisions of Section 4.3(b)(i) of the Certificate of Incorporation to have the Parent Class B Shares convert to Parent Class A Shares at a ratio of greater than one-for-one. The waiver specified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applicable only in connection with the transactions contemplated by the Merger Agreement and this Agreement (and any shares of Class A Common Stock or equity-linked securities issued in connection with the transactions contemplated by the Merger Agreement and this Agreement) and shall be void and of no force and effect if the Merger Agreement shall be terminated for any reason.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3" w:name="page384"/>
    <w:bookmarkEnd w:id="3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6" w:lineRule="auto"/>
        <w:tabs>
          <w:tab w:leader="none" w:pos="111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Unpaid Parent Liabilities</w:t>
      </w:r>
      <w:r>
        <w:rPr>
          <w:rFonts w:ascii="Times New Roman" w:cs="Times New Roman" w:eastAsia="Times New Roman" w:hAnsi="Times New Roman"/>
          <w:sz w:val="18"/>
          <w:szCs w:val="18"/>
          <w:color w:val="auto"/>
        </w:rPr>
        <w:t>. Sponsor agrees that in the event the Unpaid Parent Liabilities as of immediately prior to the Closing are greater than the $11,500,000 (the “</w:t>
      </w:r>
      <w:r>
        <w:rPr>
          <w:rFonts w:ascii="Times New Roman" w:cs="Times New Roman" w:eastAsia="Times New Roman" w:hAnsi="Times New Roman"/>
          <w:sz w:val="18"/>
          <w:szCs w:val="18"/>
          <w:u w:val="single" w:color="auto"/>
          <w:color w:val="auto"/>
        </w:rPr>
        <w:t>Maximum Liability Amount</w:t>
      </w:r>
      <w:r>
        <w:rPr>
          <w:rFonts w:ascii="Times New Roman" w:cs="Times New Roman" w:eastAsia="Times New Roman" w:hAnsi="Times New Roman"/>
          <w:sz w:val="18"/>
          <w:szCs w:val="18"/>
          <w:color w:val="auto"/>
        </w:rPr>
        <w:t>”), Sponsor will either (a) forfeit for cancellation such number of whole Parent Class B Shares equal in value to the excess of the Maximum Liability Amount divided by $10.00 or (b) pay to Parent at the Closing an amount equal to the difference between the Unpaid Parent Liabilities as of immediately prior to the Closing minus the Maximum Liability Amount.</w:t>
      </w:r>
    </w:p>
    <w:p>
      <w:pPr>
        <w:spacing w:after="0" w:line="119"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7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Founder, severally and not jointly, represents and warrants to the Company as follows: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35"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Founder of this Agreement and the consummation by such Founder of the transactions contemplated hereby do not and will not (i) conflict with or violate any Law or Order applicable to such Founder, (ii) require any consent, approval or authorization of, declaration, filing or registration with, or notice to, any person or entity, (iii) result in the creation of any Lien on any Shares (other than pursuant to this Agreement or transfer restrictions under applicable securities laws or certificate of incorporation or operating agreement, if any (the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of such Founder) or (iv) conflict with or result in a breach of or constitute a default under any provision of such Founder’s Organizational Documents</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7"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Founder owns of record and has good, valid and marketable title to the Shares set forth opposite the Founder’s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free and clear of any Lien (other than pursuant to this Agreement or transfer restrictions under applicable securities laws or the Organizational Documents of such Founder) and has the sole power (as currently in effect) to vote and full right, power and authority to sell, transfer and deliver such Shares, and such Founder does not own, directly or indirectly, any other Shares.</w:t>
      </w:r>
    </w:p>
    <w:p>
      <w:pPr>
        <w:spacing w:after="0" w:line="115"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15"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Founder has the power, authority and capacity to execute, deliver and perform this Agreement and that this Agreement has been duly authorized, executed and delivered by such Founder.</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099"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the obligations of Sponsor and each of the Founders under this Agreement shall automatically terminate upon the earliest of: (a) the Effective Time; (b) the termination of the Merger Agreement in accordance with its terms; and (c) the mutual agreement of the Company and Sponsor.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106"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14"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or in the Merger Agreement, all costs and expenses incurred in connection with this Agreement and the transactions contemplated hereby shall be paid by the party incurring such costs and expenses, whether or not the transactions contemplated hereby are consummated.</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claims, demands and other communications hereunder shall be in writing and shall be given (and shall be deemed to have been duly given upon receipt) by delivery in person, by telecopy or e-mail or by registered or certified mail (postage prepaid, return receipt requested)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4" w:name="page385"/>
    <w:bookmarkEnd w:id="3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Mitchell S. Bloom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Laurie A. Burlingame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132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mbloom@goodwinlaw.com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lburlingame@goodwinlaw.com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if to Parent or Merger Sub:</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jim@foresitecapital.com</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White&amp; Case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26" w:lineRule="exact"/>
        <w:rPr>
          <w:sz w:val="20"/>
          <w:szCs w:val="20"/>
          <w:color w:val="auto"/>
        </w:rPr>
      </w:pPr>
    </w:p>
    <w:p>
      <w:pPr>
        <w:ind w:left="1320" w:right="459"/>
        <w:spacing w:after="0" w:line="282" w:lineRule="auto"/>
        <w:rPr>
          <w:sz w:val="20"/>
          <w:szCs w:val="20"/>
          <w:color w:val="auto"/>
        </w:rPr>
      </w:pPr>
      <w:r>
        <w:rPr>
          <w:rFonts w:ascii="Times New Roman" w:cs="Times New Roman" w:eastAsia="Times New Roman" w:hAnsi="Times New Roman"/>
          <w:sz w:val="18"/>
          <w:szCs w:val="18"/>
          <w:color w:val="auto"/>
        </w:rPr>
        <w:t>if to a Founder, to the address or facsimile number set forth for Founder on the signature page hereof.</w:t>
      </w:r>
    </w:p>
    <w:p>
      <w:pPr>
        <w:spacing w:after="0" w:line="94" w:lineRule="exact"/>
        <w:rPr>
          <w:sz w:val="20"/>
          <w:szCs w:val="20"/>
          <w:color w:val="auto"/>
        </w:rPr>
      </w:pPr>
    </w:p>
    <w:p>
      <w:pPr>
        <w:jc w:val="both"/>
        <w:ind w:left="460" w:right="479" w:firstLine="858"/>
        <w:spacing w:after="0" w:line="254" w:lineRule="auto"/>
        <w:tabs>
          <w:tab w:leader="none" w:pos="1569"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0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Merger Agreement and the Additional Agreements constitute the entire agreement among the parties with respect to the subject matter hereof and supersede all prior agreements and undertakings, both written and oral, among the parties, or any of them, with respect to the subject matter hereof. This Agreement shall not be assigned (whether pursuant to a merger, by operation of law or otherwise).</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1"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No Founder shall be liable for the breach by any other Founder of this Agreement.</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68"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may occur in the event any provision of this Agreement was not performed in accordance with the terms hereof and that the parties shall be entitled to seek specific performance of the terms hereof, in addition to any other remedy at law or in equity.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1"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applicable to contracts executed in and to be performed in that State. All Actions arising out of or relating to this Agreement shall be 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5" w:name="page386"/>
    <w:bookmarkEnd w:id="3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16" w:lineRule="exact"/>
        <w:rPr>
          <w:sz w:val="20"/>
          <w:szCs w:val="20"/>
          <w:color w:val="auto"/>
        </w:rPr>
      </w:pPr>
    </w:p>
    <w:p>
      <w:pPr>
        <w:jc w:val="both"/>
        <w:ind w:left="460" w:right="459" w:firstLine="858"/>
        <w:spacing w:after="0" w:line="261" w:lineRule="auto"/>
        <w:tabs>
          <w:tab w:leader="none" w:pos="1597"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and delivered (including by facsimile or portable document format (pdf) transmission) in one or more counterparts, and by the different parties hereto in separate counterparts, each of which when executed shall be deemed to be an original but all of which taken together shall constitute one and the same agreement.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59"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further consideration, each party shall use commercially reasonable efforts to execute and deliver or cause to be executed and delivered such additional documents and instruments and take all such further action as may be reasonably necessary or desirable to consummate the transactions contemplated by this Agreement.</w:t>
      </w:r>
    </w:p>
    <w:p>
      <w:pPr>
        <w:spacing w:after="0" w:line="9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58"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be effective or binding upon the Company, Sponsor or any Founder until such time as the Merger Agreement is executed.</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55" w:lineRule="auto"/>
        <w:tabs>
          <w:tab w:leader="none" w:pos="159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Paragraph (k).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6" w:name="page387"/>
    <w:bookmarkEnd w:id="3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225425</wp:posOffset>
            </wp:positionV>
            <wp:extent cx="263144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3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225425</wp:posOffset>
            </wp:positionV>
            <wp:extent cx="263144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3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225425</wp:posOffset>
            </wp:positionV>
            <wp:extent cx="263144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Parent Support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7" w:name="page388"/>
    <w:bookmarkEnd w:id="3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FOUNDERS: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Title:</w:t>
      </w:r>
    </w:p>
    <w:p>
      <w:pPr>
        <w:spacing w:after="0" w:line="77"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color w:val="auto"/>
        </w:rPr>
        <w:t>Address: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Robert Carey</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color w:val="auto"/>
        </w:rPr>
        <w:t>Address: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Daniel Dubin</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Address: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Deepa Pakianathan</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Address: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Parent Support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8" w:name="page389"/>
    <w:bookmarkEnd w:id="3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FOUNDERS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40" w:type="dxa"/>
            <w:vAlign w:val="bottom"/>
          </w:tcPr>
          <w:p>
            <w:pPr>
              <w:spacing w:after="0"/>
              <w:rPr>
                <w:sz w:val="17"/>
                <w:szCs w:val="17"/>
                <w:color w:val="auto"/>
              </w:rPr>
            </w:pPr>
          </w:p>
        </w:tc>
      </w:t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Class A    Parent Class B</w:t>
            </w:r>
          </w:p>
        </w:tc>
      </w:t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r>
      <w:tr>
        <w:trPr>
          <w:trHeight w:val="212"/>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Founder</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r>
      <w:tr>
        <w:trPr>
          <w:trHeight w:val="46"/>
        </w:trPr>
        <w:tc>
          <w:tcPr>
            <w:tcW w:w="5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Holdings, LLC</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441,500</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2,928,750</w:t>
            </w:r>
          </w:p>
        </w:tc>
      </w:tr>
      <w:tr>
        <w:trPr>
          <w:trHeight w:val="24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41"/>
        </w:trPr>
        <w:tc>
          <w:tcPr>
            <w:tcW w:w="5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Dubin</w:t>
            </w: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4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 Pakianathan</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9" w:name="page390"/>
    <w:bookmarkEnd w:id="3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VOTING AGREEMENT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VOTING AGREEMENT dated as of [•],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FS Development Holdings, LLC, a Delaware limited liability company (“</w:t>
      </w:r>
      <w:r>
        <w:rPr>
          <w:rFonts w:ascii="Times New Roman" w:cs="Times New Roman" w:eastAsia="Times New Roman" w:hAnsi="Times New Roman"/>
          <w:sz w:val="18"/>
          <w:szCs w:val="18"/>
          <w:u w:val="single" w:color="auto"/>
          <w:color w:val="auto"/>
        </w:rPr>
        <w:t>FS Sponsor</w:t>
      </w:r>
      <w:r>
        <w:rPr>
          <w:rFonts w:ascii="Times New Roman" w:cs="Times New Roman" w:eastAsia="Times New Roman" w:hAnsi="Times New Roman"/>
          <w:sz w:val="18"/>
          <w:szCs w:val="18"/>
          <w:color w:val="auto"/>
        </w:rPr>
        <w:t>”), Gemini Therapeutics, Inc., a Delaware corporation formerly known as FS Development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individuals and entities executing a counterpart signature page to this Agreement (each, a “</w:t>
      </w:r>
      <w:r>
        <w:rPr>
          <w:rFonts w:ascii="Times New Roman" w:cs="Times New Roman" w:eastAsia="Times New Roman" w:hAnsi="Times New Roman"/>
          <w:sz w:val="18"/>
          <w:szCs w:val="18"/>
          <w:u w:val="single" w:color="auto"/>
          <w:color w:val="auto"/>
        </w:rPr>
        <w:t>Voting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Voting 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WHEREAS, reference is made to that certain Agreement and Plan of Merger, dated as of October [•], 2020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Parent,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FS Development Holdings, LLC, a Delaware limited liability company, Shareholder Representative Services LLC, a Colorado limited liability company, as the Stockholders’ Representative, and Gemini Therapeutics, Inc., a Delaware corporation (the “</w:t>
      </w:r>
      <w:r>
        <w:rPr>
          <w:rFonts w:ascii="Times New Roman" w:cs="Times New Roman" w:eastAsia="Times New Roman" w:hAnsi="Times New Roman"/>
          <w:sz w:val="18"/>
          <w:szCs w:val="18"/>
          <w:u w:val="single" w:color="auto"/>
          <w:color w:val="auto"/>
        </w:rPr>
        <w:t>Gemini</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WHEREAS, all capitalized terms used, but not otherwise defined herein, shall have the meanings ascribed to such terms in the Merger Agreement;</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WHEREAS, pursuant to the Merger Agreement and simultaneously with the execution and delivery of this Agreement, Merger Sub is being merged with and into Gemini, with Gemini being the Surviving Corporation, as a result of which Gemini will be the wholly-owned subsidiary of the Company; and</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WHEREAS, the execution and delivery of this Agreement is a condition to the closing of the Merger and the other transactions contemplated by the Merger Agreement.</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NOW, THEREFORE, for and in consideration of the mutual covenants and agreements set forth herein, and other good and valuable consideration, the receipt and sufficiency of which are hereby acknowledged, FS Sponsor, the Company and each Voting Party intending to be legally bound,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58" w:lineRule="exact"/>
        <w:rPr>
          <w:sz w:val="20"/>
          <w:szCs w:val="20"/>
          <w:color w:val="auto"/>
        </w:rPr>
      </w:pPr>
    </w:p>
    <w:p>
      <w:pPr>
        <w:jc w:val="both"/>
        <w:ind w:left="460" w:right="479" w:firstLine="426"/>
        <w:spacing w:after="0" w:line="262" w:lineRule="auto"/>
        <w:tabs>
          <w:tab w:leader="none" w:pos="108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 to Vote</w:t>
      </w:r>
      <w:r>
        <w:rPr>
          <w:rFonts w:ascii="Times New Roman" w:cs="Times New Roman" w:eastAsia="Times New Roman" w:hAnsi="Times New Roman"/>
          <w:sz w:val="18"/>
          <w:szCs w:val="18"/>
          <w:color w:val="auto"/>
        </w:rPr>
        <w:t>. During the Term (as defined below), each Voting Party agrees to vote all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the Company that it owns from time to time and may vote in the election of the Company’s directors (collectively, “</w:t>
      </w:r>
      <w:r>
        <w:rPr>
          <w:rFonts w:ascii="Times New Roman" w:cs="Times New Roman" w:eastAsia="Times New Roman" w:hAnsi="Times New Roman"/>
          <w:sz w:val="18"/>
          <w:szCs w:val="18"/>
          <w:u w:val="single" w:color="auto"/>
          <w:color w:val="auto"/>
        </w:rPr>
        <w:t>Voting Shares</w:t>
      </w:r>
      <w:r>
        <w:rPr>
          <w:rFonts w:ascii="Times New Roman" w:cs="Times New Roman" w:eastAsia="Times New Roman" w:hAnsi="Times New Roman"/>
          <w:sz w:val="18"/>
          <w:szCs w:val="18"/>
          <w:color w:val="auto"/>
        </w:rPr>
        <w:t>”) in accordance with the provisions of this Agreement, whether at a regular or special meeting of stockholders or by written consent.</w:t>
      </w:r>
    </w:p>
    <w:p>
      <w:pPr>
        <w:spacing w:after="0" w:line="108"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2.1 Immediately following the consummation of the Merger, or as soon as practicable thereafter, the Company board of directors (the “Board”) will be comprised of seven (7) directors, which shall be divided into three (3) classes, designated Class I, II and III, with Class I consisting of [•] Directors, Class II consisting of [•] Directors and Class III consisting of [•] Directors. [•], [•], [•] and [•] shall constitute the initial members of Class I and shall be nominated in Class I, the members of which shall have an initial term that expires at the annual meeting of stockholders of the Company held in 2021; [•], [•] and [•] shall constitute the initial members of Class II and shall be nominated in Class II, the members of which shall have an initial term that expires at the annual meeting of stockholders of the Company held in 2022; and [•], [•] and [•] shall constitute the initial members of Class III and shall be nominated in Class III, the members of which shall have an initial term that expires at the annual meeting of stockholders held in 2023.</w:t>
      </w:r>
    </w:p>
    <w:p>
      <w:pPr>
        <w:spacing w:after="0" w:line="12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full seven (7) member Board will be comprised of Jason Meyenberg, Jim Tananbaum, Carl Gordon and four (4) other rmembers of the Gemini board of directors.</w:t>
      </w:r>
    </w:p>
    <w:p>
      <w:pPr>
        <w:spacing w:after="0" w:line="94" w:lineRule="exact"/>
        <w:rPr>
          <w:sz w:val="20"/>
          <w:szCs w:val="20"/>
          <w:color w:val="auto"/>
        </w:rPr>
      </w:pPr>
    </w:p>
    <w:p>
      <w:pPr>
        <w:jc w:val="both"/>
        <w:ind w:left="460" w:right="459" w:firstLine="864"/>
        <w:spacing w:after="0" w:line="251" w:lineRule="auto"/>
        <w:rPr>
          <w:sz w:val="20"/>
          <w:szCs w:val="20"/>
          <w:color w:val="auto"/>
        </w:rPr>
      </w:pPr>
      <w:r>
        <w:rPr>
          <w:rFonts w:ascii="Times New Roman" w:cs="Times New Roman" w:eastAsia="Times New Roman" w:hAnsi="Times New Roman"/>
          <w:sz w:val="18"/>
          <w:szCs w:val="18"/>
          <w:color w:val="auto"/>
        </w:rPr>
        <w:t>2.2 Until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anniversary of the date of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at each annual or special meeting of stockholders of the Company, FS Sponsor shall have the right to designate for election as a member of the Board, and the Board (including any committee thereof) shall nominate (and recommend for election and include such recommendation in a timely manner in any proxy statement, consent solicitation or other applicable announcement to the Company’s stockholders), one (1) individual to serve as a Class III Director; provided, however, if at any time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0" w:name="page391"/>
    <w:bookmarkEnd w:id="3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during such five-year period the FS Sponsor owns less than [•] shares of Class A Common Stock of the Company (as adjusted for any share split, share dividend or other share recapitalization, share exchange or other event), the rights of the FS Sponsor and obligations of the Board under this Section 2.2 shall automatically terminate.</w:t>
      </w:r>
    </w:p>
    <w:p>
      <w:pPr>
        <w:spacing w:after="0" w:line="112"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 xml:space="preserve">2.3 Provisions relating to authority to appoint four (4) of the Gemini directors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be determined by Gemini’s current board of directors at its sole discretion.</w:t>
      </w:r>
    </w:p>
    <w:p>
      <w:pPr>
        <w:spacing w:after="0" w:line="94"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2.4 If FS Sponsor or [•] cease to be entitled to nominate any Directors in accordance with Section 2.2 or Section 2.3, then such Directors shall be nominated by the Board and approved by the holders of the outstanding shares of Common Stock. All Directors shall hold office, subject to their earlier death, resignation or removal in accordance with this Agreement and applicable law, until their respective successors shall have been elected and qualified.</w:t>
      </w:r>
    </w:p>
    <w:p>
      <w:pPr>
        <w:spacing w:after="0" w:line="102"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2.5 All Directors elected in accordance with Section 2.2 or Section 2.3, as applicable, shall be removed from the Board only upon the vote or written consent of the Voting Party that is entitled to nominate, appoint or elect such Director under Section 2.2 or Section 2.3, as applicable. Upon any decrease in the rights of any such Voting Party to nominate, appoint or elect any Director pursuant to Section 2.2 or Section 2.3, as applicable, the applicable Voting Party shall promptly cause the removal or resignation of an applicable number of Directors if requested by the Board. Upon any individual elected as provided in Section 2.2 or Section 2.3, as applicable, ceasing to be a member of the Board, whether by death, resignation or removal or otherwise, only the Voting Party that was entitled to nominate, appoint or elect such individual under Section 2.2 or Section 2.3, as applicable, shall have the right to fill any resulting vacancy in the Board; provided that such Voting Party still has the right to nominate, appoint or elect the applicable Director pursuant to Section 2.2 or Section 2.3, as applicable. If the Company has reduced the size of the Board following such death, resignation or removal or other departure of such individual from the Board, then if requested by any Voting Party entitled to designate a Director pursuant to Section 2.2 or Section 2.3, as applicable, who is not currently serving on the Board, the Company and the Voting Party shall take all actions necessary to increase the size of the Board and nominate, appoint or elect to the resulting vacancy the applicable Director entitled to be designated by such Voting Party pursuant to Section 2.2 or Section 2.3, as applicable.</w:t>
      </w:r>
    </w:p>
    <w:p>
      <w:pPr>
        <w:spacing w:after="0" w:line="123" w:lineRule="exact"/>
        <w:rPr>
          <w:sz w:val="20"/>
          <w:szCs w:val="20"/>
          <w:color w:val="auto"/>
        </w:rPr>
      </w:pPr>
    </w:p>
    <w:p>
      <w:pPr>
        <w:jc w:val="both"/>
        <w:ind w:left="460" w:right="479" w:firstLine="426"/>
        <w:spacing w:after="0" w:line="262" w:lineRule="auto"/>
        <w:tabs>
          <w:tab w:leader="none" w:pos="108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in Interest of the Voting Parties and the Company</w:t>
      </w:r>
      <w:r>
        <w:rPr>
          <w:rFonts w:ascii="Times New Roman" w:cs="Times New Roman" w:eastAsia="Times New Roman" w:hAnsi="Times New Roman"/>
          <w:sz w:val="18"/>
          <w:szCs w:val="18"/>
          <w:color w:val="auto"/>
        </w:rPr>
        <w:t>. The provisions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binding upon the successors in interest of any Voting Party with respect to any of such Voting Party’s Voting Shares or any voting rights therein, unless the Voting Shares are sold on a national securities exchange on which the Company common stock is listed for trading on the date in question (the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2" w:lineRule="auto"/>
        <w:tabs>
          <w:tab w:leader="none" w:pos="108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Proxy</w:t>
      </w:r>
      <w:r>
        <w:rPr>
          <w:rFonts w:ascii="Times New Roman" w:cs="Times New Roman" w:eastAsia="Times New Roman" w:hAnsi="Times New Roman"/>
          <w:sz w:val="18"/>
          <w:szCs w:val="18"/>
          <w:color w:val="auto"/>
        </w:rPr>
        <w:t>. The parties agree that this Agreement does not constitute the granting of a proxy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party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should the provisions of this Agreement be construed to constitute the granting of proxies, such proxies shall be deemed coupled with an interest and are irrevocable for the term of this Agreement.</w:t>
      </w:r>
    </w:p>
    <w:p>
      <w:pPr>
        <w:spacing w:after="0" w:line="95"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08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Specific Enforcement</w:t>
      </w:r>
      <w:r>
        <w:rPr>
          <w:rFonts w:ascii="Times New Roman" w:cs="Times New Roman" w:eastAsia="Times New Roman" w:hAnsi="Times New Roman"/>
          <w:sz w:val="18"/>
          <w:szCs w:val="18"/>
          <w:color w:val="auto"/>
        </w:rPr>
        <w:t>. It is agreed and understood that (a) monetary damages would not adequately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compensate an injured party for the breach of this Agreement by any party hereto, (b) this Agreement shall be specifically enforceable and (c) any breach of this Agreement shall be the proper subject of a temporary or permanent injunction or restraining order. Further, each party hereto waives any claim or defence that there is an adequate remedy at law for such breach or threatened breach and agrees that a party’s rights would be materially and adversely affected if the obligations of the other parties under this Agreement were not carried out in accordance with the terms and conditions hereof.</w:t>
      </w:r>
    </w:p>
    <w:p>
      <w:pPr>
        <w:spacing w:after="0" w:line="115" w:lineRule="exact"/>
        <w:rPr>
          <w:rFonts w:ascii="Times New Roman" w:cs="Times New Roman" w:eastAsia="Times New Roman" w:hAnsi="Times New Roman"/>
          <w:sz w:val="18"/>
          <w:szCs w:val="18"/>
          <w:color w:val="auto"/>
        </w:rPr>
      </w:pPr>
    </w:p>
    <w:p>
      <w:pPr>
        <w:ind w:left="460" w:right="479" w:firstLine="426"/>
        <w:spacing w:after="0" w:line="286" w:lineRule="auto"/>
        <w:tabs>
          <w:tab w:leader="none" w:pos="108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Manner of Voting</w:t>
      </w:r>
      <w:r>
        <w:rPr>
          <w:rFonts w:ascii="Times New Roman" w:cs="Times New Roman" w:eastAsia="Times New Roman" w:hAnsi="Times New Roman"/>
          <w:sz w:val="18"/>
          <w:szCs w:val="18"/>
          <w:color w:val="auto"/>
        </w:rPr>
        <w:t>. The voting of the Voting Shares pursuant to this Agreement may be effected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by proxy, by written consent or in any other manner permitted by applicable law.</w:t>
      </w:r>
    </w:p>
    <w:p>
      <w:pPr>
        <w:spacing w:after="0" w:line="87"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This Agreement shall terminate on the last day of the Term.</w:t>
      </w:r>
    </w:p>
    <w:p>
      <w:pPr>
        <w:spacing w:after="0" w:line="144" w:lineRule="exact"/>
        <w:rPr>
          <w:rFonts w:ascii="Times New Roman" w:cs="Times New Roman" w:eastAsia="Times New Roman" w:hAnsi="Times New Roman"/>
          <w:sz w:val="18"/>
          <w:szCs w:val="18"/>
          <w:color w:val="auto"/>
        </w:rPr>
      </w:pPr>
    </w:p>
    <w:p>
      <w:pPr>
        <w:jc w:val="both"/>
        <w:ind w:left="460" w:right="479" w:firstLine="426"/>
        <w:spacing w:after="0" w:line="268" w:lineRule="auto"/>
        <w:tabs>
          <w:tab w:leader="none" w:pos="108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and Waivers</w:t>
      </w:r>
      <w:r>
        <w:rPr>
          <w:rFonts w:ascii="Times New Roman" w:cs="Times New Roman" w:eastAsia="Times New Roman" w:hAnsi="Times New Roman"/>
          <w:sz w:val="18"/>
          <w:szCs w:val="18"/>
          <w:color w:val="auto"/>
        </w:rPr>
        <w:t>. Except as otherwise provided herein, any provision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amended, or the observance thereof may be waived (either generally or in a particular instance and either retroactively or prospectively) only with the written consent of the Company, FS Sponsor and [•].</w:t>
      </w:r>
    </w:p>
    <w:p>
      <w:pPr>
        <w:spacing w:after="0" w:line="103" w:lineRule="exact"/>
        <w:rPr>
          <w:rFonts w:ascii="Times New Roman" w:cs="Times New Roman" w:eastAsia="Times New Roman" w:hAnsi="Times New Roman"/>
          <w:sz w:val="18"/>
          <w:szCs w:val="18"/>
          <w:color w:val="auto"/>
        </w:rPr>
      </w:pPr>
    </w:p>
    <w:p>
      <w:pPr>
        <w:jc w:val="both"/>
        <w:ind w:left="460" w:right="459" w:firstLine="426"/>
        <w:spacing w:after="0" w:line="268" w:lineRule="auto"/>
        <w:tabs>
          <w:tab w:leader="none" w:pos="108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Splits, Stock Dividends, etc</w:t>
      </w:r>
      <w:r>
        <w:rPr>
          <w:rFonts w:ascii="Times New Roman" w:cs="Times New Roman" w:eastAsia="Times New Roman" w:hAnsi="Times New Roman"/>
          <w:sz w:val="18"/>
          <w:szCs w:val="18"/>
          <w:color w:val="auto"/>
        </w:rPr>
        <w:t>. In the event of any stock split, stock dividend, recapitalization,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reorganization or the like, any securities issued with respect to Voting Shares held by the Voting Parties shall become Voting Shares for purposes of this Agreement.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1" w:name="page392"/>
    <w:bookmarkEnd w:id="3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26"/>
        <w:spacing w:after="0" w:line="268" w:lineRule="auto"/>
        <w:tabs>
          <w:tab w:leader="none" w:pos="122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In the event that any provision of the Agreement shall be invalid, illegal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the validity, legality and enforceability of the remaining provisions shall not in any way be affected or impaired thereby.</w:t>
      </w:r>
    </w:p>
    <w:p>
      <w:pPr>
        <w:spacing w:after="0" w:line="103" w:lineRule="exact"/>
        <w:rPr>
          <w:rFonts w:ascii="Times New Roman" w:cs="Times New Roman" w:eastAsia="Times New Roman" w:hAnsi="Times New Roman"/>
          <w:sz w:val="18"/>
          <w:szCs w:val="18"/>
          <w:color w:val="auto"/>
        </w:rPr>
      </w:pPr>
    </w:p>
    <w:p>
      <w:pPr>
        <w:jc w:val="both"/>
        <w:ind w:left="460" w:right="479" w:firstLine="426"/>
        <w:spacing w:after="0" w:line="268" w:lineRule="auto"/>
        <w:tabs>
          <w:tab w:leader="none" w:pos="116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and the legal relations between the parties arising hereunder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governed by and interpreted in accordance with the laws of the State of Delaware without reference to its conflicts of law provisions.</w:t>
      </w:r>
    </w:p>
    <w:p>
      <w:pPr>
        <w:spacing w:after="0" w:line="103" w:lineRule="exact"/>
        <w:rPr>
          <w:rFonts w:ascii="Times New Roman" w:cs="Times New Roman" w:eastAsia="Times New Roman" w:hAnsi="Times New Roman"/>
          <w:sz w:val="18"/>
          <w:szCs w:val="18"/>
          <w:color w:val="auto"/>
        </w:rPr>
      </w:pPr>
    </w:p>
    <w:p>
      <w:pPr>
        <w:jc w:val="both"/>
        <w:ind w:left="460" w:right="459" w:firstLine="426"/>
        <w:spacing w:after="0" w:line="259" w:lineRule="auto"/>
        <w:tabs>
          <w:tab w:leader="none" w:pos="1162"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 Electronic Execution or Delivery</w:t>
      </w:r>
      <w:r>
        <w:rPr>
          <w:rFonts w:ascii="Times New Roman" w:cs="Times New Roman" w:eastAsia="Times New Roman" w:hAnsi="Times New Roman"/>
          <w:sz w:val="18"/>
          <w:szCs w:val="18"/>
          <w:color w:val="auto"/>
        </w:rPr>
        <w:t>. This Agreement may be executed in two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shall be deemed an original and all of which together shall constitute one instrument. This Agreement may be executed electronically; any executed counterpart of this Agreement may be delivered by facsimile or electronic mail; and any such electronically executed or delivered copy of a counterpart signature page shall have the same force and effect as an originally executed copy hereof.</w:t>
      </w:r>
    </w:p>
    <w:p>
      <w:pPr>
        <w:spacing w:after="0" w:line="98" w:lineRule="exact"/>
        <w:rPr>
          <w:rFonts w:ascii="Times New Roman" w:cs="Times New Roman" w:eastAsia="Times New Roman" w:hAnsi="Times New Roman"/>
          <w:sz w:val="18"/>
          <w:szCs w:val="18"/>
          <w:color w:val="auto"/>
        </w:rPr>
      </w:pPr>
    </w:p>
    <w:p>
      <w:pPr>
        <w:ind w:left="460" w:right="479" w:firstLine="426"/>
        <w:spacing w:after="0" w:line="286" w:lineRule="auto"/>
        <w:tabs>
          <w:tab w:leader="none" w:pos="117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Except as otherwise expressly provided in this Agreement,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shall inure to the benefit of, and be binding upon, the successors and assigns of the parties hereto.</w:t>
      </w:r>
    </w:p>
    <w:p>
      <w:pPr>
        <w:spacing w:after="0" w:line="87" w:lineRule="exact"/>
        <w:rPr>
          <w:rFonts w:ascii="Times New Roman" w:cs="Times New Roman" w:eastAsia="Times New Roman" w:hAnsi="Times New Roman"/>
          <w:sz w:val="18"/>
          <w:szCs w:val="18"/>
          <w:color w:val="auto"/>
        </w:rPr>
      </w:pPr>
    </w:p>
    <w:p>
      <w:pPr>
        <w:jc w:val="both"/>
        <w:ind w:left="460" w:right="459" w:firstLine="426"/>
        <w:spacing w:after="0" w:line="262" w:lineRule="auto"/>
        <w:tabs>
          <w:tab w:leader="none" w:pos="118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constitutes the full and entire understanding and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parties, and supersedes any prior agreement or understanding among the parties, with regard to the subject hereof, and no party shall be liable or bound to any other party in any manner by any warranties, representations or covenants except as specifically set forth herein or therein.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2" w:name="page393"/>
    <w:bookmarkEnd w:id="3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this Voting Agreement is hereby executed effective as of the date first set forth above.</w:t>
      </w:r>
    </w:p>
    <w:p>
      <w:pPr>
        <w:spacing w:after="0" w:line="16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FS Development Holdings,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51435</wp:posOffset>
            </wp:positionV>
            <wp:extent cx="236601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18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 Delaware corporation f/k/a FS Development Corp.</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51435</wp:posOffset>
            </wp:positionV>
            <wp:extent cx="236601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3" w:name="page394"/>
    <w:bookmarkEnd w:id="3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VOTING PARTIES:</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VENTURES,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SINGAPORE,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4" w:name="page395"/>
    <w:bookmarkEnd w:id="3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Capital GP VI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Advisors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Managing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ATLAS VENTURE FUND X,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Atlas Venture Associates X, L.P.</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Atlas Venture Associates X,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WU CAPITAL INVESTMENT LLC</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Wu Capital Investment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Director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5" w:name="page396"/>
    <w:bookmarkEnd w:id="3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ESCROW AGREEMENT</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THIS ESCROW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 2020,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FS Development Holdings, LLC, a Delaware limited liability company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FS Development Corp.,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Shareholder Representative Services LLC, a Colorado limited liability company solely in its capacity as the representative of the Company Securityholders (the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solely in its capacity as the representative, agent and attorney-in-fact of the stockholders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Continental Stock Transfer &amp; Trust Company, a New York corporation (the “</w:t>
      </w:r>
      <w:r>
        <w:rPr>
          <w:rFonts w:ascii="Times New Roman" w:cs="Times New Roman" w:eastAsia="Times New Roman" w:hAnsi="Times New Roman"/>
          <w:sz w:val="18"/>
          <w:szCs w:val="18"/>
          <w:b w:val="1"/>
          <w:bCs w:val="1"/>
          <w:color w:val="auto"/>
        </w:rPr>
        <w:t>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Parent, FSG Merger Sub Inc., a Delaware corporation and a wholly-owned subsidiary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Gemini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Stockholder Representative entered into an Agreement and Plan of Merger, dated October [•], 2020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providing for, among other things, the merger of Merger Sub with and into the Company and the conversion of shares of Company Capital Stock (other than the Dissenting Shares) into the right to receive a number of Parent Class A Shares equal to the Closing Consideration Conversion Ratio in accordance with the terms set forth in the Merger Agreement; and</w:t>
      </w:r>
    </w:p>
    <w:p>
      <w:pPr>
        <w:spacing w:after="0" w:line="102"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4.1(i) of the Merger Agreement, Parent is required to deposit 2,150,000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Class A Shares, par value $0.0001 per share (the “</w:t>
      </w: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 which Escrow Shares would otherwise be issuable to the Escrow Participants (as defined in the Merger Agreement), with the Escrow Agent on the date hereof in connection with the indemnification obligations of the Escrow Participants as contemplated by the Merger Agreement; and</w:t>
      </w:r>
    </w:p>
    <w:p>
      <w:pPr>
        <w:spacing w:after="0" w:line="11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and of the mutual covenants hereinafter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agree as follows:</w:t>
      </w:r>
    </w:p>
    <w:p>
      <w:pPr>
        <w:spacing w:after="0" w:line="87" w:lineRule="exact"/>
        <w:rPr>
          <w:sz w:val="20"/>
          <w:szCs w:val="20"/>
          <w:color w:val="auto"/>
        </w:rPr>
      </w:pPr>
    </w:p>
    <w:p>
      <w:pPr>
        <w:ind w:left="1060" w:hanging="174"/>
        <w:spacing w:after="0"/>
        <w:tabs>
          <w:tab w:leader="none" w:pos="10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Appointment; Defined Terms</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98"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and the Stockholder Representative hereby appoint the Escrow Agent as its escrow agent for the purposes set forth herein, and the Escrow Agent hereby accepts such appointment under the terms and conditions set forth herein.</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06"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with respect to the Escrow Agent shall be defined herein. The Escrow Agent shall act only in accordance with the terms and conditions contained in this Agreement and shall have no duties or obligations with respect to the Merger Agreement.</w:t>
      </w:r>
    </w:p>
    <w:p>
      <w:pPr>
        <w:spacing w:after="0" w:line="104"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99"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agrees to deposit the Escrow Shares with the Escrow Agent on the date hereof. The Escrow Agent shall hold the Escrow Shares as a book-entry position registered on a pro rata basis in the proportion set forth next to the name of each stockholder of the Company as indicated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04"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20" w:right="459" w:firstLine="1078"/>
        <w:spacing w:after="0" w:line="258" w:lineRule="auto"/>
        <w:tabs>
          <w:tab w:leader="none" w:pos="2628"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Escrow Shares are held by the Escrow Agent, with respect to any matter for which the Escrow Shares are permitted to vote, the Escrow Agent shall vote, or cause to be voted, the Escrow Shares in the manner directed by the Stockholder Representative. In the absence of an instruction from the Stockholder Representative, the Escrow Agent shall not vote any of the shares comprising the Escrow Shares.</w:t>
      </w:r>
    </w:p>
    <w:p>
      <w:pPr>
        <w:spacing w:after="0" w:line="102" w:lineRule="exact"/>
        <w:rPr>
          <w:rFonts w:ascii="Times New Roman" w:cs="Times New Roman" w:eastAsia="Times New Roman" w:hAnsi="Times New Roman"/>
          <w:sz w:val="18"/>
          <w:szCs w:val="18"/>
          <w:color w:val="auto"/>
        </w:rPr>
      </w:pPr>
    </w:p>
    <w:p>
      <w:pPr>
        <w:jc w:val="both"/>
        <w:ind w:left="1320" w:right="459" w:firstLine="1078"/>
        <w:spacing w:after="0" w:line="256" w:lineRule="auto"/>
        <w:tabs>
          <w:tab w:leader="none" w:pos="2693"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other distributions paid with respect to the Escrow Shares (collectively, the “</w:t>
      </w:r>
      <w:r>
        <w:rPr>
          <w:rFonts w:ascii="Times New Roman" w:cs="Times New Roman" w:eastAsia="Times New Roman" w:hAnsi="Times New Roman"/>
          <w:sz w:val="18"/>
          <w:szCs w:val="18"/>
          <w:u w:val="single" w:color="auto"/>
          <w:color w:val="auto"/>
        </w:rPr>
        <w:t>Escrowed Dividends</w:t>
      </w:r>
      <w:r>
        <w:rPr>
          <w:rFonts w:ascii="Times New Roman" w:cs="Times New Roman" w:eastAsia="Times New Roman" w:hAnsi="Times New Roman"/>
          <w:sz w:val="18"/>
          <w:szCs w:val="18"/>
          <w:color w:val="auto"/>
        </w:rPr>
        <w:t>”) shall be delivered to the Escrow Agent and shall immediately be disbursed by the Escrow Agent to the same person or entity to whom such Escrow Shares are to be released in accordance with the terms of this Agreement. For the avoidance of doubt, any release or distribution of Escrow Dividends is intended to comply with, and shall be effected in accordance with, Rev. Proc. 84-42, 1984-1 C.B. 521.</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6" w:name="page397"/>
    <w:bookmarkEnd w:id="3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firstLine="1078"/>
        <w:spacing w:after="0" w:line="258" w:lineRule="auto"/>
        <w:tabs>
          <w:tab w:leader="none" w:pos="2809" w:val="left"/>
        </w:tabs>
        <w:numPr>
          <w:ilvl w:val="2"/>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stock split, reverse stock split, stock dividend, recapitalization, reorganization, merger, consolidation, combination, exchange of shares, liquidation, spin-off or other similar change in capitalization or event, or any distribution to holders of the common stock of Parent other than a regular cash dividend, the Escrow Shares under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above shall be appropriately adjusted on a pro rata basis.</w:t>
      </w:r>
    </w:p>
    <w:p>
      <w:pPr>
        <w:spacing w:after="0" w:line="111"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Disposition and Termination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78"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Escrow Agent receives an instruction letter signed by each of Sponsor and the Stockholder Representative, the Escrow Agent shall promptly distribute all or any portion of the Escrow Shares as directed by such instruction letter.</w:t>
      </w:r>
    </w:p>
    <w:p>
      <w:pPr>
        <w:spacing w:after="0" w:line="90"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57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Escrow Agent shall have only those duties as are specifically and expressly provided herein, which shall be deemed purely ministerial in nature, and no other duties shall be implied. The Escrow Agent shall neither be responsible for, nor chargeable with, knowledge of, nor have any requirements to comply with, the terms and conditions of any other agreement, instrument or document between Parent or Sponsor and any other person or entity, in connection herewith, if any, including without limitation the Merger Agreement or nor shall the Escrow Agent be required to determine if any person or entity has complied with any such agreements, nor shall any additional obligations of the Escrow Agent be inferred from the terms of such agreements, even though reference thereto may be made in this Agreement. In the event of any conflict between the terms and provisions of this Agreement, those of the Merger Agreement, any schedule or exhibit attached to this Agreement, or any other agreement between Parent or Sponsor and any other person or entity, the terms and conditions of this Agreement shall control. The Escrow Agent may rely upon and shall not be liable for acting or refraining from acting upon any written notice, document, instruction or request furnished to it hereunder and believed by it to be genuine and to have been signed or presented by the applicable person without inquiry and without requiring substantiating evidence of any kind. The Escrow Agent shall not be liable to any beneficiary or other person for refraining from acting upon any instruction setting forth, claiming, containing, objecting to, or related to the transfer or distribution of the Escrow Shares, or any portion thereof, unless such instruction shall have been delivered to the Escrow Agent in accordance with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Escrow Agent has been able to satisfy any applicable security procedures as may be required hereunder and as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Escrow Agent shall be under no duty to inquire into or investigate the validity, accuracy or content of any such document, notice, instruction or request. The Escrow Agent shall have no duty to solicit any payments which may be due it or the Escrow Shares nor shall the Escrow Agent have any duty or obligation to confirm or verify the accuracy or correctness of any amounts deposited with it hereunder.</w:t>
      </w:r>
    </w:p>
    <w:p>
      <w:pPr>
        <w:spacing w:after="0" w:line="13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7"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liable for any action taken, suffered or omitted to be taken by it in good faith except to the extent that a final adjudication of a court of competent jurisdiction determines that the Escrow Agent’s fraud, gross negligence or willful misconduct was the primary cause of any loss. The Escrow Agent may execute any of its powers and perform any of its duties hereunder directly or through affiliates or agents. The Escrow Agent may consult with counsel, accountants and other skilled persons to be selected and retained by it. The Escrow Agent shall not be liable for any action taken, suffered or omitted to be taken by it in good faith, in accordance with, or in reliance upon, the advice or opinion of any such counsel, accountants or other skilled persons except to the extent that a final adjudication of a court of competent jurisdiction determines that the Escrow Agent’s fraud, gross negligence or willful misconduct was the primary cause of any loss. In the event that the Escrow Agent shall be uncertain or believe there is some ambiguity as to its duties or rights hereunder or shall receive instructions, claims or demands which, in its opinion, conflict with any of the provisions of this Agreement, it shall be entitled to refrain from taking any action and its sole obligation shall be to keep safely all property held in escrow until it shall be given a direction in writing which eliminates such ambiguity or uncertainty to the satisfaction of the Escrow Agent or by a final and non-appealable order or judgment of a court of competent jurisdiction.</w:t>
      </w:r>
    </w:p>
    <w:p>
      <w:pPr>
        <w:spacing w:after="0" w:line="110"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1"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Escrow Agent may resign and be discharged from its duties or obligations hereunder by giving thirty (30) days’ advance notice in writing of such resignation to the other parties hereto specifying a date when such resignation shall take effect,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resignation shall not take effect until a successor escrow agent has been appointed in accordance with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If the parties hereto have jointly failed to appoint a successor escrow agent prior to the expiration of thirty (30) days following receipt of the notice of resignation, the Escrow Agent may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7" w:name="page398"/>
    <w:bookmarkEnd w:id="3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petition any court of competent jurisdiction for the appointment of a successor escrow agent or for other appropriate relief, and any such resulting appointment shall be binding upon all of the parties hereto. The Escrow Agent’s sole responsibility after such thirty (30) day notice period expires shall be to hold the Escrow Shares and to deliver the same to a designated substitute escrow agent, if any, or in accordance with the directions of a final order or judgment of a court of competent jurisdiction, at which time of delivery the Escrow Agent’s obligations hereunder shall cease and terminate, subject to the provisions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the Escrow Agent shall have the right to withhold, as security, an amount of shares equal to any dollar amount due and owing to the Escrow Agent, plus any costs and expenses the Escrow Agent shall reasonably believe may be incurred by the Escrow Agent in connection with the termination of this Agreement.</w:t>
      </w:r>
    </w:p>
    <w:p>
      <w:pPr>
        <w:spacing w:after="0" w:line="127" w:lineRule="exact"/>
        <w:rPr>
          <w:sz w:val="20"/>
          <w:szCs w:val="20"/>
          <w:color w:val="auto"/>
        </w:rPr>
      </w:pPr>
    </w:p>
    <w:p>
      <w:pPr>
        <w:jc w:val="both"/>
        <w:ind w:left="460" w:right="479" w:firstLine="858"/>
        <w:spacing w:after="0" w:line="266" w:lineRule="auto"/>
        <w:tabs>
          <w:tab w:leader="none" w:pos="1590"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into which the Escrow Agent may be merged or converted or with which it may be consolidated, or any entity to which all or substantially all the escrow business may be transferred, shall be the Escrow Agent under this Agreement without further act.</w:t>
      </w:r>
    </w:p>
    <w:p>
      <w:pPr>
        <w:spacing w:after="0" w:line="104"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99"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Compensation and Reimbursement. </w:t>
      </w:r>
      <w:r>
        <w:rPr>
          <w:rFonts w:ascii="Times New Roman" w:cs="Times New Roman" w:eastAsia="Times New Roman" w:hAnsi="Times New Roman"/>
          <w:sz w:val="18"/>
          <w:szCs w:val="18"/>
          <w:color w:val="auto"/>
        </w:rPr>
        <w:t>The Escrow Agent shall be entitled to compensation for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services under this Agreement as Escrow Agent and for reimbursement for its reasonable and documented out-of-pocket costs and expenses, in the amounts and payable as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All amounts owing under the foregoing sentence shall be paid by Parent. The Escrow Agent shall also be entitled to payment of any amounts to which the Escrow Agent is entitled under the indemnification provisions contained herein as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such compensation, expenses, disbursements and advances shall not be paid from the Escrow Shares. The obligations of Parent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survive the resignation, replacement or removal of the Escrow Agent or the termination of this Agreement.</w:t>
      </w:r>
    </w:p>
    <w:p>
      <w:pPr>
        <w:spacing w:after="0" w:line="103"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1"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be indemnified and held harmless by Parent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other than expenses or losses arising from the fraud, gross negligence or willful misconduct of the Escrow Agent. Promptly after the receipt by the Escrow Agent of notice of any demand or claim or the commencement of any action, suit or proceeding, the Escrow Agent shall notify the other parties hereto in writing and keep the parties advised with respect to all developments concerning such claim. In the event of the receipt of such notice, the Escrow Agent, in its sole discretion, may commence an action in the nature of interpleader in the any state or federal court located in New York County, State of New York.</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0"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liable for any action taken or omitted by it in good faith and in the exercise of its own best judgment (absent gross negligence or willful misconduct),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77"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liable for any action taken by it in good faith and believed by it to be authorized or within the rights or powers conferred upon it by this Agreement (absent gross negligence or willful misconduct), and may consult with counsel of its own choice and shall have full and complete authorization and indemnification, for any action taken or suffered by it hereunder in good faith and in accordance with the opinion of such counsel.</w:t>
      </w:r>
    </w:p>
    <w:p>
      <w:pPr>
        <w:spacing w:after="0" w:line="115"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99"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survive termination of this Agreement or the resignation, replacement or removal of the Escrow Agent for any reason.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8" w:name="page399"/>
    <w:bookmarkEnd w:id="39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1060" w:hanging="174"/>
        <w:spacing w:after="0"/>
        <w:tabs>
          <w:tab w:leader="none" w:pos="1060"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Patriot Act Disclosure/Taxpayer Identification Numbers/Tax Reporting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82" w:val="left"/>
        </w:tabs>
        <w:numPr>
          <w:ilvl w:val="2"/>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Patriot Act Disclosure</w:t>
      </w:r>
      <w:r>
        <w:rPr>
          <w:rFonts w:ascii="Times New Roman" w:cs="Times New Roman" w:eastAsia="Times New Roman" w:hAnsi="Times New Roman"/>
          <w:sz w:val="18"/>
          <w:szCs w:val="18"/>
          <w:color w:val="auto"/>
        </w:rPr>
        <w:t>. Section 326 of the Uniting and Strengthening America by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Tools Required to Intercept and Obstruct Terrorism Act of 2001 (“</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requires the Escrow Agent to implement reasonable procedures to verify the identity of any person that opens a new account with it. Accordingly, parties hereto acknowledge that Section 326 of the USA PATRIOT Act and the Escrow Agent’s identity verification procedures require the Escrow Agent to obtain information which may be used to confirm identity, including without limitation name, address and organizational documents (“identifying information”). The parties hereto agree to provide the Escrow Agent with information and consent to the Escrow Agent obtaining from third parties any such identifying information required as a condition of opening an account with or using any service provided by the Escrow Agent.</w:t>
      </w:r>
    </w:p>
    <w:p>
      <w:pPr>
        <w:spacing w:after="0" w:line="8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5" w:val="left"/>
        </w:tabs>
        <w:numPr>
          <w:ilvl w:val="2"/>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transaction does not constitute an installment sale requiring any tax reporting or withholding of imputed interest or original issue discount to the IRS or other taxing authority.</w:t>
      </w:r>
    </w:p>
    <w:p>
      <w:pPr>
        <w:spacing w:after="0" w:line="49" w:lineRule="exact"/>
        <w:rPr>
          <w:rFonts w:ascii="Times New Roman" w:cs="Times New Roman" w:eastAsia="Times New Roman" w:hAnsi="Times New Roman"/>
          <w:sz w:val="18"/>
          <w:szCs w:val="18"/>
          <w:color w:val="auto"/>
        </w:rPr>
      </w:pPr>
    </w:p>
    <w:p>
      <w:pPr>
        <w:jc w:val="both"/>
        <w:ind w:left="460" w:right="459" w:firstLine="426"/>
        <w:spacing w:after="0" w:line="259" w:lineRule="auto"/>
        <w:tabs>
          <w:tab w:leader="none" w:pos="1072"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and communications hereunder shall be deemed to have been duly given and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in writing and if (i) served by personal delivery upon the party for whom it is intended, (ii) delivered by registered or certified mail, return receipt requested, or by Federal Express or similar overnight courier, or</w:t>
      </w:r>
    </w:p>
    <w:p>
      <w:pPr>
        <w:jc w:val="both"/>
        <w:ind w:left="460" w:right="459" w:hanging="6"/>
        <w:spacing w:after="0" w:line="255" w:lineRule="auto"/>
        <w:tabs>
          <w:tab w:leader="none" w:pos="788"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email, provided that the receipt of such facsimile or email is promptly confirmed, by telephone, electronically or otherwise, to the party at the address set forth below, or such other address as may be designated in writing hereafter, in the same manner, by such party:</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Sponsor:</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Holdings, LLC</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E-mail:Jim@foresitecapital.com</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Parent: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E-mail:Jim@foresitecapital.com</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the Stockholder Representative:</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Shareholder Representative Services LLC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950 17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Street, Suite 1400</w:t>
      </w:r>
    </w:p>
    <w:p>
      <w:pPr>
        <w:ind w:left="1320"/>
        <w:spacing w:after="0"/>
        <w:rPr>
          <w:sz w:val="20"/>
          <w:szCs w:val="20"/>
          <w:color w:val="auto"/>
        </w:rPr>
      </w:pPr>
      <w:r>
        <w:rPr>
          <w:rFonts w:ascii="Times New Roman" w:cs="Times New Roman" w:eastAsia="Times New Roman" w:hAnsi="Times New Roman"/>
          <w:sz w:val="18"/>
          <w:szCs w:val="18"/>
          <w:color w:val="auto"/>
        </w:rPr>
        <w:t>Denver, CO 80202</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Managing Director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Facsimile: (303) 623-0294</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Telephone: (303) 648-4085</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the Escrow Agent: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Continental Stock Transfer and Trust</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One State Street —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Facsimile No: (212) 616-7615</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George Dalton</w:t>
      </w:r>
    </w:p>
    <w:p>
      <w:pPr>
        <w:spacing w:after="0" w:line="9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Notwithstanding the above, in the case of communications delivered to the Escrow Agent, such communications shall be deemed to have been given on the date received by an officer of the Escrow Agent or any employee of the Escrow Agent who reports directly to any such officer at the above-referenced office. In the event that the Escrow Agent, in its sole discretion, shall determine that an emergency exists, the Escrow Agent may use such other means of communication as the Escrow Agent deems appropriate. For purposes of this Agreement,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Sunday or any other day on which the Escrow Agent located at the notice address set forth above is authorized or required by law or executive order to remain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253365</wp:posOffset>
            </wp:positionV>
            <wp:extent cx="51435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9" w:name="page400"/>
    <w:bookmarkEnd w:id="39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26"/>
        <w:spacing w:after="0" w:line="254" w:lineRule="auto"/>
        <w:tabs>
          <w:tab w:leader="none" w:pos="1202"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Procedures</w:t>
      </w:r>
      <w:r>
        <w:rPr>
          <w:rFonts w:ascii="Times New Roman" w:cs="Times New Roman" w:eastAsia="Times New Roman" w:hAnsi="Times New Roman"/>
          <w:sz w:val="18"/>
          <w:szCs w:val="18"/>
          <w:color w:val="auto"/>
        </w:rPr>
        <w:t>. Notwithstanding anything to the contrary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instructions setting forth, claiming, containing, objecting to, or in any way related to the transfer or distribution, including but not limited to any transfer instructions that may otherwise be set forth in a written instruction permitted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may be given to the Escrow Agent only by confirmed facsimile or other electronic transmission (including e-mail) and no instruction for or related to the transfer or distribution of the Escrow Shares, or any portion thereof, shall be deemed delivered and effective unless the Escrow Agent actually shall have received such instruction by facsimile or other electronic transmission (including e-mail) at the number or e-mail address provided to Sponsor and the Stockholder Representative by the Escrow Agent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as further evidenced by a confirmed transmittal to that number.</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6"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transfer instructions are so received by the Escrow Agent by facsimile or other electronic transmission (including e-mail), the Escrow Agent is authorized to seek confirmation of such instructions by telephone call-back to the person or persons designated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and the Escrow Agent may rely upon the confirmation of anyone purporting to be the person or persons so designated. The persons and telephone numbers for call-backs may be changed only in a writing actually received and acknowledged by the Escrow Agent.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02"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compliance with the provisions of this Agreement, Sponsor acknowledges that the Escrow Agent is authorized to deliver the Escrow Shares to the custodian account or recipient designated by Sponsor and the Stockholder Representative in writing.</w:t>
      </w:r>
    </w:p>
    <w:p>
      <w:pPr>
        <w:spacing w:after="0" w:line="90"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55"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Compliance with Court Orders. </w:t>
      </w:r>
      <w:r>
        <w:rPr>
          <w:rFonts w:ascii="Times New Roman" w:cs="Times New Roman" w:eastAsia="Times New Roman" w:hAnsi="Times New Roman"/>
          <w:sz w:val="18"/>
          <w:szCs w:val="18"/>
          <w:color w:val="auto"/>
        </w:rPr>
        <w:t>In the event that any escrow property shall be attached, garnished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levied upon by any court order, or the delivery thereof shall be stayed or enjoined by an order of a com1, or any order, judgment or decree shall be made or entered by any court order affecting the property deposited under this Agreement, the Escrow Agent is hereby expressly authorized, in its sole discretion, to obey and comply with all writs, orders or decrees so entered or issued, which it is advised by opinion of legal counsel of its own choosing is binding upon it, whether with or without jurisdiction, and in the event that the Escrow Agent reasonably obeys or complies with any such writ, order or decree it shall not be liable to any of the parties hereto or to any other person, entity, firm or corporation, by reason of such compliance notwithstanding such writ, order or decree be subsequently reversed, modified, annulled, set aside or vacated.</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162"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Except for changes to transfer instructions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waived, altered, amended or supplemented, in whole or in part, only by a writing signed by the Escrow Agent and the other parties hereto. Neither this Agreement nor any right or interest hereunder may be assigned in whole or in part by the Escrow Agent or any other party hereto without the prior consent of all the other parties hereto. This Agreement shall be governed by and construed under the laws of the State of New York. Each of the parties hereto irrevocably waives any objection on the grounds of venue, forum non-conveniens or any similar grounds and irrevocably consents to service of process by mail or in any other manner permitted by applicable law and consents to the jurisdiction of any court of the State of New York or United States federal court, in each case, sitting in New York County, New York. To the extent that in any jurisdiction any party may now or hereafter be entitled to claim for itself or its assets, immunity from suit, execution attachment (before or after judgment), or other legal process, such party shall not claim, and it hereby irrevocably waives, such immunity. The parties further hereby waive any right to a trial by jury with respect to any lawsuit or judicial proceeding arising or relating to this Agreement. No party to this Agreement is liable to any other party for losses due to, or if it is unable to perform its obligations under the terms of this Agreement because of, acts of God, fire, war, terrorism, floods, strikes, electrical outages, equipment or transmission failure, or other causes reasonably beyond its control. This Agreement may be executed in one or more counterparts, each of which shall be deemed an original, but all of which together shall constitute one and the same instrument. All signatures of the parties to this Agreement may be transmitted by facsimile or other electronic transmission (including e-mail), and such facsimile or other electronic transmission (including e-mail) will, for all purposes, be deemed to be the original signature of such party whose signature it reproduces, and will be binding upon such party. If any provision of this Agreement is determined to be prohibited or unenforceable by reason of any applicable law of a jurisdiction, then such provision shall, as to such jurisdiction, be ineffective to the extent of such prohibition or unenforceability without invalidating the remaining provisions thereof, and any such prohibition or unenforceability in such jurisdiction shall not invalidate or render unenforceable such provisions in any other jurisdiction. A person who is not a party to this Agreement shall have no right to enforce any term of this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0" w:name="page401"/>
    <w:bookmarkEnd w:id="40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parties represent, warrant and covenant that each document, notice, instruction or request provided by such party to the other party shall comply with applicable laws and regulations. Where, however, the conflicting provisions of any such applicable law may be waived, they are hereby irrevocably waived by the parties hereto to the fullest extent permitted by law, to the end that this Agreement shall be enforced as written. Except as expressly provided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above, nothing in this Agreement, whether express or implied, shall be construed to give to any person or entity other than the Escrow Agent and the other parties hereto any legal or equitable right, remedy, interest or claim under or in respect of this Agreement or the Escrow Shares escrowed hereunder.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 left blank]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1" w:name="page402"/>
    <w:bookmarkEnd w:id="40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executed this Agreement as of the date set forth above.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SPONSOR: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 REPRESENTATIVE: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SHAREHOLDER REPRESENTATIVE SERVICES LLC,</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solely in its capacity as the representative of the Company Securityholders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CONTINENTAL STOCK TRANSFER AND TRUST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Escrow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2" w:name="page403"/>
    <w:bookmarkEnd w:id="4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Schedule l</w:t>
      </w:r>
    </w:p>
    <w:p>
      <w:pPr>
        <w:spacing w:after="0" w:line="15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Telephone Number(s) and authorized signature(s) for</w:t>
      </w:r>
    </w:p>
    <w:p>
      <w:pPr>
        <w:spacing w:after="0" w:line="3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u w:val="single" w:color="auto"/>
          <w:color w:val="auto"/>
        </w:rPr>
        <w:t>Person(s) Designated by Sponsor to give Escrow Shares Transfer Instructions</w:t>
      </w:r>
    </w:p>
    <w:p>
      <w:pPr>
        <w:spacing w:after="0" w:line="209" w:lineRule="exact"/>
        <w:rPr>
          <w:sz w:val="20"/>
          <w:szCs w:val="20"/>
          <w:color w:val="auto"/>
        </w:rPr>
      </w:pPr>
    </w:p>
    <w:p>
      <w:pPr>
        <w:jc w:val="both"/>
        <w:ind w:left="1520"/>
        <w:spacing w:after="0"/>
        <w:tabs>
          <w:tab w:leader="none" w:pos="3780" w:val="left"/>
          <w:tab w:leader="none" w:pos="684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Telephone Number</w:t>
      </w:r>
      <w:r>
        <w:rPr>
          <w:sz w:val="20"/>
          <w:szCs w:val="20"/>
          <w:color w:val="auto"/>
        </w:rPr>
        <w:tab/>
      </w: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 be completed by Sponsor]</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3" w:name="page404"/>
    <w:bookmarkEnd w:id="4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Number(s) and authorized signature(s)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Person(s) Designated by Stockholder Representative to give Escrow Shares Transfer Instructions</w:t>
      </w:r>
    </w:p>
    <w:p>
      <w:pPr>
        <w:spacing w:after="0" w:line="221" w:lineRule="exact"/>
        <w:rPr>
          <w:sz w:val="20"/>
          <w:szCs w:val="20"/>
          <w:color w:val="auto"/>
        </w:rPr>
      </w:pPr>
    </w:p>
    <w:p>
      <w:pPr>
        <w:ind w:left="1520"/>
        <w:spacing w:after="0"/>
        <w:tabs>
          <w:tab w:leader="none" w:pos="3780" w:val="left"/>
          <w:tab w:leader="none" w:pos="684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Telephone Number</w:t>
      </w:r>
      <w:r>
        <w:rPr>
          <w:sz w:val="20"/>
          <w:szCs w:val="20"/>
          <w:color w:val="auto"/>
        </w:rPr>
        <w:tab/>
      </w: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#1</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Chris Letang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#2</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Casey McTigue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Executive Director</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#3</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 LeClair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President</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#4</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Paul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4" w:name="page405"/>
    <w:bookmarkEnd w:id="4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5" w:name="page406"/>
    <w:bookmarkEnd w:id="4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158"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entered into as of [•], 2020, by and among FS Development Corp.,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the parties listed as Investors on Schedule I hereto (each, an “</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color w:val="auto"/>
        </w:rPr>
        <w:t>”) and Gemini Therapeutics, Inc., a Delaware company (“</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WHEREAS, the Company, FSG Merger Sub, Inc., a Delaware corporation (“</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Gemini and Shareholder Representative Services LLC, a Colorado limited liability company, as the Stockholders’ Representative, have entered into that certain Agreement and Plan of Merger, dated as of October 15, 2020 (as amended or supplemented from time to time, the “</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pursuant to which, among other things: (a) Merger Sub will merge with and into Gemini (the “</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with Gemini surviving the Merger as a wholly-owned subsidiary of Company;</w:t>
      </w:r>
    </w:p>
    <w:p>
      <w:pPr>
        <w:spacing w:after="0" w:line="10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WHEREAS, the Company and the Investors listed as Company Investors on Schedule I hereto (collectively, the “</w:t>
      </w:r>
      <w:r>
        <w:rPr>
          <w:rFonts w:ascii="Times New Roman" w:cs="Times New Roman" w:eastAsia="Times New Roman" w:hAnsi="Times New Roman"/>
          <w:sz w:val="18"/>
          <w:szCs w:val="18"/>
          <w:b w:val="1"/>
          <w:bCs w:val="1"/>
          <w:u w:val="single" w:color="auto"/>
          <w:color w:val="auto"/>
        </w:rPr>
        <w:t>Company Investors</w:t>
      </w:r>
      <w:r>
        <w:rPr>
          <w:rFonts w:ascii="Times New Roman" w:cs="Times New Roman" w:eastAsia="Times New Roman" w:hAnsi="Times New Roman"/>
          <w:sz w:val="18"/>
          <w:szCs w:val="18"/>
          <w:color w:val="auto"/>
        </w:rPr>
        <w:t>”) are parties to that certain Registration Rights Agreement, dated August 11, 2020 (the “</w:t>
      </w:r>
      <w:r>
        <w:rPr>
          <w:rFonts w:ascii="Times New Roman" w:cs="Times New Roman" w:eastAsia="Times New Roman" w:hAnsi="Times New Roman"/>
          <w:sz w:val="18"/>
          <w:szCs w:val="18"/>
          <w:b w:val="1"/>
          <w:bCs w:val="1"/>
          <w:u w:val="single" w:color="auto"/>
          <w:color w:val="auto"/>
        </w:rPr>
        <w:t>Prior Agreement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WHEREAS, the Company and the Company Investors desire to terminate the Prior Agreement in its entirety and to accept the rights created pursuant to this Agreement in lieu of the rights granted to them under the Prior Agreement;</w:t>
      </w:r>
    </w:p>
    <w:p>
      <w:pPr>
        <w:spacing w:after="0" w:line="104"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WHEREAS, the Company Investors and Gemini Investors listed on Schedule I hereto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have subscribed to purchase shares of Common Stock in the Private Placement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in connection with the consummation of the Merger; and</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DEFINITIONS. The following capitalized terms used herein have the following meanings:</w:t>
      </w: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Addendum Agreement</w:t>
      </w:r>
      <w:r>
        <w:rPr>
          <w:rFonts w:ascii="Times New Roman" w:cs="Times New Roman" w:eastAsia="Times New Roman" w:hAnsi="Times New Roman"/>
          <w:sz w:val="18"/>
          <w:szCs w:val="18"/>
          <w:color w:val="auto"/>
        </w:rPr>
        <w:t>” is defined in Section 7.2.</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Agreement, as amended, restated, supplemented, or otherwise modified from time to time.</w:t>
      </w:r>
    </w:p>
    <w:p>
      <w:pPr>
        <w:spacing w:after="0" w:line="8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are authorized or required by law to close.</w:t>
      </w:r>
    </w:p>
    <w:p>
      <w:pPr>
        <w:spacing w:after="0" w:line="8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Bylaws</w:t>
      </w:r>
      <w:r>
        <w:rPr>
          <w:rFonts w:ascii="Times New Roman" w:cs="Times New Roman" w:eastAsia="Times New Roman" w:hAnsi="Times New Roman"/>
          <w:sz w:val="18"/>
          <w:szCs w:val="18"/>
          <w:color w:val="auto"/>
        </w:rPr>
        <w:t>” means the bylaws of the Company, as amended, modified, supplemented or restated and in effect from time to time.</w:t>
      </w:r>
    </w:p>
    <w:p>
      <w:pPr>
        <w:spacing w:after="0" w:line="74"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Certificate</w:t>
      </w:r>
      <w:r>
        <w:rPr>
          <w:rFonts w:ascii="Times New Roman" w:cs="Times New Roman" w:eastAsia="Times New Roman" w:hAnsi="Times New Roman"/>
          <w:sz w:val="18"/>
          <w:szCs w:val="18"/>
          <w:color w:val="auto"/>
        </w:rPr>
        <w:t>” means the certificate of incorporation of the Company, as amended, modified, supplemented or restated and in effect from time to time, including any certificate of designation, correction or amendment filed with the Secretary of State of the State of Delaware.</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Securities and Exchange Commission, or any other Federal agency then administering the Securities Act or the Exchange Act.</w:t>
      </w:r>
    </w:p>
    <w:p>
      <w:pPr>
        <w:spacing w:after="0" w:line="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means the common stock, par value $0.0001 per share, of the Company.</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Investors</w:t>
      </w:r>
      <w:r>
        <w:rPr>
          <w:rFonts w:ascii="Times New Roman" w:cs="Times New Roman" w:eastAsia="Times New Roman" w:hAnsi="Times New Roman"/>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is defined in Section 2.2.1.</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is defined in Section 2.2.1.</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 is defined in Section 3.1.3.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6" w:name="page407"/>
    <w:bookmarkEnd w:id="4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 all as the same shall be in effect at the time.</w:t>
      </w:r>
    </w:p>
    <w:p>
      <w:pPr>
        <w:spacing w:after="0" w:line="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Form S-1</w:t>
      </w:r>
      <w:r>
        <w:rPr>
          <w:rFonts w:ascii="Times New Roman" w:cs="Times New Roman" w:eastAsia="Times New Roman" w:hAnsi="Times New Roman"/>
          <w:sz w:val="18"/>
          <w:szCs w:val="18"/>
          <w:color w:val="auto"/>
        </w:rPr>
        <w:t>” means a Registration Statement on Form S-1.</w:t>
      </w:r>
    </w:p>
    <w:p>
      <w:pPr>
        <w:spacing w:after="0" w:line="158"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Form S-3</w:t>
      </w:r>
      <w:r>
        <w:rPr>
          <w:rFonts w:ascii="Times New Roman" w:cs="Times New Roman" w:eastAsia="Times New Roman" w:hAnsi="Times New Roman"/>
          <w:sz w:val="18"/>
          <w:szCs w:val="18"/>
          <w:color w:val="auto"/>
        </w:rPr>
        <w:t>” means a Registration Statement on Form S-3 or any similar short-form registration that may be available at such time.</w:t>
      </w:r>
    </w:p>
    <w:p>
      <w:pPr>
        <w:spacing w:after="0" w:line="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Gemini Investors</w:t>
      </w:r>
      <w:r>
        <w:rPr>
          <w:rFonts w:ascii="Times New Roman" w:cs="Times New Roman" w:eastAsia="Times New Roman" w:hAnsi="Times New Roman"/>
          <w:sz w:val="18"/>
          <w:szCs w:val="18"/>
          <w:color w:val="auto"/>
        </w:rPr>
        <w:t>” is defined in the recitals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Investor” and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is defined in Section 2.2.4.</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New Registration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Prior Agreement</w:t>
      </w:r>
      <w:r>
        <w:rPr>
          <w:rFonts w:ascii="Times New Roman" w:cs="Times New Roman" w:eastAsia="Times New Roman" w:hAnsi="Times New Roman"/>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 Rata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Registration</w:t>
      </w:r>
      <w:r>
        <w:rPr>
          <w:rFonts w:ascii="Times New Roman" w:cs="Times New Roman" w:eastAsia="Times New Roman" w:hAnsi="Times New Roman"/>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means (i) the shares of Common Stock issued to the Investors in the Merger (including Escrow Shares (as defined in the Merger Agreement)), (ii) the shares of Common Stock held by the Company Investors, (iii) the shares of Common Stock issuable to the Investors in the Private Placement, and</w:t>
      </w:r>
    </w:p>
    <w:p>
      <w:pPr>
        <w:ind w:left="780" w:hanging="326"/>
        <w:spacing w:after="0"/>
        <w:tabs>
          <w:tab w:leader="none" w:pos="78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issued to any Investor with respect to such securities referred to in clauses</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677"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(iii) by way of any share split, share dividend or other distribution, recapitalization, share exchange, share reconstruction, amalgamation, contractual control arrangement or similar event.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w:t>
      </w:r>
    </w:p>
    <w:p>
      <w:pPr>
        <w:spacing w:after="0" w:line="1" w:lineRule="exact"/>
        <w:rPr>
          <w:rFonts w:ascii="Times New Roman" w:cs="Times New Roman" w:eastAsia="Times New Roman" w:hAnsi="Times New Roman"/>
          <w:sz w:val="18"/>
          <w:szCs w:val="18"/>
          <w:color w:val="auto"/>
        </w:rPr>
      </w:pPr>
    </w:p>
    <w:p>
      <w:pPr>
        <w:jc w:val="both"/>
        <w:ind w:left="460" w:right="4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such securities shall have been otherwise transferred, new certificates for them not bearing a legend restricting further transfer shall have been delivered by the Company and subsequent public distribution of them shall not require registration under the Securities Act; or (c) such securities shall have ceased to be outstanding.</w:t>
      </w:r>
    </w:p>
    <w:p>
      <w:pPr>
        <w:spacing w:after="0" w:line="101"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Resale Shelf Registration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7" w:name="page408"/>
    <w:bookmarkEnd w:id="4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Requesting Holder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 Guidance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 all as the same shall be in effect at the time.</w:t>
      </w:r>
    </w:p>
    <w:p>
      <w:pPr>
        <w:spacing w:after="0" w:line="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Holders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2.1.5(a)(ii)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Subsequent Shelf Registration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to (i) sell, offer to sell, contract or agree to sell, hypothecate, pledge, grant any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purchase, make any short sale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Common Stock, or any options or warrants to purchase any shares of Common Stock or any securities convertible into, exchangeable for or that represent the right to receive shares of Common Stock, (ii) enter into any swap or hedging or other arrangement which is designed to or which reasonably could be expected to lead to or result in a sale or disposition of the shares of Common Stock, or that transfers to another, in whole or in part, any of the economic consequences of ownership of any Common Stock,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w:t>
      </w:r>
    </w:p>
    <w:p>
      <w:pPr>
        <w:spacing w:after="0" w:line="10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74"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Takedown</w:t>
      </w:r>
      <w:r>
        <w:rPr>
          <w:rFonts w:ascii="Times New Roman" w:cs="Times New Roman" w:eastAsia="Times New Roman" w:hAnsi="Times New Roman"/>
          <w:sz w:val="18"/>
          <w:szCs w:val="18"/>
          <w:color w:val="auto"/>
        </w:rPr>
        <w:t>” shall mean an underwritten public offering of Registrable Securities pursuant to the Resale Shelf Registration Statement, as amended or supplemented.</w:t>
      </w:r>
    </w:p>
    <w:p>
      <w:pPr>
        <w:spacing w:after="0" w:line="74"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Demand Registration</w:t>
      </w:r>
      <w:r>
        <w:rPr>
          <w:rFonts w:ascii="Times New Roman" w:cs="Times New Roman" w:eastAsia="Times New Roman" w:hAnsi="Times New Roman"/>
          <w:sz w:val="18"/>
          <w:szCs w:val="18"/>
          <w:color w:val="auto"/>
        </w:rPr>
        <w:t>” shall mean an underwritten public offering of Registrable Securities pursuant to a Demand Registration, as amended or supplemented.</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REGISTRATION RIGHTS.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Resale Shelf Registration Rights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50"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Registration Statement Covering Resale of Registrable Securities</w:t>
      </w:r>
      <w:r>
        <w:rPr>
          <w:rFonts w:ascii="Times New Roman" w:cs="Times New Roman" w:eastAsia="Times New Roman" w:hAnsi="Times New Roman"/>
          <w:sz w:val="18"/>
          <w:szCs w:val="18"/>
          <w:color w:val="auto"/>
        </w:rPr>
        <w:t>. The Company shall prepare and file or cause to be prepared and filed with the Commission as soon as practicable after the Closing Date (as such term is defined in the Merger Agreement), but in any event no later than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xml:space="preserve"> days after the Closing Date (the “</w:t>
      </w:r>
      <w:r>
        <w:rPr>
          <w:rFonts w:ascii="Times New Roman" w:cs="Times New Roman" w:eastAsia="Times New Roman" w:hAnsi="Times New Roman"/>
          <w:sz w:val="18"/>
          <w:szCs w:val="18"/>
          <w:b w:val="1"/>
          <w:bCs w:val="1"/>
          <w:u w:val="single" w:color="auto"/>
          <w:color w:val="auto"/>
        </w:rPr>
        <w:t>Filing Date</w:t>
      </w:r>
      <w:r>
        <w:rPr>
          <w:rFonts w:ascii="Times New Roman" w:cs="Times New Roman" w:eastAsia="Times New Roman" w:hAnsi="Times New Roman"/>
          <w:sz w:val="18"/>
          <w:szCs w:val="18"/>
          <w:color w:val="auto"/>
        </w:rPr>
        <w:t>”), a Registration Statement for an offering to be made on a continuous basis pursuant to Rule 415 of the Securities Act registering the resale from time to time by Investors of all of the Registrable Securities then held by such Investors that are not covered by an effective registration statement on the Filing Date (the “</w:t>
      </w:r>
      <w:r>
        <w:rPr>
          <w:rFonts w:ascii="Times New Roman" w:cs="Times New Roman" w:eastAsia="Times New Roman" w:hAnsi="Times New Roman"/>
          <w:sz w:val="18"/>
          <w:szCs w:val="18"/>
          <w:b w:val="1"/>
          <w:bCs w:val="1"/>
          <w:u w:val="single" w:color="auto"/>
          <w:color w:val="auto"/>
        </w:rPr>
        <w:t>Resale Shelf Registration Statement</w:t>
      </w:r>
      <w:r>
        <w:rPr>
          <w:rFonts w:ascii="Times New Roman" w:cs="Times New Roman" w:eastAsia="Times New Roman" w:hAnsi="Times New Roman"/>
          <w:sz w:val="18"/>
          <w:szCs w:val="18"/>
          <w:color w:val="auto"/>
        </w:rPr>
        <w:t>”). The Resale Shelf Registration Statement shall be on Form S-3 or another appropriate form permitting Registration of such Registrable Securities for resale by such Investors. The Company shall use reasonable best efforts to cause the Resale Shelf Registration Statement to be declared effective as soon as possible after filing, and once effective, to keep the Resale Shelf Registration Statement continuously effective under the Securities Act at all times until the expiration of the Effectiveness Period.</w:t>
      </w:r>
    </w:p>
    <w:p>
      <w:pPr>
        <w:spacing w:after="0" w:line="331"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Notification and Distribution of Materials</w:t>
      </w:r>
      <w:r>
        <w:rPr>
          <w:rFonts w:ascii="Times New Roman" w:cs="Times New Roman" w:eastAsia="Times New Roman" w:hAnsi="Times New Roman"/>
          <w:sz w:val="18"/>
          <w:szCs w:val="18"/>
          <w:color w:val="auto"/>
        </w:rPr>
        <w:t>. The Company shall notify the Investors in writing of the effectiveness of the Resale Shelf Registration Statement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Investors may reasonably request in order to facilitate the sale of the Registrable Securities in the manner described in the Resale Shelf Registration Statement.</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8" w:lineRule="exact"/>
        <w:rPr>
          <w:sz w:val="20"/>
          <w:szCs w:val="20"/>
          <w:color w:val="auto"/>
        </w:rPr>
      </w:pPr>
    </w:p>
    <w:p>
      <w:pPr>
        <w:ind w:left="680" w:right="459" w:hanging="226"/>
        <w:spacing w:after="0" w:line="256" w:lineRule="auto"/>
        <w:tabs>
          <w:tab w:leader="none" w:pos="716" w:val="left"/>
        </w:tabs>
        <w:numPr>
          <w:ilvl w:val="0"/>
          <w:numId w:val="38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To track the date that the shares issued in the PIPE must be registered pursuant to the PIPE subscription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8" w:name="page409"/>
    <w:bookmarkEnd w:id="4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Amendments and Supplements; Subsequent Shelf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during the Effectiveness Period, or to file an additional Registration Statement as a shelf registration (a “</w:t>
      </w:r>
      <w:r>
        <w:rPr>
          <w:rFonts w:ascii="Times New Roman" w:cs="Times New Roman" w:eastAsia="Times New Roman" w:hAnsi="Times New Roman"/>
          <w:sz w:val="18"/>
          <w:szCs w:val="18"/>
          <w:u w:val="single" w:color="auto"/>
          <w:color w:val="auto"/>
        </w:rPr>
        <w:t>Subsequent 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registering the resale of all outstanding Registrable Securities from time to time, and pursuant to any method or combination of methods legally available to, and requested by, any holder. If a Subsequent Shelf Registration is filed, the Company shall use its reasonable best efforts to (i) cause such Subsequent Shelf Registration to become effective under the Securities Act as promptly as is reasonably practicable after the filing thereof and (ii) keep such Subsequent Shelf Registration continuously effective and to comply with the provisions of the Securities Act with respect to the disposition of all the Registrable Securities at all times during the Effectiveness Period.</w:t>
      </w:r>
    </w:p>
    <w:p>
      <w:pPr>
        <w:spacing w:after="0" w:line="120" w:lineRule="exact"/>
        <w:rPr>
          <w:sz w:val="20"/>
          <w:szCs w:val="20"/>
          <w:color w:val="auto"/>
        </w:rPr>
      </w:pPr>
    </w:p>
    <w:p>
      <w:pPr>
        <w:jc w:val="both"/>
        <w:ind w:left="460" w:right="459" w:firstLine="864"/>
        <w:spacing w:after="0" w:line="251" w:lineRule="auto"/>
        <w:rPr>
          <w:sz w:val="20"/>
          <w:szCs w:val="20"/>
          <w:color w:val="auto"/>
        </w:rPr>
      </w:pPr>
      <w:r>
        <w:rPr>
          <w:rFonts w:ascii="Times New Roman" w:cs="Times New Roman" w:eastAsia="Times New Roman" w:hAnsi="Times New Roman"/>
          <w:sz w:val="18"/>
          <w:szCs w:val="18"/>
          <w:color w:val="auto"/>
        </w:rPr>
        <w:t xml:space="preserve">2.1.4 Notwithstanding the registration obligations set forth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Times New Roman" w:cs="Times New Roman" w:eastAsia="Times New Roman" w:hAnsi="Times New Roman"/>
          <w:sz w:val="18"/>
          <w:szCs w:val="18"/>
          <w:b w:val="1"/>
          <w:bCs w:val="1"/>
          <w:u w:val="single" w:color="auto"/>
          <w:color w:val="auto"/>
        </w:rPr>
        <w:t>New Registration Statement</w:t>
      </w:r>
      <w:r>
        <w:rPr>
          <w:rFonts w:ascii="Times New Roman" w:cs="Times New Roman" w:eastAsia="Times New Roman" w:hAnsi="Times New Roman"/>
          <w:sz w:val="18"/>
          <w:szCs w:val="18"/>
          <w:color w:val="auto"/>
        </w:rPr>
        <w:t>”), in either case covering the maximum number of Registrable Securities permitted to be registered by the Commission, on Form S-3 or such other form available 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8"/>
          <w:szCs w:val="18"/>
          <w:b w:val="1"/>
          <w:bCs w:val="1"/>
          <w:u w:val="single" w:color="auto"/>
          <w:color w:val="auto"/>
        </w:rPr>
        <w:t>SEC Guidance</w:t>
      </w:r>
      <w:r>
        <w:rPr>
          <w:rFonts w:ascii="Times New Roman" w:cs="Times New Roman" w:eastAsia="Times New Roman" w:hAnsi="Times New Roman"/>
          <w:sz w:val="18"/>
          <w:szCs w:val="18"/>
          <w:color w:val="auto"/>
        </w:rPr>
        <w:t>”), including without limitation, the Manual of Publicly Available Telephone Interpretations D.29. Notwithstanding any other provision of this Agreement, if any SEC Guidance sets forth a limitation of the number of Registrable Securities permitted to be registered on a particular Registration Statement as a secondary offering (and notwithstanding that the Company used commercially reasonable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be reduced on a pro rata basis based on the total number of Registrable Securities held by the Investors, subject to a determination by the Commission that certain Investors must be reduced first based on the number of Registrable Securities held by such Investors.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spacing w:after="0" w:line="136" w:lineRule="exact"/>
        <w:rPr>
          <w:sz w:val="20"/>
          <w:szCs w:val="20"/>
          <w:color w:val="auto"/>
        </w:rPr>
      </w:pPr>
    </w:p>
    <w:p>
      <w:pPr>
        <w:jc w:val="both"/>
        <w:ind w:left="460" w:right="459" w:firstLine="864"/>
        <w:spacing w:after="0" w:line="256"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The Company shall promptly notify the Investors in writing of any request by the Commission for any amendment or supplement to, or additional information in connection with, the Resale Shelf Registration Statement required to be prepared and filed hereunder (or Prospectus relating thereto). The Company shall promptly notify each Investor in writing of the filing of the Resale Shelf Registration Statement or any Prospectus, amendment or supplement related thereto or any post-effective amendment to the Resale Shelf Registration Statement and the effectiveness of any post-effective amendment.</w:t>
      </w:r>
    </w:p>
    <w:p>
      <w:pPr>
        <w:spacing w:after="0" w:line="106" w:lineRule="exact"/>
        <w:rPr>
          <w:sz w:val="20"/>
          <w:szCs w:val="20"/>
          <w:color w:val="auto"/>
        </w:rPr>
      </w:pPr>
    </w:p>
    <w:p>
      <w:pPr>
        <w:jc w:val="both"/>
        <w:ind w:left="460" w:right="459" w:firstLine="1074"/>
        <w:spacing w:after="0" w:line="251" w:lineRule="auto"/>
        <w:tabs>
          <w:tab w:leader="none" w:pos="181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receive a request from the holders of Registrable Securities with an estimated market value of at least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 xml:space="preserve"> (the requesting holder(s) shall be referred to herein as the “</w:t>
      </w:r>
      <w:r>
        <w:rPr>
          <w:rFonts w:ascii="Times New Roman" w:cs="Times New Roman" w:eastAsia="Times New Roman" w:hAnsi="Times New Roman"/>
          <w:sz w:val="18"/>
          <w:szCs w:val="18"/>
          <w:b w:val="1"/>
          <w:bCs w:val="1"/>
          <w:u w:val="single" w:color="auto"/>
          <w:color w:val="auto"/>
        </w:rPr>
        <w:t>Requesting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color w:val="auto"/>
        </w:rPr>
        <w:t>”) that the Company effect the Underwritten Takedown of all or any portion of the Requesting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Registrable Securities, and specifying the intended method of disposition thereof, then the Company shall promptly give notice of such requested Underwritten Takedown at least ten (10) Business Days prior to the anticipated filing date of the prospectus or supplement relating to such Underwritten Takedown to the other Investors and thereupon shall use its reasonable best efforts to effect, as expeditiously as possible, the offering in such Underwritten Takedown of:</w:t>
      </w:r>
    </w:p>
    <w:p>
      <w:pPr>
        <w:spacing w:after="0" w:line="120" w:lineRule="exact"/>
        <w:rPr>
          <w:rFonts w:ascii="Times New Roman" w:cs="Times New Roman" w:eastAsia="Times New Roman" w:hAnsi="Times New Roman"/>
          <w:sz w:val="18"/>
          <w:szCs w:val="18"/>
          <w:color w:val="auto"/>
        </w:rPr>
      </w:pPr>
    </w:p>
    <w:p>
      <w:pPr>
        <w:ind w:left="460" w:right="479" w:firstLine="1290"/>
        <w:spacing w:after="0" w:line="261" w:lineRule="auto"/>
        <w:tabs>
          <w:tab w:leader="none" w:pos="1976"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all Registrable Securities for which the Requesting Holder has requested such offering under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and</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660" w:hanging="206"/>
        <w:spacing w:after="0"/>
        <w:tabs>
          <w:tab w:leader="none" w:pos="660" w:val="left"/>
        </w:tabs>
        <w:numPr>
          <w:ilvl w:val="0"/>
          <w:numId w:val="38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b w:val="1"/>
          <w:bCs w:val="1"/>
          <w:color w:val="auto"/>
        </w:rPr>
        <w:t xml:space="preserve">Note to Draft: </w:t>
      </w:r>
      <w:r>
        <w:rPr>
          <w:rFonts w:ascii="Times New Roman" w:cs="Times New Roman" w:eastAsia="Times New Roman" w:hAnsi="Times New Roman"/>
          <w:sz w:val="16"/>
          <w:szCs w:val="16"/>
          <w:color w:val="auto"/>
        </w:rPr>
        <w:t>Amount TBD based on post-Closing market cap and pro forma capitalization table.</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9" w:name="page410"/>
    <w:bookmarkEnd w:id="4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56" w:lineRule="auto"/>
        <w:tabs>
          <w:tab w:leader="none" w:pos="2041"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all other Registrable Securities that any holders of Registrable Securities (all such holders, together with the Requesting Holder, the “</w:t>
      </w:r>
      <w:r>
        <w:rPr>
          <w:rFonts w:ascii="Times New Roman" w:cs="Times New Roman" w:eastAsia="Times New Roman" w:hAnsi="Times New Roman"/>
          <w:sz w:val="18"/>
          <w:szCs w:val="18"/>
          <w:b w:val="1"/>
          <w:bCs w:val="1"/>
          <w:u w:val="single" w:color="auto"/>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color w:val="auto"/>
        </w:rPr>
        <w:t>”) have requested the Company to offer by request received by the Company within seven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after such holders receive the Company’s notice of the Underwritten Takedown, all to the extent necessary to permit the disposition (in accordance with the intended methods thereof as aforesaid) of the Registrable Securities so to be offered.</w:t>
      </w:r>
    </w:p>
    <w:p>
      <w:pPr>
        <w:spacing w:after="0" w:line="119" w:lineRule="exact"/>
        <w:rPr>
          <w:rFonts w:ascii="Times New Roman" w:cs="Times New Roman" w:eastAsia="Times New Roman" w:hAnsi="Times New Roman"/>
          <w:sz w:val="18"/>
          <w:szCs w:val="18"/>
          <w:color w:val="auto"/>
        </w:rPr>
      </w:pPr>
    </w:p>
    <w:p>
      <w:pPr>
        <w:jc w:val="both"/>
        <w:ind w:left="460" w:right="459" w:firstLine="1074"/>
        <w:spacing w:after="0" w:line="266" w:lineRule="auto"/>
        <w:tabs>
          <w:tab w:leader="none" w:pos="1797"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expiration of the seven-Business Day-period referred to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Company will notify all Selling Holders of the identities of the other Selling Holders and the number of shares of Registrable Securities requested to be included therein.</w:t>
      </w:r>
    </w:p>
    <w:p>
      <w:pPr>
        <w:spacing w:after="0" w:line="108" w:lineRule="exact"/>
        <w:rPr>
          <w:rFonts w:ascii="Times New Roman" w:cs="Times New Roman" w:eastAsia="Times New Roman" w:hAnsi="Times New Roman"/>
          <w:sz w:val="18"/>
          <w:szCs w:val="18"/>
          <w:color w:val="auto"/>
        </w:rPr>
      </w:pPr>
    </w:p>
    <w:p>
      <w:pPr>
        <w:jc w:val="both"/>
        <w:ind w:left="460" w:right="459" w:firstLine="1074"/>
        <w:spacing w:after="0" w:line="244" w:lineRule="auto"/>
        <w:tabs>
          <w:tab w:leader="none" w:pos="179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only be required to effectuate: (i) one Underwritten Takedown within any six-month period; (ii) no more than [•]</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8"/>
          <w:szCs w:val="18"/>
          <w:color w:val="auto"/>
        </w:rPr>
        <w:t xml:space="preserve"> Underwritten Takedowns in respect of all Registrable Securities held by the Company Investors after giving effect to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and (iii) no more than [•]</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8"/>
          <w:szCs w:val="18"/>
          <w:color w:val="auto"/>
        </w:rPr>
        <w:t xml:space="preserve"> Underwritten Takedowns in respect of all Registrable Securities held by Gemini Investors after giving effect to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w:t>
      </w:r>
    </w:p>
    <w:p>
      <w:pPr>
        <w:spacing w:after="0" w:line="116" w:lineRule="exact"/>
        <w:rPr>
          <w:rFonts w:ascii="Times New Roman" w:cs="Times New Roman" w:eastAsia="Times New Roman" w:hAnsi="Times New Roman"/>
          <w:sz w:val="18"/>
          <w:szCs w:val="18"/>
          <w:color w:val="auto"/>
        </w:rPr>
      </w:pPr>
    </w:p>
    <w:p>
      <w:pPr>
        <w:jc w:val="both"/>
        <w:ind w:left="460" w:right="459" w:firstLine="1074"/>
        <w:spacing w:after="0" w:line="254" w:lineRule="auto"/>
        <w:tabs>
          <w:tab w:leader="none" w:pos="182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managing underwriter in an Underwritten Takedown advises the Company and the Requesting Holder that, in its view, the number of shares of Registrable Securities requested to be included in such underwritten offering exceeds the largest number of shares that can be sold without having an adverse effect on such offering, including the price at which such shares can be sold, the shares included in such Underwritten Takedown will be reduced by the Registrable Securities held by the Selling Holders (applied on a pro rata basis based on the total number of Registrable Securities held by such Investors, subject to a determination by the Commission that certain Investors must be reduced first based on the number of Registrable Securities held by such Investors).</w:t>
      </w:r>
    </w:p>
    <w:p>
      <w:pPr>
        <w:spacing w:after="0" w:line="124"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Selection of Underwriters</w:t>
      </w:r>
      <w:r>
        <w:rPr>
          <w:rFonts w:ascii="Times New Roman" w:cs="Times New Roman" w:eastAsia="Times New Roman" w:hAnsi="Times New Roman"/>
          <w:sz w:val="18"/>
          <w:szCs w:val="18"/>
          <w:color w:val="auto"/>
        </w:rPr>
        <w:t>. Selling Holders holding a majority in interest of the Registrable Securities requested to be sold in an Underwritten Takedown shall have the right to select an Underwriter or Underwriters in connection with such Underwritten Takedown, which Underwriter or Underwriters shall be reasonably acceptable to the Company. In connection with an Underwritten Takedown, the Company shall enter into customary agreements (including an underwriting agreement in customary form) and take such other actions as are reasonably required in order to expedite or facilitate the disposition of the Registrable Securities in such Underwritten Takedown, including, if necessary, the engagement of a “qualified independent underwriter” in connection with the qualification of the underwriting arrangements with the Financial Industry Regulatory Authority, Inc.</w:t>
      </w:r>
    </w:p>
    <w:p>
      <w:pPr>
        <w:spacing w:after="0" w:line="12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 xml:space="preserve">2.1.7 Registrations effected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not be counted as Demand Registrations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49"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At any time and from time to time after the expiration of a lock-up to which such shares are subject, if any, (i) Company Investors who hold a majority in interest of the Registrable Securities held by all Company Investors or (ii) Company Investors who hold [•]</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8"/>
          <w:szCs w:val="18"/>
          <w:color w:val="auto"/>
        </w:rPr>
        <w:t xml:space="preserve"> of the Registrable Securities held by all Company Investors, as the case may be, may make a written demand for Registration under the Securities Act of all or any portion of their Registrable Securities on Form S-1 or any similar long-form Registration or, if then available, on Form S-3. Each registration requested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is referred to herein as a “</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Any demand for a Demand Registration shall specify the number of shares of Registrable Securities proposed to be sold and the intended method(s) of distribution thereof. The Company will notify all Investors that are holders of Registrable Securities of the demand, and each such holder of Registrable Securities who wishes to include all or a portion of such holder’s Registrable Securities in the Demand Registration (each such holder including shares of Registrable Securities in such registration, a “</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xml:space="preserve">”) shall so notify the Company within fifteen (15) days after the receipt by the holder of the notice from the Company. Upon any such request, the Demanding Holders shall be entitled to have their Registrable Securities included in the Demand Registration, subject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and the provisos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The Company shall not be obligated to effect: (a) more than one (1) Demand Registration during any six-month period; (b) any Demand Registration at any time there is an effective Resale Shelf Registration Statement on file with the Commission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(c) more than [•]</w:t>
      </w: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8"/>
          <w:szCs w:val="18"/>
          <w:color w:val="auto"/>
        </w:rPr>
        <w:t xml:space="preserve"> Underwritten Demand Registrations in respect of</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ectPr>
          <w:pgSz w:w="11900" w:h="16838" w:orient="portrait"/>
          <w:cols w:equalWidth="0" w:num="1">
            <w:col w:w="9019"/>
          </w:cols>
          <w:pgMar w:left="1440" w:top="270" w:right="1440" w:bottom="1440" w:gutter="0" w:footer="0" w:header="0"/>
        </w:sectPr>
      </w:pP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3</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4</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5</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6</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TBD based on post-Closing pro forma capitalization.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182" w:lineRule="exact"/>
        <w:rPr>
          <w:sz w:val="20"/>
          <w:szCs w:val="20"/>
          <w:color w:val="auto"/>
        </w:rPr>
      </w:pPr>
    </w:p>
    <w:p>
      <w:pPr>
        <w:sectPr>
          <w:pgSz w:w="11900" w:h="16838" w:orient="portrait"/>
          <w:cols w:equalWidth="0" w:num="2">
            <w:col w:w="500" w:space="160"/>
            <w:col w:w="835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Annex 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0" w:name="page411"/>
    <w:bookmarkEnd w:id="4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all Registrable Securities held by the Company Investors, each of which will also count as an Underwritten Takedown of the Company Investors under </w:t>
      </w:r>
      <w:r>
        <w:rPr>
          <w:rFonts w:ascii="Times New Roman" w:cs="Times New Roman" w:eastAsia="Times New Roman" w:hAnsi="Times New Roman"/>
          <w:sz w:val="18"/>
          <w:szCs w:val="18"/>
          <w:u w:val="single" w:color="auto"/>
          <w:color w:val="auto"/>
        </w:rPr>
        <w:t>Section 2.1.5(c)(ii)</w:t>
      </w:r>
      <w:r>
        <w:rPr>
          <w:rFonts w:ascii="Times New Roman" w:cs="Times New Roman" w:eastAsia="Times New Roman" w:hAnsi="Times New Roman"/>
          <w:sz w:val="18"/>
          <w:szCs w:val="18"/>
          <w:color w:val="auto"/>
        </w:rPr>
        <w:t>; or (d) more than [•]</w:t>
      </w:r>
      <w:r>
        <w:rPr>
          <w:rFonts w:ascii="Times New Roman" w:cs="Times New Roman" w:eastAsia="Times New Roman" w:hAnsi="Times New Roman"/>
          <w:sz w:val="20"/>
          <w:szCs w:val="20"/>
          <w:color w:val="auto"/>
          <w:vertAlign w:val="superscript"/>
        </w:rPr>
        <w:t>7</w:t>
      </w:r>
      <w:r>
        <w:rPr>
          <w:rFonts w:ascii="Times New Roman" w:cs="Times New Roman" w:eastAsia="Times New Roman" w:hAnsi="Times New Roman"/>
          <w:sz w:val="18"/>
          <w:szCs w:val="18"/>
          <w:color w:val="auto"/>
        </w:rPr>
        <w:t xml:space="preserve"> Underwritten Demand Registrations in respect of all Registrable Securities held by Gemini Investors, each of which will also count as an Underwritten Takedown of Gemini Investors under </w:t>
      </w:r>
      <w:r>
        <w:rPr>
          <w:rFonts w:ascii="Times New Roman" w:cs="Times New Roman" w:eastAsia="Times New Roman" w:hAnsi="Times New Roman"/>
          <w:sz w:val="18"/>
          <w:szCs w:val="18"/>
          <w:u w:val="single" w:color="auto"/>
          <w:color w:val="auto"/>
        </w:rPr>
        <w:t>Section 2.1.5(c)(iii)</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jc w:val="both"/>
        <w:ind w:left="460" w:right="47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24" w:lineRule="exact"/>
        <w:rPr>
          <w:sz w:val="20"/>
          <w:szCs w:val="20"/>
          <w:color w:val="auto"/>
        </w:rPr>
      </w:pPr>
    </w:p>
    <w:p>
      <w:pPr>
        <w:jc w:val="both"/>
        <w:ind w:left="460" w:right="459" w:firstLine="864"/>
        <w:spacing w:after="0" w:line="250"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If the Demanding Holders so elect and such holders so advise the Company as part of their written demand for a Demand Registration, the offering of such Registrable Securities pursuant to such Demand Registration shall be in the form of an underwritten offering with an estimated market value of at least $[•]</w:t>
      </w:r>
      <w:r>
        <w:rPr>
          <w:rFonts w:ascii="Times New Roman" w:cs="Times New Roman" w:eastAsia="Times New Roman" w:hAnsi="Times New Roman"/>
          <w:sz w:val="20"/>
          <w:szCs w:val="20"/>
          <w:color w:val="auto"/>
          <w:vertAlign w:val="superscript"/>
        </w:rPr>
        <w:t>8</w:t>
      </w:r>
      <w:r>
        <w:rPr>
          <w:rFonts w:ascii="Times New Roman" w:cs="Times New Roman" w:eastAsia="Times New Roman" w:hAnsi="Times New Roman"/>
          <w:sz w:val="18"/>
          <w:szCs w:val="18"/>
          <w:color w:val="auto"/>
        </w:rPr>
        <w:t>.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the holders initiating the Demand Registration, and subject to the approval of the Company.</w:t>
      </w:r>
    </w:p>
    <w:p>
      <w:pPr>
        <w:spacing w:after="0" w:line="115"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Common Stock or other securities which the Company desires to sell and the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Times New Roman" w:cs="Times New Roman" w:eastAsia="Times New Roman" w:hAnsi="Times New Roman"/>
          <w:sz w:val="18"/>
          <w:szCs w:val="18"/>
          <w:b w:val="1"/>
          <w:bCs w:val="1"/>
          <w:u w:val="single" w:color="auto"/>
          <w:color w:val="auto"/>
        </w:rPr>
        <w:t>Pro Rata</w:t>
      </w:r>
      <w:r>
        <w:rPr>
          <w:rFonts w:ascii="Times New Roman" w:cs="Times New Roman" w:eastAsia="Times New Roman" w:hAnsi="Times New Roman"/>
          <w:sz w:val="18"/>
          <w:szCs w:val="18"/>
          <w:color w:val="auto"/>
        </w:rPr>
        <w:t>”)) that can be sold without exceeding the Maximum Number of Shares; (ii) second, to the extent that the Maximum Number of Shares has not been reached under the foregoing clause (i), the Common Stock or other securities that the Company desires to sell that can be sold without exceeding the Maximum Number of Shares; (iii) third, to the extent that the Maximum Number of Shares has not been reached under the foregoing clauses (i) and (ii), the Common Stock or other securities for the account of other persons that the Company is obligated to register pursuant to written contractual arrangements with such persons, as to which “piggy-back” registration has been requested by the holders thereof, Pro Rata, that can be sold without exceeding the Maximum Number of Shares.</w:t>
      </w:r>
    </w:p>
    <w:p>
      <w:pPr>
        <w:spacing w:after="0" w:line="122"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A Demanding Holder shall have the right to withdraw all or any portion of its Registrable Securities included in an Underwritten Offering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for any reason or no reason whatsoever upon written notice to the Company and the Underwriter or Underwriters of its intention to withdraw from such Underwritten Offering prior to the pricing of such Underwritten Offering and such withdrawn amount shall no longer be considered an Underwritten Offering. Notwithstanding anything to the contrary in this Agreement, the Company shall be responsible for the registration expenses incurred in connection with an Underwritten Offering prior to its withdrawal under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ectPr>
          <w:pgSz w:w="11900" w:h="16838" w:orient="portrait"/>
          <w:cols w:equalWidth="0" w:num="1">
            <w:col w:w="9019"/>
          </w:cols>
          <w:pgMar w:left="1440" w:top="270" w:right="1440" w:bottom="1440" w:gutter="0" w:footer="0" w:header="0"/>
        </w:sectPr>
      </w:pP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7</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8</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Amount TBD based on post-Closing market cap and pro forma capitalization table.</w:t>
      </w:r>
    </w:p>
    <w:p>
      <w:pPr>
        <w:spacing w:after="0" w:line="182" w:lineRule="exact"/>
        <w:rPr>
          <w:sz w:val="20"/>
          <w:szCs w:val="20"/>
          <w:color w:val="auto"/>
        </w:rPr>
      </w:pPr>
    </w:p>
    <w:p>
      <w:pPr>
        <w:sectPr>
          <w:pgSz w:w="11900" w:h="16838" w:orient="portrait"/>
          <w:cols w:equalWidth="0" w:num="2">
            <w:col w:w="500" w:space="160"/>
            <w:col w:w="835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Annex 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1" w:name="page412"/>
    <w:bookmarkEnd w:id="4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xml:space="preserve">. If at any time after the first anniversary of the date of this Agreement,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other than a Registration Statement (i) filed in connection with any employee stock option or other benefit plan,</w:t>
      </w:r>
    </w:p>
    <w:p>
      <w:pPr>
        <w:spacing w:after="0" w:line="5" w:lineRule="exact"/>
        <w:rPr>
          <w:sz w:val="20"/>
          <w:szCs w:val="20"/>
          <w:color w:val="auto"/>
        </w:rPr>
      </w:pPr>
    </w:p>
    <w:p>
      <w:pPr>
        <w:jc w:val="both"/>
        <w:ind w:left="460" w:right="459" w:hanging="6"/>
        <w:spacing w:after="0" w:line="250" w:lineRule="auto"/>
        <w:tabs>
          <w:tab w:leader="none" w:pos="74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44"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to the holders of Registrable Securities in such notice the opportunity to register the sale of such number of shares of Registrable Securities as such holders may request in writing within five (5) days following receipt of such notice (a “</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xml:space="preserve">”). The rights provided under this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 xml:space="preserve"> shall not be available to any Investor at such time as (i) there is an effective Resale Shelf Registration Statement available for the resale of the Registerable Securities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(ii) such Registration is solely to be used for the offering of securities by the Company for its own account and (iii) no other shareholder of the Company is entitled to participate in such Registration.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24"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xml:space="preserve">. If the managing Underwriter or Underwriters for a Piggy-Back Registration that is to be an underwritten offering advises the Company and the holders of Registrable Securities in writing that the dollar amount or number of Common Stock which the Company desires to sell, taken together with Common Stock, if any, as to which registration has been demanded pursuant to written contractual arrangements with persons other than the holders of Registrable Securities hereunder and the Registrable Securities as to which registration has been requested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exceeds the Maximum Number of Shares, then the Company shall include in any such registration:</w:t>
      </w:r>
    </w:p>
    <w:p>
      <w:pPr>
        <w:spacing w:after="0" w:line="108" w:lineRule="exact"/>
        <w:rPr>
          <w:sz w:val="20"/>
          <w:szCs w:val="20"/>
          <w:color w:val="auto"/>
        </w:rPr>
      </w:pPr>
    </w:p>
    <w:p>
      <w:pPr>
        <w:jc w:val="both"/>
        <w:ind w:left="460" w:right="459" w:firstLine="1074"/>
        <w:spacing w:after="0" w:line="254" w:lineRule="auto"/>
        <w:tabs>
          <w:tab w:leader="none" w:pos="1795"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undertaken for the Company’s account: (A) first, the Common Stock or other securities that the Company desires to sell that can be sold without exceeding the Maximum Number of Shares; and (B) second, to the extent that the Maximum Number of Shares has not been reached under the foregoing clause (A), the Common Stock or other securities, if any, comprised of Registrable Securities, as to which registration has been requested pursuant to the terms hereof, that can be sold without exceeding the Maximum Number of Shares, Pro Rata; and (C) third, to the extent that the Maximum Number of shares has not been reached under the foregoing clauses (A) and (B), the Common Stock or other securities for the account of other persons that the Company is obligated to register pursuant to written contractual piggy-back registration rights with such persons and that can be sold without exceeding the Maximum Number of Shares; and</w:t>
      </w:r>
    </w:p>
    <w:p>
      <w:pPr>
        <w:spacing w:after="0" w:line="120" w:lineRule="exact"/>
        <w:rPr>
          <w:rFonts w:ascii="Times New Roman" w:cs="Times New Roman" w:eastAsia="Times New Roman" w:hAnsi="Times New Roman"/>
          <w:sz w:val="18"/>
          <w:szCs w:val="18"/>
          <w:color w:val="auto"/>
        </w:rPr>
      </w:pPr>
    </w:p>
    <w:p>
      <w:pPr>
        <w:jc w:val="both"/>
        <w:ind w:left="460" w:right="459" w:firstLine="1074"/>
        <w:spacing w:after="0" w:line="253" w:lineRule="auto"/>
        <w:tabs>
          <w:tab w:leader="none" w:pos="1803"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a “demand” registration undertaken at the demand of persons other than either the holders of Registrable Securities, (A) first, the Common Stock or other securities for the account of the demanding persons that can be sold without exceeding the Maximum Number of Shares; (B) second, to the extent that the Maximum Number of Shares has not been reached under the foregoing clause (A), the Common Stock or other securities that the Company desires to sell that can be sold without exceeding the Maximum Number of Shares; (C) third, to the extent that the Maximum Number of Shares has not been reached under the foregoing clauses (A) and (B), the Common Stock or other securities, if any,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Common Stock or other securities for the account of other persons that the Company is obligated to register pursuant to written contractual arrangements with such persons, that can be sold without exceeding the Maximum Number of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2" w:name="page413"/>
    <w:bookmarkEnd w:id="4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64"/>
        <w:spacing w:after="0" w:line="254"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 REGISTRATION PROCEDURES.</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Filings; Information</w:t>
      </w:r>
      <w:r>
        <w:rPr>
          <w:rFonts w:ascii="Times New Roman" w:cs="Times New Roman" w:eastAsia="Times New Roman" w:hAnsi="Times New Roman"/>
          <w:sz w:val="18"/>
          <w:szCs w:val="18"/>
          <w:color w:val="auto"/>
        </w:rPr>
        <w:t xml:space="preserve">. Whenever the Company is required to effect the registration of any Registrable Securities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Company shall use its commercially reasonable best efforts to effect the registration and sale of such Registrable Securities in accordance with the intended method(s) of distribution thereof as expeditiously as practicable, and in connection with any such request:</w:t>
      </w:r>
    </w:p>
    <w:p>
      <w:pPr>
        <w:spacing w:after="0" w:line="99"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Filing Registration Statement</w:t>
      </w:r>
      <w:r>
        <w:rPr>
          <w:rFonts w:ascii="Times New Roman" w:cs="Times New Roman" w:eastAsia="Times New Roman" w:hAnsi="Times New Roman"/>
          <w:sz w:val="18"/>
          <w:szCs w:val="18"/>
          <w:color w:val="auto"/>
        </w:rPr>
        <w:t xml:space="preserve">. The Company shall use its reasonable best efforts to, as expeditiously as possible after receipt of a request for a Demand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reasonable best efforts to cause such Registration Statement to become effective and use its reasonable best efforts to keep it effective for the Effectiveness Period; provided, however, that the Company shall have the right to defer any Demand Registration for up to sixty (60) days, and any Piggy-Back Registration for such period as may be applicable to deferment of any Demand Registration to which such Piggy-Back Registration relates, in each case if, in the good faith judgment of the Board of Directors of the Company (the “</w:t>
      </w:r>
      <w:r>
        <w:rPr>
          <w:rFonts w:ascii="Times New Roman" w:cs="Times New Roman" w:eastAsia="Times New Roman" w:hAnsi="Times New Roman"/>
          <w:sz w:val="18"/>
          <w:szCs w:val="18"/>
          <w:b w:val="1"/>
          <w:bCs w:val="1"/>
          <w:u w:val="single" w:color="auto"/>
          <w:color w:val="auto"/>
        </w:rPr>
        <w:t>Company Board</w:t>
      </w:r>
      <w:r>
        <w:rPr>
          <w:rFonts w:ascii="Times New Roman" w:cs="Times New Roman" w:eastAsia="Times New Roman" w:hAnsi="Times New Roman"/>
          <w:sz w:val="18"/>
          <w:szCs w:val="18"/>
          <w:color w:val="auto"/>
        </w:rPr>
        <w:t>”), it would be materially detrimental to the Company and its shareholders for such Registration Statement to be effected at such time; provided, further, however, that the Company shall not have the right to exercise the right set forth in the immediately preceding proviso for more than a total of ninety</w:t>
      </w:r>
    </w:p>
    <w:p>
      <w:pPr>
        <w:spacing w:after="0" w:line="1" w:lineRule="exact"/>
        <w:rPr>
          <w:sz w:val="20"/>
          <w:szCs w:val="20"/>
          <w:color w:val="auto"/>
        </w:rPr>
      </w:pPr>
    </w:p>
    <w:p>
      <w:pPr>
        <w:ind w:left="460" w:right="479" w:hanging="6"/>
        <w:spacing w:after="0" w:line="260" w:lineRule="auto"/>
        <w:tabs>
          <w:tab w:leader="none" w:pos="832"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calendar days, or more than one hundred twenty (120) total calendar days in any 365-day period.</w:t>
      </w:r>
    </w:p>
    <w:p>
      <w:pPr>
        <w:spacing w:after="0" w:line="114"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Copies</w:t>
      </w:r>
      <w:r>
        <w:rPr>
          <w:rFonts w:ascii="Times New Roman" w:cs="Times New Roman" w:eastAsia="Times New Roman" w:hAnsi="Times New Roman"/>
          <w:sz w:val="18"/>
          <w:szCs w:val="18"/>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24"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Until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w:t>
      </w:r>
    </w:p>
    <w:p>
      <w:pPr>
        <w:spacing w:after="0" w:line="3" w:lineRule="exact"/>
        <w:rPr>
          <w:sz w:val="20"/>
          <w:szCs w:val="20"/>
          <w:color w:val="auto"/>
        </w:rPr>
      </w:pPr>
    </w:p>
    <w:p>
      <w:pPr>
        <w:jc w:val="both"/>
        <w:ind w:left="460" w:right="459" w:hanging="6"/>
        <w:spacing w:after="0" w:line="252" w:lineRule="auto"/>
        <w:tabs>
          <w:tab w:leader="none" w:pos="75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all Registrable Securities are permitted to sell the Registrable Securities under Rule 144 (or any similar provision) under the Securities Act without limitation on the amount of securities sold or the manner of sale,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(the “</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3" w:name="page414"/>
    <w:bookmarkEnd w:id="4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w:t>
      </w:r>
    </w:p>
    <w:p>
      <w:pPr>
        <w:spacing w:after="0" w:line="121" w:lineRule="exact"/>
        <w:rPr>
          <w:sz w:val="20"/>
          <w:szCs w:val="20"/>
          <w:color w:val="auto"/>
        </w:rPr>
      </w:pPr>
    </w:p>
    <w:p>
      <w:pPr>
        <w:jc w:val="both"/>
        <w:ind w:left="460" w:right="479" w:firstLine="864"/>
        <w:spacing w:after="0" w:line="253"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Securities Laws Compliance</w:t>
      </w:r>
      <w:r>
        <w:rPr>
          <w:rFonts w:ascii="Times New Roman" w:cs="Times New Roman" w:eastAsia="Times New Roman" w:hAnsi="Times New Roman"/>
          <w:sz w:val="18"/>
          <w:szCs w:val="18"/>
          <w:color w:val="auto"/>
        </w:rPr>
        <w:t>. The Company shall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124"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Agreements for Disposition</w:t>
      </w:r>
      <w:r>
        <w:rPr>
          <w:rFonts w:ascii="Times New Roman" w:cs="Times New Roman" w:eastAsia="Times New Roman" w:hAnsi="Times New Roman"/>
          <w:sz w:val="18"/>
          <w:szCs w:val="18"/>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and the representations, warranties and covenants of the holders of Registrable Securities included in such registration statement in any underwriting agreement which are made to or for the benefit of any Underwriters, to the extent applicable, shall also be made to and for the benefit of the Company.</w:t>
      </w:r>
    </w:p>
    <w:p>
      <w:pPr>
        <w:spacing w:after="0" w:line="107"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The Company shall obtain a “cold comfort” letter from the Company’s independent registered public accountants in the event of an underwritten offering, in customary form and covering such matters of the type customarily covered by “cold comfort” letters as the managing Underwriter may reasonably request, and reasonably satisfactory to a majority-in-interest of the participating holders.</w:t>
      </w:r>
    </w:p>
    <w:p>
      <w:pPr>
        <w:spacing w:after="0" w:line="112"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Opinions</w:t>
      </w:r>
      <w:r>
        <w:rPr>
          <w:rFonts w:ascii="Times New Roman" w:cs="Times New Roman" w:eastAsia="Times New Roman" w:hAnsi="Times New Roman"/>
          <w:sz w:val="18"/>
          <w:szCs w:val="18"/>
          <w:color w:val="auto"/>
        </w:rPr>
        <w:t>. On the date the Registrable Securities are delivered for sale pursuant to any Registration, the Company shall obtain an opinion, dated such date, of one (1)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reasonably satisfactory to a majority in interest of the participating holders.</w:t>
      </w:r>
    </w:p>
    <w:p>
      <w:pPr>
        <w:spacing w:after="0" w:line="121"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 If an Underwritten Offering involves Registrable Securities with a total offering price (including piggyback securities and before deducting underwriting discounts) to exceed $[•], the Company will use its reasonable best efforts to make available senior executives of the Company to participate in customary “road show” presentations that may be reasonably requested by the Underwriter in the Underwritten Offering.</w:t>
      </w:r>
    </w:p>
    <w:p>
      <w:pPr>
        <w:spacing w:after="0" w:line="113"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3.1.10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Upon execution of confidentiality agreements,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4" w:name="page415"/>
    <w:bookmarkEnd w:id="4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 xml:space="preserve">3.1.11 </w:t>
      </w: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12"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 xml:space="preserve">3.1.12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its reasonable best efforts to cause all Registrable Securities included in any Registration Statement to be listed on such exchanges or otherwise designated for trading in the same manner as similar securities issued by the Company are then listed or designated.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Obligation to Suspend Distribution</w:t>
      </w:r>
      <w:r>
        <w:rPr>
          <w:rFonts w:ascii="Times New Roman" w:cs="Times New Roman" w:eastAsia="Times New Roman" w:hAnsi="Times New Roman"/>
          <w:sz w:val="18"/>
          <w:szCs w:val="18"/>
          <w:color w:val="auto"/>
        </w:rPr>
        <w:t xml:space="preserve">. Upon receipt of any notice from the Company of the happening of any event of the kind described in </w:t>
      </w:r>
      <w:r>
        <w:rPr>
          <w:rFonts w:ascii="Times New Roman" w:cs="Times New Roman" w:eastAsia="Times New Roman" w:hAnsi="Times New Roman"/>
          <w:sz w:val="18"/>
          <w:szCs w:val="18"/>
          <w:u w:val="single" w:color="auto"/>
          <w:color w:val="auto"/>
        </w:rPr>
        <w:t>Section 3.1.4(iv)</w:t>
      </w:r>
      <w:r>
        <w:rPr>
          <w:rFonts w:ascii="Times New Roman" w:cs="Times New Roman" w:eastAsia="Times New Roman" w:hAnsi="Times New Roman"/>
          <w:sz w:val="18"/>
          <w:szCs w:val="18"/>
          <w:color w:val="auto"/>
        </w:rPr>
        <w:t xml:space="preserve">, or, upon any suspension by the Company, pursuant to a written insider trading compliance program adopted by the Company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w:t>
      </w:r>
      <w:r>
        <w:rPr>
          <w:rFonts w:ascii="Times New Roman" w:cs="Times New Roman" w:eastAsia="Times New Roman" w:hAnsi="Times New Roman"/>
          <w:sz w:val="18"/>
          <w:szCs w:val="18"/>
          <w:u w:val="single" w:color="auto"/>
          <w:color w:val="auto"/>
        </w:rPr>
        <w:t>Section 3.1.4(iv)</w:t>
      </w:r>
      <w:r>
        <w:rPr>
          <w:rFonts w:ascii="Times New Roman" w:cs="Times New Roman" w:eastAsia="Times New Roman" w:hAnsi="Times New Roman"/>
          <w:sz w:val="18"/>
          <w:szCs w:val="18"/>
          <w:color w:val="auto"/>
        </w:rPr>
        <w:t xml:space="preserve">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The Company shall bear all costs and expenses incurred in connection with the Resale Shelf Registration Statement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any Demand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any Underwritten Takedown pursuant to </w:t>
      </w:r>
      <w:r>
        <w:rPr>
          <w:rFonts w:ascii="Times New Roman" w:cs="Times New Roman" w:eastAsia="Times New Roman" w:hAnsi="Times New Roman"/>
          <w:sz w:val="18"/>
          <w:szCs w:val="18"/>
          <w:u w:val="single" w:color="auto"/>
          <w:color w:val="auto"/>
        </w:rPr>
        <w:t>Section 2.1.5(a)(i)</w:t>
      </w:r>
      <w:r>
        <w:rPr>
          <w:rFonts w:ascii="Times New Roman" w:cs="Times New Roman" w:eastAsia="Times New Roman" w:hAnsi="Times New Roman"/>
          <w:sz w:val="18"/>
          <w:szCs w:val="18"/>
          <w:color w:val="auto"/>
        </w:rPr>
        <w:t xml:space="preserve">, any Piggy-Back Registration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any registration on Form S-3 effected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w:t>
      </w:r>
      <w:r>
        <w:rPr>
          <w:rFonts w:ascii="Times New Roman" w:cs="Times New Roman" w:eastAsia="Times New Roman" w:hAnsi="Times New Roman"/>
          <w:sz w:val="18"/>
          <w:szCs w:val="18"/>
          <w:u w:val="single" w:color="auto"/>
          <w:color w:val="auto"/>
        </w:rPr>
        <w:t>Section 3.1.10</w:t>
      </w:r>
      <w:r>
        <w:rPr>
          <w:rFonts w:ascii="Times New Roman" w:cs="Times New Roman" w:eastAsia="Times New Roman" w:hAnsi="Times New Roman"/>
          <w:sz w:val="18"/>
          <w:szCs w:val="18"/>
          <w:color w:val="auto"/>
        </w:rPr>
        <w:t>; (vi) Financial Industry Regulatory Authority fees; (vii) fees and disbursements of counsel for the Company and fees and expenses for independent certified public accountants retained by the Company; (viii) the fees and expenses of any special experts retained by the Company in connection with such registration and (ix) the reasonable fees and expenses of one legal counsel selected by the holders of a majority-in-interest of the Registrable Securities included in such registration not to exceed $25,000.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Underwriter’s marketing costs pro rata in proportion to the respective amount of shares each is selling in such offering.</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holders of Registrable Securities shall promptly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and in connection with the Company’s obligation to comply with Federal and applicable state securities laws.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 INDEMNIFICATION AND CONTRIBUTION.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5" w:name="page416"/>
    <w:bookmarkEnd w:id="4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shall indemnify the Underwriters, their officers, directors and each person who controls such Underwriters (within the meaning of the Securities Act) to the same extent as provided in the foregoing sentence with respect to the indemnification of the holders.</w:t>
      </w:r>
    </w:p>
    <w:p>
      <w:pPr>
        <w:spacing w:after="0" w:line="13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Indemnification by Holders of Registrable Securities</w:t>
      </w:r>
      <w:r>
        <w:rPr>
          <w:rFonts w:ascii="Times New Roman" w:cs="Times New Roman" w:eastAsia="Times New Roman" w:hAnsi="Times New Roman"/>
          <w:sz w:val="18"/>
          <w:szCs w:val="18"/>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other selling holder and each other person, if any, who controls another selling holder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but only to the extent that such untrue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 The selling holders shall indemnify the Underwriters, their officers, directors and each person who controls such Underwriters (within the meaning of the Securities Act) to the same extent as provided in the foregoing with respect to the indemnification of the Company.</w:t>
      </w:r>
    </w:p>
    <w:p>
      <w:pPr>
        <w:spacing w:after="0" w:line="120"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xml:space="preserve">. Promptly after receipt by any person of any notice of any loss, claim, damage or liability or any action in respect of which indemnity may be sought pursuant to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such person (the “</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shall, if a claim in respect thereof is to be made against any other person for indemnification hereunder, notify such other person (the “</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which counsel is reasonably acceptable to the Indemnifying Party)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6" w:name="page417"/>
    <w:bookmarkEnd w:id="4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4.4.1 If the indemnification provided for in the foregoing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111"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 xml:space="preserve">4.4.2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4.4.2</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the immediately preceding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 UNDERWRITING AND DISTRIBUTION.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such holders with true and complete copies of all such filings. The Company further covenants that it shall take such further action as any such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 LOCK-UP AGREEMENTS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Investor Lock-Up</w:t>
      </w:r>
      <w:r>
        <w:rPr>
          <w:rFonts w:ascii="Times New Roman" w:cs="Times New Roman" w:eastAsia="Times New Roman" w:hAnsi="Times New Roman"/>
          <w:sz w:val="18"/>
          <w:szCs w:val="18"/>
          <w:color w:val="auto"/>
        </w:rPr>
        <w:t>. Each Investor agrees that such Investor shall not Transfer any shares of Common Stock or any securities convertible into or exercisable or exchangeable (directly or indirectly) for Common Stock (whether such shares of Common Stock or any such securities are held by such Investor as of the date of this Agreement or are thereafter acquired) for one hundred eighty (180) days following the Closing Date (as such term is defined in the Merger Agreement). The foregoing restriction is expressly agreed to preclude each Investor during the Lock-up Period from engaging in any hedging or other transaction which is designed to or which reasonably could be expected to lead to or result in a sale or disposition of such Investor’s shares of Common Stock even if such shares of Common Stock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Investor’s shares of Common Stock or with respect to any security that includes, relates to, or derives any significant part of its value from such shares of Common Stock.</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7" w:name="page418"/>
    <w:bookmarkEnd w:id="4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The foregoing notwithstanding, each executive officer and director of the Company shall be permitted to establish a plan to acquire and sell shares of Common Stock pursuant to Rule 10b5-1 under the Exchange Act; provided, however, no sale of shares under any such plan shall be made prior to the expiration of the one hundred eighty (180) lock-up period referred to in the first sentence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 MISCELLANEOUS.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Other Registration Rights and Arrangements</w:t>
      </w:r>
      <w:r>
        <w:rPr>
          <w:rFonts w:ascii="Times New Roman" w:cs="Times New Roman" w:eastAsia="Times New Roman" w:hAnsi="Times New Roman"/>
          <w:sz w:val="18"/>
          <w:szCs w:val="18"/>
          <w:color w:val="auto"/>
        </w:rPr>
        <w:t>. The Company represents and warrants that no person, other than a holder of the Registrable Securities has any right to require the Company to register any of the Company’s share capital for sale or to include the Company’s share capital in any registration filed by the Company for the sale of shares for its own account or for the account of any other person. Company and the Company Investors hereby terminate the Prior Agreement, which shall be of no further force and effect and is hereby superseded and replaced in its entirety by this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 xml:space="preserve">.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permitted transfer of Registrable Securities by any such holder. This Agreement and the provisions hereof shall be binding upon and shall inure to the benefit of each of the parties hereto and their respective successors and assigns and the holders of Registrable Securities and their respective successors and permitted assigns. This Agreement is not intended to confer any rights or benefits on any persons that are not party hereto other than as expressly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The rights of a holder of Registrable Securities under this Agreement may be transferred by such a holder to a transferee who acquires or holds Registrable Securities; provided, however, that such transferee has executed and delivered to the Company a properly completed agreement to be bound by the terms of this Agreement substantially in form attached hereto as Exhibit A (an “</w:t>
      </w:r>
      <w:r>
        <w:rPr>
          <w:rFonts w:ascii="Times New Roman" w:cs="Times New Roman" w:eastAsia="Times New Roman" w:hAnsi="Times New Roman"/>
          <w:sz w:val="18"/>
          <w:szCs w:val="18"/>
          <w:b w:val="1"/>
          <w:bCs w:val="1"/>
          <w:u w:val="single" w:color="auto"/>
          <w:color w:val="auto"/>
        </w:rPr>
        <w:t>Addendum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and the transferor shall have delivered to the Company no later than thirty (30) days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the transfer, written notification of such transfer setting forth the name of the transferor, the name and address of the transferee, and the number of Registrable Securities so transferred. The execution of an Addendum Agreement shall constitute a permitted amendment of this Agreement.</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Without limiting the generality of the foregoing, clause “(ii) of the definition of “Registrable Securities, Section 2.1.5(c)(ii), Section 2.2.1(i), Section 2.2.1(c), Section 6.1 and Section 7.4 shall only be waived, amended and modified by the Company Investors who hold a majority in interest of the Registrable Securities held by all Company Investors at the time in question.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2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upon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w:t>
      </w:r>
    </w:p>
    <w:p>
      <w:pPr>
        <w:spacing w:after="0" w:line="3" w:lineRule="exact"/>
        <w:rPr>
          <w:sz w:val="20"/>
          <w:szCs w:val="20"/>
          <w:color w:val="auto"/>
        </w:rPr>
      </w:pPr>
    </w:p>
    <w:p>
      <w:pPr>
        <w:jc w:val="both"/>
        <w:ind w:left="460" w:right="479" w:hanging="6"/>
        <w:spacing w:after="0" w:line="251" w:lineRule="auto"/>
        <w:tabs>
          <w:tab w:leader="none" w:pos="754"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all Registrable Securities are permitted to sell the Registrable Securities under Rule 144 (or any similar provision) under the Securities Act without limitation on the amount of securities sold or the manner of sale; provided further that with respect to any Investor, such Investor will have no rights under this Agreement and all obligations of the Company to such Investor under this Agreement shall terminate upon the earlier of (x) the date such Investor ceases to hold at least [•] Registrable Securities or (y) if such Investor is an individual and such Investor is a director or an executive officer of Gemini as of immediately prior to the consummation of the Merger, the date such Investor is no longer an affiliate of the Company; provided, however, that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survive such termination.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8" w:name="page419"/>
    <w:bookmarkEnd w:id="4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or other communications (collectively,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required or permitted to be given hereunder or which are given with respect to this Agreement shall be in writing and shall be personally served, delivered by reputable air courier service with charges prepaid, or transmitted by facsimile or email, addressed as set forth below, or to such other address as such party shall have specified most recently by written notice. Notice shall be deemed given (i) on the date of service or transmission if personally served or transmitted by telegram, telex or facsimile; provided, that if such service or transmission is not on a Business Day or is after normal business hours, then such notice shall be deemed given on the next Business Day (ii) one Business Day after being deposited with a reputable courier service with an order for next-day delivery, to the parties as follows: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w:t>
      </w:r>
    </w:p>
    <w:p>
      <w:pPr>
        <w:ind w:left="88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8"/>
          <w:szCs w:val="18"/>
          <w:color w:val="auto"/>
        </w:rPr>
        <w:t>Attn:</w:t>
        <w:tab/>
        <w:t>Mitchell S. Bloom</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mbloom@goodwinlaw.com</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Company:</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Facsimile: [____________]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[_______________]</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Facsimile: [____________]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[_______________]</w:t>
      </w:r>
    </w:p>
    <w:p>
      <w:pPr>
        <w:spacing w:after="0" w:line="13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to an Investor, to the address set forth under such Investor’s signature to this Agreement or to such Investor’s address as found in the Company’s books and records.</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each of which shall be deemed an original, and all of which taken together shall constitute one and the same instrument.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9" w:name="page420"/>
    <w:bookmarkEnd w:id="4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including without limitation the Prior Agreement.</w:t>
      </w:r>
    </w:p>
    <w:p>
      <w:pPr>
        <w:spacing w:after="0" w:line="11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8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0" w:name="page421"/>
    <w:bookmarkEnd w:id="4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Registration Rights Agreement to be executed and delivered by their duly authorized representatives as of the date first written above.</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u w:val="single" w:color="auto"/>
          <w:color w:val="auto"/>
        </w:rPr>
        <w:t>FS DEVELOPMENT CORP.</w:t>
      </w:r>
    </w:p>
    <w:p>
      <w:pPr>
        <w:spacing w:after="0" w:line="7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43180</wp:posOffset>
            </wp:positionV>
            <wp:extent cx="20148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5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EGISTRATION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1" w:name="page422"/>
    <w:bookmarkEnd w:id="4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Registration Rights Agreement to be executed and delivered by their duly authorized representatives as of the date first written above.</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u w:val="single" w:color="auto"/>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222885</wp:posOffset>
            </wp:positionV>
            <wp:extent cx="230568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4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Address: [__________]</w:t>
      </w:r>
    </w:p>
    <w:p>
      <w:pPr>
        <w:spacing w:after="0" w:line="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[__________]</w:t>
      </w:r>
    </w:p>
    <w:p>
      <w:pPr>
        <w:spacing w:after="0" w:line="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2" w:name="page423"/>
    <w:bookmarkEnd w:id="4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Addendum Agreement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Addendum Agreement (“</w:t>
      </w:r>
      <w:r>
        <w:rPr>
          <w:rFonts w:ascii="Times New Roman" w:cs="Times New Roman" w:eastAsia="Times New Roman" w:hAnsi="Times New Roman"/>
          <w:sz w:val="18"/>
          <w:szCs w:val="18"/>
          <w:u w:val="single" w:color="auto"/>
          <w:color w:val="auto"/>
        </w:rPr>
        <w:t>Addendum Agreement</w:t>
      </w:r>
      <w:r>
        <w:rPr>
          <w:rFonts w:ascii="Times New Roman" w:cs="Times New Roman" w:eastAsia="Times New Roman" w:hAnsi="Times New Roman"/>
          <w:sz w:val="18"/>
          <w:szCs w:val="18"/>
          <w:color w:val="auto"/>
        </w:rPr>
        <w:t>”) is executed on __________________, 20___, by</w:t>
      </w:r>
    </w:p>
    <w:p>
      <w:pPr>
        <w:spacing w:after="0" w:line="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undersigned (the “</w:t>
      </w:r>
      <w:r>
        <w:rPr>
          <w:rFonts w:ascii="Times New Roman" w:cs="Times New Roman" w:eastAsia="Times New Roman" w:hAnsi="Times New Roman"/>
          <w:sz w:val="18"/>
          <w:szCs w:val="18"/>
          <w:u w:val="single" w:color="auto"/>
          <w:color w:val="auto"/>
        </w:rPr>
        <w:t>New Holder</w:t>
      </w:r>
      <w:r>
        <w:rPr>
          <w:rFonts w:ascii="Times New Roman" w:cs="Times New Roman" w:eastAsia="Times New Roman" w:hAnsi="Times New Roman"/>
          <w:sz w:val="18"/>
          <w:szCs w:val="18"/>
          <w:color w:val="auto"/>
        </w:rPr>
        <w:t>”) pursuant to the terms of that certain Registration Rights Agreement dated as of [•], 2020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Company and the Investors identified therein, as such Agreement may be amended, supplemented or otherwise modified from time to time. Capitalized terms used but not defined in this Addendum Agreement shall have the respective meanings ascribed to such terms in the Agreement. By the execution of this Addendum Agreement, the New Holder agrees as follows:</w:t>
      </w:r>
    </w:p>
    <w:p>
      <w:pPr>
        <w:spacing w:after="0" w:line="119" w:lineRule="exact"/>
        <w:rPr>
          <w:sz w:val="20"/>
          <w:szCs w:val="20"/>
          <w:color w:val="auto"/>
        </w:rPr>
      </w:pPr>
    </w:p>
    <w:p>
      <w:pPr>
        <w:jc w:val="both"/>
        <w:ind w:left="460" w:right="459" w:firstLine="426"/>
        <w:spacing w:after="0" w:line="261" w:lineRule="auto"/>
        <w:tabs>
          <w:tab w:leader="none" w:pos="1072"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New Holder acknowledges that New Holder is acquiring certain shares of common stock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as a transferee of such Shares from a party in such party’s capacity as a holder of Registrable Securities under the Agreement, and after such transfer, New Holder shall be considered an “Investor” and a holder of Registrable Securities for all purposes under the Agreement.</w:t>
      </w:r>
    </w:p>
    <w:p>
      <w:pPr>
        <w:spacing w:after="0" w:line="112"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072"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New Holder hereby (a) agrees that the Shares shall be bound by and subject to the terms of the Agreement and (b) adopts the Agreement with the same force and effect as if the New Holder were originally a party thereto.</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72"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required or permitted by the Agreement shall be given to New Holder at the address or facsimile number listed below New Holder’s signature below.</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w:t>
            </w: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w:t>
            </w: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ACCEPTED AND AGREED:</w:t>
            </w:r>
          </w:p>
        </w:tc>
        <w:tc>
          <w:tcPr>
            <w:tcW w:w="0" w:type="dxa"/>
            <w:vAlign w:val="bottom"/>
          </w:tcPr>
          <w:p>
            <w:pPr>
              <w:spacing w:after="0"/>
              <w:rPr>
                <w:sz w:val="1"/>
                <w:szCs w:val="1"/>
                <w:color w:val="auto"/>
              </w:rPr>
            </w:pP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w:t>
            </w: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FS DEVELOPMENT CORP.</w:t>
            </w:r>
          </w:p>
        </w:tc>
        <w:tc>
          <w:tcPr>
            <w:tcW w:w="0" w:type="dxa"/>
            <w:vAlign w:val="bottom"/>
          </w:tcPr>
          <w:p>
            <w:pPr>
              <w:spacing w:after="0"/>
              <w:rPr>
                <w:sz w:val="1"/>
                <w:szCs w:val="1"/>
                <w:color w:val="auto"/>
              </w:rPr>
            </w:pPr>
          </w:p>
        </w:tc>
      </w:tr>
      <w:tr>
        <w:trPr>
          <w:trHeight w:val="40"/>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2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5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412"/>
        </w:trPr>
        <w:tc>
          <w:tcPr>
            <w:tcW w:w="128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6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Annex A-124</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23" w:name="page424"/>
    <w:bookmarkEnd w:id="4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SCHEDULE I</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Atlas Venture Fund X,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Lightstone Singapore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Lightstone Ventures (A), L.P.</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Lightstone Ventures,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OrbiMed Private Investments VI,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Wu Capital Investment LLC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4" w:name="page425"/>
    <w:bookmarkEnd w:id="4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name of the Corporation is Gemini Therapeutics,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 The name of its registered agent at such address is [•].</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[__________] Million ([__________]) of which (i) [__________] Million ([______]) shares shall be a</w:t>
      </w: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class designated as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Ten Million (10,000,000) shares shall be a class designated as undesignated preferred stock, par value $0.0001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08" w:lineRule="exact"/>
        <w:rPr>
          <w:sz w:val="20"/>
          <w:szCs w:val="20"/>
          <w:color w:val="auto"/>
        </w:rPr>
      </w:pPr>
    </w:p>
    <w:p>
      <w:pPr>
        <w:jc w:val="both"/>
        <w:ind w:left="460" w:right="459" w:firstLine="858"/>
        <w:spacing w:after="0" w:line="253" w:lineRule="auto"/>
        <w:tabs>
          <w:tab w:leader="none" w:pos="1601"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Common Stock shall have the exclusive right to vote for the election of directors of the Corporation (the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5" w:name="page426"/>
    <w:bookmarkEnd w:id="4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61" w:lineRule="auto"/>
        <w:tabs>
          <w:tab w:leader="none" w:pos="1580"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or any authorized committee thereof; and</w:t>
      </w:r>
    </w:p>
    <w:p>
      <w:pPr>
        <w:spacing w:after="0" w:line="112"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76"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94"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Undesignated Preferred Stock</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 Action</w:t>
      </w:r>
    </w:p>
    <w:p>
      <w:pPr>
        <w:spacing w:after="0" w:line="162" w:lineRule="exact"/>
        <w:rPr>
          <w:sz w:val="20"/>
          <w:szCs w:val="20"/>
          <w:color w:val="auto"/>
        </w:rPr>
      </w:pPr>
    </w:p>
    <w:p>
      <w:pPr>
        <w:jc w:val="both"/>
        <w:ind w:left="460" w:right="459" w:firstLine="426"/>
        <w:spacing w:after="0" w:line="254" w:lineRule="auto"/>
        <w:tabs>
          <w:tab w:leader="none" w:pos="1072"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099"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48" w:lineRule="exact"/>
        <w:rPr>
          <w:sz w:val="20"/>
          <w:szCs w:val="20"/>
          <w:color w:val="auto"/>
        </w:rPr>
      </w:pPr>
    </w:p>
    <w:p>
      <w:pPr>
        <w:ind w:left="460" w:right="459" w:firstLine="426"/>
        <w:spacing w:after="0" w:line="282" w:lineRule="auto"/>
        <w:tabs>
          <w:tab w:leader="none" w:pos="1072"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herein or required by law</w:t>
      </w:r>
    </w:p>
    <w:p>
      <w:pPr>
        <w:spacing w:after="0" w:line="94"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085"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Election of Directors need not be by written ballot unless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provide.</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072"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Subject to the terms of the Registration and Rights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number of Directors of the Corporation shall be fixed solely and exclusively by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6" w:name="page427"/>
    <w:bookmarkEnd w:id="4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[names]; the initial Class II Directors of the Corporation shall be [names]; and the initial Class III Directors of the Corporation shall be [Jim Tananbaum], [•] and [•].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Gemini Therapeutics, Inc., One Kendall Square, Building 300, Cambridge, MA.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3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99" w:lineRule="exact"/>
        <w:rPr>
          <w:sz w:val="20"/>
          <w:szCs w:val="20"/>
          <w:color w:val="auto"/>
        </w:rPr>
      </w:pPr>
    </w:p>
    <w:p>
      <w:pPr>
        <w:jc w:val="both"/>
        <w:ind w:left="460" w:right="459" w:firstLine="426"/>
        <w:spacing w:after="0" w:line="252" w:lineRule="auto"/>
        <w:tabs>
          <w:tab w:leader="none" w:pos="1072"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Subject to the rights, if any, of the holders of any series of Undesignated Preferred Stock to elect Directors and to fill vacancies in the Board of Directors relating thereto and subject to the terms of the Registration Rights Agreement and the Voting Agreement,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(except as otherwise provided in the Registration Rights Agreement and the Voting Agreement).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determine the class or classes to which the increased or decreased number of Directors shall be apportioned;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25"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72"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Undesignated Preferred Stock to elect Directors and to remove any Director whom the holders of any such series have the right to elect and subject to the terms of the Registration Rights Agreement and the Voting Agreement, any Director (including persons elected by Directors to fill vacancies in the Board of Directors) may be removed from office (i) only with cause and</w:t>
      </w:r>
    </w:p>
    <w:p>
      <w:pPr>
        <w:spacing w:after="0" w:line="2" w:lineRule="exact"/>
        <w:rPr>
          <w:rFonts w:ascii="Times New Roman" w:cs="Times New Roman" w:eastAsia="Times New Roman" w:hAnsi="Times New Roman"/>
          <w:sz w:val="18"/>
          <w:szCs w:val="18"/>
          <w:color w:val="auto"/>
        </w:rPr>
      </w:pPr>
    </w:p>
    <w:p>
      <w:pPr>
        <w:jc w:val="both"/>
        <w:ind w:left="460" w:right="479" w:hanging="6"/>
        <w:spacing w:after="0" w:line="253" w:lineRule="auto"/>
        <w:tabs>
          <w:tab w:leader="none" w:pos="747"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7" w:name="page428"/>
    <w:bookmarkEnd w:id="4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of Liability</w:t>
      </w:r>
    </w:p>
    <w:p>
      <w:pPr>
        <w:spacing w:after="0" w:line="148" w:lineRule="exact"/>
        <w:rPr>
          <w:sz w:val="20"/>
          <w:szCs w:val="20"/>
          <w:color w:val="auto"/>
        </w:rPr>
      </w:pPr>
    </w:p>
    <w:p>
      <w:pPr>
        <w:jc w:val="both"/>
        <w:ind w:left="460" w:right="479" w:firstLine="426"/>
        <w:spacing w:after="0" w:line="257" w:lineRule="auto"/>
        <w:tabs>
          <w:tab w:leader="none" w:pos="1085"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31"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01"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074"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By-Laws</w:t>
      </w:r>
    </w:p>
    <w:p>
      <w:pPr>
        <w:spacing w:after="0" w:line="148" w:lineRule="exact"/>
        <w:rPr>
          <w:sz w:val="20"/>
          <w:szCs w:val="20"/>
          <w:color w:val="auto"/>
        </w:rPr>
      </w:pPr>
    </w:p>
    <w:p>
      <w:pPr>
        <w:jc w:val="both"/>
        <w:ind w:left="460" w:right="459" w:firstLine="426"/>
        <w:spacing w:after="0" w:line="266" w:lineRule="auto"/>
        <w:tabs>
          <w:tab w:leader="none" w:pos="1072"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08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Certificate of Incorporation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w:t>
      </w:r>
    </w:p>
    <w:p>
      <w:pPr>
        <w:spacing w:after="0" w:line="148" w:lineRule="exact"/>
        <w:rPr>
          <w:sz w:val="20"/>
          <w:szCs w:val="20"/>
          <w:color w:val="auto"/>
        </w:rPr>
      </w:pPr>
    </w:p>
    <w:p>
      <w:pPr>
        <w:ind w:left="1060" w:hanging="174"/>
        <w:spacing w:after="0"/>
        <w:tabs>
          <w:tab w:leader="none" w:pos="106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 Out of DGCL 203</w:t>
      </w:r>
      <w:r>
        <w:rPr>
          <w:rFonts w:ascii="Times New Roman" w:cs="Times New Roman" w:eastAsia="Times New Roman" w:hAnsi="Times New Roman"/>
          <w:sz w:val="18"/>
          <w:szCs w:val="18"/>
          <w:color w:val="auto"/>
        </w:rPr>
        <w:t>. The Corporation shall not be governed by Section 203 of the DGCL.</w:t>
      </w:r>
    </w:p>
    <w:p>
      <w:pPr>
        <w:spacing w:after="0" w:line="157"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072"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Opportunity</w:t>
      </w:r>
      <w:r>
        <w:rPr>
          <w:rFonts w:ascii="Times New Roman" w:cs="Times New Roman" w:eastAsia="Times New Roman" w:hAnsi="Times New Roman"/>
          <w:sz w:val="18"/>
          <w:szCs w:val="18"/>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8" w:name="page429"/>
    <w:bookmarkEnd w:id="4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possession of, any Director of the Corporation who is not an employee or officer of the Corporation or any of its subsidiaries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1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[End of Text]</w:t>
      </w:r>
    </w:p>
    <w:p>
      <w:pPr>
        <w:spacing w:after="0" w:line="18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9" w:name="page430"/>
    <w:bookmarkEnd w:id="4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THIS AMENDED AND RESTATED CERTIFICATE OF INCORPORATION is executed as of this ____</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day of __________, 2020.</w:t>
      </w:r>
    </w:p>
    <w:p>
      <w:pPr>
        <w:spacing w:after="0" w:line="20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8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43180</wp:posOffset>
            </wp:positionV>
            <wp:extent cx="192024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Closing Certificate of Incorporation]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0" w:name="page431"/>
    <w:bookmarkEnd w:id="4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(any such meeting being referred to in these By-laws as an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shall be held at the hour, date and place within or without the United States which is fixed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3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Notice of Stockholder Business and Nominations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140" w:hanging="254"/>
        <w:spacing w:after="0"/>
        <w:tabs>
          <w:tab w:leader="none" w:pos="114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3" w:lineRule="auto"/>
        <w:tabs>
          <w:tab w:leader="none" w:pos="1151"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and such stockholder must comply with the notice and other procedures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47" w:lineRule="auto"/>
        <w:tabs>
          <w:tab w:leader="none" w:pos="1154"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clause (ii)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2(a)(1)</w:t>
      </w:r>
      <w:r>
        <w:rPr>
          <w:rFonts w:ascii="Times New Roman" w:cs="Times New Roman" w:eastAsia="Times New Roman" w:hAnsi="Times New Roman"/>
          <w:sz w:val="18"/>
          <w:szCs w:val="18"/>
          <w:color w:val="auto"/>
        </w:rPr>
        <w:t xml:space="preserve"> of these By-laws, the stockholder must (i) have given Timely Notice (as defined below) thereof in writing to the Secretary of the Corporation, (ii) have provided any updates or supplements to such notice at the times and in the forms required by these By-laws and (iii) 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nor earlier than the close of business on the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one-year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(such notice within such time periods shall be referred to as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1" w:name="page432"/>
    <w:bookmarkEnd w:id="4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2" w:lineRule="auto"/>
        <w:rPr>
          <w:sz w:val="20"/>
          <w:szCs w:val="20"/>
          <w:color w:val="auto"/>
        </w:rPr>
      </w:pPr>
      <w:r>
        <w:rPr>
          <w:rFonts w:ascii="Times New Roman" w:cs="Times New Roman" w:eastAsia="Times New Roman" w:hAnsi="Times New Roman"/>
          <w:sz w:val="18"/>
          <w:szCs w:val="18"/>
          <w:color w:val="auto"/>
        </w:rPr>
        <w:t>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Annual Meeting is first made or sent by the Corporation. Such stockholder’s Timely Notice shall set forth:</w:t>
      </w:r>
    </w:p>
    <w:p>
      <w:pPr>
        <w:spacing w:after="0" w:line="120" w:lineRule="exact"/>
        <w:rPr>
          <w:sz w:val="20"/>
          <w:szCs w:val="20"/>
          <w:color w:val="auto"/>
        </w:rPr>
      </w:pPr>
    </w:p>
    <w:p>
      <w:pPr>
        <w:jc w:val="both"/>
        <w:ind w:left="880" w:right="459" w:firstLine="438"/>
        <w:spacing w:after="0" w:line="252" w:lineRule="auto"/>
        <w:tabs>
          <w:tab w:leader="none" w:pos="1628"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24" w:lineRule="exact"/>
        <w:rPr>
          <w:rFonts w:ascii="Times New Roman" w:cs="Times New Roman" w:eastAsia="Times New Roman" w:hAnsi="Times New Roman"/>
          <w:sz w:val="18"/>
          <w:szCs w:val="18"/>
          <w:color w:val="auto"/>
        </w:rPr>
      </w:pPr>
    </w:p>
    <w:p>
      <w:pPr>
        <w:jc w:val="both"/>
        <w:ind w:left="880" w:right="459" w:firstLine="438"/>
        <w:spacing w:after="0" w:line="261" w:lineRule="auto"/>
        <w:tabs>
          <w:tab w:leader="none" w:pos="163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98" w:lineRule="exact"/>
        <w:rPr>
          <w:rFonts w:ascii="Times New Roman" w:cs="Times New Roman" w:eastAsia="Times New Roman" w:hAnsi="Times New Roman"/>
          <w:sz w:val="18"/>
          <w:szCs w:val="18"/>
          <w:color w:val="auto"/>
        </w:rPr>
      </w:pPr>
    </w:p>
    <w:p>
      <w:pPr>
        <w:jc w:val="both"/>
        <w:ind w:left="880" w:right="459" w:firstLine="438"/>
        <w:spacing w:after="0" w:line="251" w:lineRule="auto"/>
        <w:tabs>
          <w:tab w:leader="none" w:pos="1658"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w:t>
      </w:r>
      <w:r>
        <w:rPr>
          <w:rFonts w:ascii="Times New Roman" w:cs="Times New Roman" w:eastAsia="Times New Roman" w:hAnsi="Times New Roman"/>
          <w:sz w:val="18"/>
          <w:szCs w:val="18"/>
          <w:u w:val="single" w:color="auto"/>
          <w:color w:val="auto"/>
        </w:rPr>
        <w:t>Material Ownership Interests</w:t>
      </w:r>
      <w:r>
        <w:rPr>
          <w:rFonts w:ascii="Times New Roman" w:cs="Times New Roman" w:eastAsia="Times New Roman" w:hAnsi="Times New Roman"/>
          <w:sz w:val="18"/>
          <w:szCs w:val="18"/>
          <w:color w:val="auto"/>
        </w:rPr>
        <w:t>”)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2" w:name="page433"/>
    <w:bookmarkEnd w:id="4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438"/>
        <w:spacing w:after="0" w:line="254" w:lineRule="auto"/>
        <w:tabs>
          <w:tab w:leader="none" w:pos="1627"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20" w:lineRule="exact"/>
        <w:rPr>
          <w:rFonts w:ascii="Times New Roman" w:cs="Times New Roman" w:eastAsia="Times New Roman" w:hAnsi="Times New Roman"/>
          <w:sz w:val="18"/>
          <w:szCs w:val="18"/>
          <w:color w:val="auto"/>
        </w:rPr>
      </w:pPr>
    </w:p>
    <w:p>
      <w:pPr>
        <w:jc w:val="both"/>
        <w:ind w:left="880" w:right="459" w:firstLine="438"/>
        <w:spacing w:after="0" w:line="255" w:lineRule="auto"/>
        <w:tabs>
          <w:tab w:leader="none" w:pos="163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Times New Roman" w:cs="Times New Roman" w:eastAsia="Times New Roman" w:hAnsi="Times New Roman"/>
          <w:sz w:val="18"/>
          <w:szCs w:val="18"/>
          <w:u w:val="single" w:color="auto"/>
          <w:color w:val="auto"/>
        </w:rPr>
        <w:t>Solicitation Statement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xml:space="preserve">”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Synthetic Equity Interest</w:t>
      </w:r>
      <w:r>
        <w:rPr>
          <w:rFonts w:ascii="Times New Roman" w:cs="Times New Roman" w:eastAsia="Times New Roman" w:hAnsi="Times New Roman"/>
          <w:sz w:val="18"/>
          <w:szCs w:val="18"/>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12" w:lineRule="exact"/>
        <w:rPr>
          <w:sz w:val="20"/>
          <w:szCs w:val="20"/>
          <w:color w:val="auto"/>
        </w:rPr>
      </w:pPr>
    </w:p>
    <w:p>
      <w:pPr>
        <w:jc w:val="both"/>
        <w:ind w:left="460" w:right="459" w:firstLine="426"/>
        <w:spacing w:after="0" w:line="247" w:lineRule="auto"/>
        <w:tabs>
          <w:tab w:leader="none" w:pos="1158"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after the record date for the Annual Meeting (in the case of the update and supplement required to be made as of the record date), and not later than the close of business on the eighth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prior to the date of the Annual Meeting (in the case of the update and supplement required to be made as of ten (10) business days prior to the meeting).</w:t>
      </w:r>
    </w:p>
    <w:p>
      <w:pPr>
        <w:spacing w:after="0" w:line="130"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155"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a stockholder’s notice required by these By-laws shall also be considered timely, but only with respect to nominees for any new positions created by such increase, if it shall be received by the Secretary of the Corporation not later than the close of business on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such public announcement is first made by the Corporation.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3" w:name="page434"/>
    <w:bookmarkEnd w:id="4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140" w:hanging="254"/>
        <w:spacing w:after="0"/>
        <w:tabs>
          <w:tab w:leader="none" w:pos="114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2" w:lineRule="auto"/>
        <w:tabs>
          <w:tab w:leader="none" w:pos="1188"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these By-laws, the Registration and Shareholder Rights Agreement, dated as of [•],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and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shall be eligible for election and to serve as directors and only such business shall be conducted at an Annual Meeting as shall have been brought before the meeting in accordance with the provisions of these By-laws, the Registration and Shareholder Rights Agreement, the Voting Agreement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the Registration and Shareholder Rights Agreement or the Voting Agreement. If neither the Board of Directors nor such designated committee makes a determination as to whether any stockholder proposal or nomination was made in accordance with the provisions of these By-laws, the Registration and Shareholder Rights Agreement or the Voting Agreement, the presiding officer of the Annual Meeting shall have the power and duty to determine whether the stockholder proposal or nomination was made in accordance with the provisions of these By-laws, the Registration and Shareholder Rights Agreement or the Voting Agreement. If the Board of Directors or a designated committee thereof or the presiding officer, as applicable, determines that any stockholder proposal or nomination was not made in accordance with the provisions of these By-laws, the Registration and Shareholder Rights Agreement or the Voting Agreement, such proposal or nomination shall be disregarded and shall not be presented for action at the Annual Meeting.</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48"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the Registration and Shareholder Rights Agreement or the Voting Agreement, nothing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6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87"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12"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6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these By-laws, a stockholder shall also comply with all applicable requirements of the Exchange Act and the rules and regulations thereunder with respect to the</w:t>
      </w:r>
    </w:p>
    <w:p>
      <w:pPr>
        <w:jc w:val="center"/>
        <w:ind w:right="19"/>
        <w:spacing w:after="0"/>
        <w:rPr>
          <w:sz w:val="20"/>
          <w:szCs w:val="20"/>
          <w:color w:val="auto"/>
        </w:rPr>
      </w:pPr>
      <w:r>
        <w:rPr>
          <w:rFonts w:ascii="Times New Roman" w:cs="Times New Roman" w:eastAsia="Times New Roman" w:hAnsi="Times New Roman"/>
          <w:sz w:val="18"/>
          <w:szCs w:val="18"/>
          <w:color w:val="auto"/>
        </w:rPr>
        <w:t>matters set forth in these By-laws. Nothing in these By-laws shall be deemed to affect any rights of</w:t>
      </w:r>
    </w:p>
    <w:p>
      <w:pPr>
        <w:spacing w:after="0" w:line="9" w:lineRule="exact"/>
        <w:rPr>
          <w:sz w:val="20"/>
          <w:szCs w:val="20"/>
          <w:color w:val="auto"/>
        </w:rPr>
      </w:pPr>
    </w:p>
    <w:p>
      <w:pPr>
        <w:jc w:val="both"/>
        <w:ind w:left="460" w:right="479" w:hanging="6"/>
        <w:spacing w:after="0" w:line="253" w:lineRule="auto"/>
        <w:tabs>
          <w:tab w:leader="none" w:pos="679"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47"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4" w:name="page435"/>
    <w:bookmarkEnd w:id="4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these By-laws, in which case such special meeting in lieu thereof shall be deemed an Annual Meeting for purposes of these By-laws and the provisions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these By-laws shall govern such special meeting.</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Meetings; Adjournments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26"/>
        <w:spacing w:after="0" w:line="254" w:lineRule="auto"/>
        <w:tabs>
          <w:tab w:leader="none" w:pos="1142"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54"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37"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6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or otherwise. In no event shall the public announcement of an adjournment, postponement or rescheduling of any previously scheduled meeting of stockholders commence a new time period for the giving of a stockholder’s notice under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w:t>
      </w:r>
    </w:p>
    <w:p>
      <w:pPr>
        <w:spacing w:after="0" w:line="106"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61"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5" w:name="page436"/>
    <w:bookmarkEnd w:id="43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these By-laws, is entitled to such notice.</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0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8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Presiding Officer</w:t>
      </w:r>
      <w:r>
        <w:rPr>
          <w:rFonts w:ascii="Times New Roman" w:cs="Times New Roman" w:eastAsia="Times New Roman" w:hAnsi="Times New Roman"/>
          <w:sz w:val="18"/>
          <w:szCs w:val="18"/>
          <w:color w:val="auto"/>
        </w:rPr>
        <w:t xml:space="preserve">.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The order of business and all other matters of procedure at any meeting of the stockholders shall be determined by the presiding officer.</w:t>
      </w:r>
    </w:p>
    <w:p>
      <w:pPr>
        <w:spacing w:after="0" w:line="9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Inspectors of Elections</w:t>
      </w:r>
      <w:r>
        <w:rPr>
          <w:rFonts w:ascii="Times New Roman" w:cs="Times New Roman" w:eastAsia="Times New Roman" w:hAnsi="Times New Roman"/>
          <w:sz w:val="18"/>
          <w:szCs w:val="18"/>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6" w:name="page437"/>
    <w:bookmarkEnd w:id="4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by the Certificate or required by law.</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and Terms</w:t>
      </w:r>
      <w:r>
        <w:rPr>
          <w:rFonts w:ascii="Times New Roman" w:cs="Times New Roman" w:eastAsia="Times New Roman" w:hAnsi="Times New Roman"/>
          <w:sz w:val="18"/>
          <w:szCs w:val="18"/>
          <w:color w:val="auto"/>
        </w:rPr>
        <w:t>. Subject to the terms of the Registration and Shareholder Rights Agreement and the Voting Agreement, the number of directors of the Corporation shall be fixed solely and exclusively by resolution duly adopted from time to time by the Board of Directors. The directors shall hold office in the manner provided in the Certificate.</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director need be a stockholder of the Corporation.</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Vacancies in the Board of Directors shall be filled in the manner provided in the Certificate, the Registration and Shareholder Rights Agreement and the Voting Agreement.</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Directors may be removed from office only in the manner provided in the Certificate, the Registration and Shareholder Rights Agreement and the Voting Agreement.</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and annual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8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7" w:name="page438"/>
    <w:bookmarkEnd w:id="4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Manner of Participation</w:t>
      </w:r>
      <w:r>
        <w:rPr>
          <w:rFonts w:ascii="Times New Roman" w:cs="Times New Roman" w:eastAsia="Times New Roman" w:hAnsi="Times New Roman"/>
          <w:sz w:val="18"/>
          <w:szCs w:val="18"/>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Presiding Director</w:t>
      </w:r>
      <w:r>
        <w:rPr>
          <w:rFonts w:ascii="Times New Roman" w:cs="Times New Roman" w:eastAsia="Times New Roman" w:hAnsi="Times New Roman"/>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Subject to the terms of the Registration and Shareholder Rights Agreement and the Voting Agreement,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8" w:name="page439"/>
    <w:bookmarkEnd w:id="4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officer need be a stockholder or a director. Any person may occupy more than one office of the Corporation at any time.</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Except as otherwise provided by law or by resolution of the Board of Directors, the Board of Directors may remove any officer with or without cause by the affirmative vote of a majority of the directors then in office.</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Absence or Disability</w:t>
      </w:r>
      <w:r>
        <w:rPr>
          <w:rFonts w:ascii="Times New Roman" w:cs="Times New Roman" w:eastAsia="Times New Roman" w:hAnsi="Times New Roman"/>
          <w:sz w:val="18"/>
          <w:szCs w:val="18"/>
          <w:color w:val="auto"/>
        </w:rPr>
        <w:t>. In the event of the absence or disability of any officer, the Board of Directors may designate another officer to act temporarily in place of such absent or disabled officer.</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may be filled for the unexpired portion of the term by the Board of Directors.</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subject to the direction of the Board of Directors, have such powers and shall perform such duties as the Board of Directors may from time to time designate.</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if one is elected, shall have such powers and shall perform such duties as the Board of Directors may from time to time designate.</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if one is elected, shall have such powers and shall perform such duties as the Board of Directors may from time to time designate.</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Vice Presidents and Assistant Vice Presidents</w:t>
      </w:r>
      <w:r>
        <w:rPr>
          <w:rFonts w:ascii="Times New Roman" w:cs="Times New Roman" w:eastAsia="Times New Roman" w:hAnsi="Times New Roman"/>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Treasurer and Assistant Treasurers</w:t>
      </w:r>
      <w:r>
        <w:rPr>
          <w:rFonts w:ascii="Times New Roman" w:cs="Times New Roman" w:eastAsia="Times New Roman" w:hAnsi="Times New Roman"/>
          <w:sz w:val="18"/>
          <w:szCs w:val="18"/>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1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9" w:name="page440"/>
    <w:bookmarkEnd w:id="4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xml:space="preserve">.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w:t>
      </w:r>
      <w:r>
        <w:rPr>
          <w:rFonts w:ascii="Times New Roman" w:cs="Times New Roman" w:eastAsia="Times New Roman" w:hAnsi="Times New Roman"/>
          <w:sz w:val="18"/>
          <w:szCs w:val="18"/>
          <w:b w:val="1"/>
          <w:bCs w:val="1"/>
          <w:color w:val="auto"/>
        </w:rPr>
        <w:t>Notwithstanding anything to</w:t>
      </w:r>
      <w:r>
        <w:rPr>
          <w:rFonts w:ascii="Times New Roman" w:cs="Times New Roman" w:eastAsia="Times New Roman" w:hAnsi="Times New Roman"/>
          <w:sz w:val="18"/>
          <w:szCs w:val="18"/>
          <w:color w:val="auto"/>
        </w:rPr>
        <w:t xml:space="preserve">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3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Replacement of Certificates</w:t>
      </w:r>
      <w:r>
        <w:rPr>
          <w:rFonts w:ascii="Times New Roman" w:cs="Times New Roman" w:eastAsia="Times New Roman" w:hAnsi="Times New Roman"/>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0" w:name="page441"/>
    <w:bookmarkEnd w:id="4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w:t>
      </w:r>
    </w:p>
    <w:p>
      <w:pPr>
        <w:spacing w:after="0" w:line="131" w:lineRule="exact"/>
        <w:rPr>
          <w:sz w:val="20"/>
          <w:szCs w:val="20"/>
          <w:color w:val="auto"/>
        </w:rPr>
      </w:pPr>
    </w:p>
    <w:p>
      <w:pPr>
        <w:jc w:val="both"/>
        <w:ind w:left="460" w:right="459" w:firstLine="426"/>
        <w:spacing w:after="0" w:line="253" w:lineRule="auto"/>
        <w:tabs>
          <w:tab w:leader="none" w:pos="113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xml:space="preserve">”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4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person who serves or has served the Corporation as a director on the Board of Directors; including, for the avoidance of doubt, any person who has served as a director of FS Development Corp., a Delaware corporation;</w:t>
      </w:r>
    </w:p>
    <w:p>
      <w:pPr>
        <w:spacing w:after="0" w:line="81"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with respect to each Proceeding in respect of which indemnification is sought hereunder, a Director of the Corporation who is not and was not a party to such Proceeding;</w:t>
      </w:r>
    </w:p>
    <w:p>
      <w:pPr>
        <w:spacing w:after="0" w:line="67"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4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reasonable, documented and out-of-pocket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10"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judgments, damages, liabilities, losses, penalties, excise taxes, fines and amounts paid in settlement;</w:t>
      </w:r>
    </w:p>
    <w:p>
      <w:pPr>
        <w:spacing w:after="0" w:line="67"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1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Non-Officer Employee</w:t>
      </w:r>
      <w:r>
        <w:rPr>
          <w:rFonts w:ascii="Times New Roman" w:cs="Times New Roman" w:eastAsia="Times New Roman" w:hAnsi="Times New Roman"/>
          <w:sz w:val="18"/>
          <w:szCs w:val="18"/>
          <w:color w:val="auto"/>
        </w:rPr>
        <w:t>” means any person who serves or has served as an employee or agent of the Corporation, but who is not or was not a Director or Officer;</w:t>
      </w:r>
    </w:p>
    <w:p>
      <w:pPr>
        <w:spacing w:after="0" w:line="67"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4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any person who serves or has served the Corporation as an officer of the Corporation appointed by the Board of Directors, including, for the avoidance of doubt, any person who has served as an officer of FS Development Corp., a Delaware corporation;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6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81"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0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26"/>
        <w:spacing w:after="0" w:line="258" w:lineRule="auto"/>
        <w:tabs>
          <w:tab w:leader="none" w:pos="1137"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1" w:name="page442"/>
    <w:bookmarkEnd w:id="4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438"/>
        <w:spacing w:after="0" w:line="254" w:lineRule="auto"/>
        <w:tabs>
          <w:tab w:leader="none" w:pos="1567"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20" w:lineRule="exact"/>
        <w:rPr>
          <w:rFonts w:ascii="Times New Roman" w:cs="Times New Roman" w:eastAsia="Times New Roman" w:hAnsi="Times New Roman"/>
          <w:sz w:val="18"/>
          <w:szCs w:val="18"/>
          <w:color w:val="auto"/>
        </w:rPr>
      </w:pPr>
    </w:p>
    <w:p>
      <w:pPr>
        <w:jc w:val="both"/>
        <w:ind w:left="880" w:right="459" w:firstLine="438"/>
        <w:spacing w:after="0" w:line="253" w:lineRule="auto"/>
        <w:tabs>
          <w:tab w:leader="none" w:pos="1567"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19" w:lineRule="exact"/>
        <w:rPr>
          <w:rFonts w:ascii="Times New Roman" w:cs="Times New Roman" w:eastAsia="Times New Roman" w:hAnsi="Times New Roman"/>
          <w:sz w:val="18"/>
          <w:szCs w:val="18"/>
          <w:color w:val="auto"/>
        </w:rPr>
      </w:pPr>
    </w:p>
    <w:p>
      <w:pPr>
        <w:jc w:val="both"/>
        <w:ind w:left="880" w:right="459" w:firstLine="438"/>
        <w:spacing w:after="0" w:line="266" w:lineRule="auto"/>
        <w:tabs>
          <w:tab w:leader="none" w:pos="1567"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xml:space="preserve">. The rights of indemnification provided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94" w:lineRule="exact"/>
        <w:rPr>
          <w:rFonts w:ascii="Times New Roman" w:cs="Times New Roman" w:eastAsia="Times New Roman" w:hAnsi="Times New Roman"/>
          <w:sz w:val="18"/>
          <w:szCs w:val="18"/>
          <w:color w:val="auto"/>
        </w:rPr>
      </w:pPr>
    </w:p>
    <w:p>
      <w:pPr>
        <w:jc w:val="both"/>
        <w:ind w:left="880" w:right="479" w:firstLine="438"/>
        <w:spacing w:after="0" w:line="256" w:lineRule="auto"/>
        <w:tabs>
          <w:tab w:leader="none" w:pos="1634"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xml:space="preserve">. 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2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xml:space="preserve">. Unless ordered by a court, no indemnification shall be provided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2" w:name="page443"/>
    <w:bookmarkEnd w:id="4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Advancement of Expenses to Directors Prior to Final Disposition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2" w:lineRule="auto"/>
        <w:tabs>
          <w:tab w:leader="none" w:pos="115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only if such Proceeding (including any parts of such Proceeding not initiated by such Director) was</w:t>
      </w:r>
    </w:p>
    <w:p>
      <w:pPr>
        <w:spacing w:after="0" w:line="9" w:lineRule="exact"/>
        <w:rPr>
          <w:sz w:val="20"/>
          <w:szCs w:val="20"/>
          <w:color w:val="auto"/>
        </w:rPr>
      </w:pPr>
    </w:p>
    <w:p>
      <w:pPr>
        <w:ind w:left="460" w:right="479" w:hanging="6"/>
        <w:spacing w:after="0" w:line="260" w:lineRule="auto"/>
        <w:tabs>
          <w:tab w:leader="none" w:pos="68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by the Board of Directors, or (ii) brought to enforce such Director’s rights to indemnification or advancement of Expenses under these By-laws.</w:t>
      </w:r>
    </w:p>
    <w:p>
      <w:pPr>
        <w:spacing w:after="0" w:line="100"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52"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26"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38"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0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Advancement of Expenses to Officers and Non-Officer Employees Prior to 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460" w:right="459" w:firstLine="426"/>
        <w:spacing w:after="0" w:line="254" w:lineRule="auto"/>
        <w:tabs>
          <w:tab w:leader="none" w:pos="113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20"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48"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26"/>
        <w:spacing w:after="0" w:line="253" w:lineRule="auto"/>
        <w:tabs>
          <w:tab w:leader="none" w:pos="115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deemed to be a contract between the Corporation and each Director and Officer entitled to the benefits hereof at any time while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in effect, in consideration of such person’s past or current and any future performance of services for the Corporation. Neither amendment, repeal or modification of any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nor the adoption of any provision of the Certificate of Incorporation inconsistent with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eliminate or reduce any right conferred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3" w:name="page444"/>
    <w:bookmarkEnd w:id="4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indemnification and to advancement of expenses provided by, or granted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108" w:lineRule="exact"/>
        <w:rPr>
          <w:sz w:val="20"/>
          <w:szCs w:val="20"/>
          <w:color w:val="auto"/>
        </w:rPr>
      </w:pPr>
    </w:p>
    <w:p>
      <w:pPr>
        <w:jc w:val="both"/>
        <w:ind w:left="460" w:right="459" w:firstLine="426"/>
        <w:spacing w:after="0" w:line="253" w:lineRule="auto"/>
        <w:tabs>
          <w:tab w:leader="none" w:pos="1175"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indemnification (following final disposition of such Proceeding) or advancement of Expenses hereunder by a Director or Officer is not paid in full by the Corporation within sixty (60) days after receipt by the Corporation of a written claim for indemnification or advancement of Expenses, such Director or Officer may at any time thereafter bring suit against the Corporation to recover the unpaid amount of the claim, and if successful in whole or in part, pursuant to the terms of an undertaking, such Director or Officer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indemnification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or advancement of Expenses shall be on the Corporation.</w:t>
      </w:r>
    </w:p>
    <w:p>
      <w:pPr>
        <w:spacing w:after="0" w:line="124"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42"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xml:space="preserve">. The rights to indemnification and to advancement of Expenses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the Corporation’s obligation, if any, to indemnify or provide advancement of Expenses to any person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8"/>
          <w:szCs w:val="18"/>
          <w:u w:val="single" w:color="auto"/>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Indemnitor</w:t>
      </w:r>
      <w:r>
        <w:rPr>
          <w:rFonts w:ascii="Times New Roman" w:cs="Times New Roman" w:eastAsia="Times New Roman" w:hAnsi="Times New Roman"/>
          <w:sz w:val="18"/>
          <w:szCs w:val="18"/>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any indemnification or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the Board of Directors.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may authorize.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4" w:name="page445"/>
    <w:bookmarkEnd w:id="4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All references in these By-laws to the Certificate shall be deemed to refer to the Amended and Restated Certificate of Incorporation of the Corporation, as amended and/or restated and in effect from time to time.</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Exclusive Jurisdiction</w:t>
      </w:r>
      <w:r>
        <w:rPr>
          <w:rFonts w:ascii="Times New Roman" w:cs="Times New Roman" w:eastAsia="Times New Roman" w:hAnsi="Times New Roman"/>
          <w:sz w:val="18"/>
          <w:szCs w:val="18"/>
          <w:color w:val="auto"/>
        </w:rPr>
        <w:t xml:space="preserve">.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apply to any claims arising under the Exchange Act or the Securities Act of 1933, as amended. In addition, unless the Corporation consents in writing to the selection of an alternative forum, the United States District Court for the District of Massachusetts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426"/>
        <w:spacing w:after="0" w:line="266" w:lineRule="auto"/>
        <w:tabs>
          <w:tab w:leader="none" w:pos="115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provided otherwise by law, any section or portion of these By-laws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47"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1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5" w:name="page446"/>
    <w:bookmarkEnd w:id="4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u w:val="single" w:color="auto"/>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ind w:left="460" w:right="2599" w:firstLine="2140"/>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2020 STOCK OPTION AND INCENTIVE PLAN </w:t>
      </w: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name of the plan is the Gemini Therapeutics, Inc. 2020 Stock Option and Incentive Plan (the “Plan”). The purpose of the Plan is to encourage and enable the officers, employees, Non-Employee Directors and Consultants of Gemini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1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158"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performing the functions of the compensation committee and which is comprised of not less than two Non-Employee Directors who are independent.</w:t>
      </w:r>
    </w:p>
    <w:p>
      <w:pPr>
        <w:spacing w:after="0" w:line="9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Incentive Stock Options, Non-Qualified Stock Options, Stock Appreciation Rights, Restricted Stock Units, Restricted Stock Awards, Unrestricted Stock Awards, Cash-Based Awards, and Dividend Equivalent Rights.</w:t>
      </w:r>
    </w:p>
    <w:p>
      <w:pPr>
        <w:spacing w:after="0" w:line="112"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Certificate” </w:t>
      </w:r>
      <w:r>
        <w:rPr>
          <w:rFonts w:ascii="Times New Roman" w:cs="Times New Roman" w:eastAsia="Times New Roman" w:hAnsi="Times New Roman"/>
          <w:sz w:val="18"/>
          <w:szCs w:val="18"/>
          <w:color w:val="auto"/>
        </w:rPr>
        <w:t>means a written or electronic document setting forth the terms and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an Award granted under the Plan. Each Award Certificate is subject to the terms and conditions of the Plan.</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“Cash-Based Award” </w:t>
      </w:r>
      <w:r>
        <w:rPr>
          <w:rFonts w:ascii="Times New Roman" w:cs="Times New Roman" w:eastAsia="Times New Roman" w:hAnsi="Times New Roman"/>
          <w:sz w:val="18"/>
          <w:szCs w:val="18"/>
          <w:color w:val="auto"/>
        </w:rPr>
        <w:t>means an Award entitling the recipient to receive a cash-denominated payment.</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of the transactions contemplated by that certain Merger Agreement, dated as of October 15, 2020, by and among the Company and the other parties thereto.</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any successor Code,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regulations and interpretations.</w:t>
      </w:r>
    </w:p>
    <w:p>
      <w:pPr>
        <w:spacing w:after="0" w:line="91"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as an independent contractor and who qualifies as a consultant or advisor under Instruction A.1.(a)(1) of Form S-8 under the Act.</w:t>
      </w:r>
    </w:p>
    <w:p>
      <w:pPr>
        <w:spacing w:after="0" w:line="10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 </w:t>
      </w:r>
      <w:r>
        <w:rPr>
          <w:rFonts w:ascii="Times New Roman" w:cs="Times New Roman" w:eastAsia="Times New Roman" w:hAnsi="Times New Roman"/>
          <w:sz w:val="18"/>
          <w:szCs w:val="18"/>
          <w:color w:val="auto"/>
        </w:rPr>
        <w:t>means an Award entitling the grantee to receive credits based on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that would have been paid on the shares of Stock specified in the Dividend Equivalent Right (or other award to which it relates) if such shares had been issued to and held by the grantee.</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19.</w:t>
      </w:r>
    </w:p>
    <w:p>
      <w:pPr>
        <w:spacing w:after="0" w:line="158"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6" w:name="page447"/>
    <w:bookmarkEnd w:id="4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the fair market value of the Stock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115"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Section 422 of the Code.</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Subsidiary.</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means the shares of Stock underlying a Restricted Stock Award that remain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risk of forfeiture or the Company’s right of repurchase.</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an Award of Restricted Shares subject to such restrictions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Administrator may determine at the time of grant.</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means an Award of stock units subject to such restrictions and conditions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may determine at the time of grant.</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means (i) the sale of all or substantially all of the assets of the Company on a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04"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91"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91"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an employee, director or Consultant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Affiliate (e.g., a Service Relationship shall be deemed to continue without interruption in the event an individual’s status changes from full-time employee to part-time employee or Consultant).</w:t>
      </w:r>
    </w:p>
    <w:p>
      <w:pPr>
        <w:spacing w:after="0" w:line="92"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$0.0001 per share, of the Company, subject to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3.</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 Award entitling the recipient to receive shares of Stock (or cash,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1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a 50 percent interest, either directly or indirectly.</w:t>
      </w:r>
    </w:p>
    <w:p>
      <w:pPr>
        <w:spacing w:after="0" w:line="77"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of Section 424(d) of the Code) more than 10 percent of the combined voting power of all classes of stock of the Company or any parent or subsidiary corporation.</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of Stock free of any restrictions.</w:t>
      </w:r>
    </w:p>
    <w:p>
      <w:pPr>
        <w:spacing w:after="0" w:line="18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7" w:name="page448"/>
    <w:bookmarkEnd w:id="4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SECTION 2. ADMINISTRATION OF PLAN; ADMINISTRATOR AUTHORITY TO SELECT GRANTEES AND DETERMINE AWARDS</w:t>
      </w:r>
    </w:p>
    <w:p>
      <w:pPr>
        <w:spacing w:after="0" w:line="94" w:lineRule="exact"/>
        <w:rPr>
          <w:sz w:val="20"/>
          <w:szCs w:val="20"/>
          <w:color w:val="auto"/>
        </w:rPr>
      </w:pPr>
    </w:p>
    <w:p>
      <w:pPr>
        <w:ind w:left="1140" w:hanging="254"/>
        <w:spacing w:after="0"/>
        <w:tabs>
          <w:tab w:leader="none" w:pos="114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157"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74"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80"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6"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12" w:lineRule="exact"/>
        <w:rPr>
          <w:rFonts w:ascii="Times New Roman" w:cs="Times New Roman" w:eastAsia="Times New Roman" w:hAnsi="Times New Roman"/>
          <w:sz w:val="18"/>
          <w:szCs w:val="18"/>
          <w:color w:val="auto"/>
        </w:rPr>
      </w:pPr>
    </w:p>
    <w:p>
      <w:pPr>
        <w:ind w:left="1640" w:hanging="322"/>
        <w:spacing w:after="0"/>
        <w:tabs>
          <w:tab w:leader="none" w:pos="1640"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14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35"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08"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5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62"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to extend at any time the period in which Stock Options may be exercised; and</w:t>
      </w:r>
    </w:p>
    <w:p>
      <w:pPr>
        <w:spacing w:after="0" w:line="80"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686"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1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94" w:lineRule="exact"/>
        <w:rPr>
          <w:sz w:val="20"/>
          <w:szCs w:val="20"/>
          <w:color w:val="auto"/>
        </w:rPr>
      </w:pPr>
    </w:p>
    <w:p>
      <w:pPr>
        <w:jc w:val="both"/>
        <w:ind w:left="460" w:right="459" w:firstLine="426"/>
        <w:spacing w:after="0" w:line="253" w:lineRule="auto"/>
        <w:tabs>
          <w:tab w:leader="none" w:pos="119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13"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47"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Certificate</w:t>
      </w:r>
      <w:r>
        <w:rPr>
          <w:rFonts w:ascii="Times New Roman" w:cs="Times New Roman" w:eastAsia="Times New Roman" w:hAnsi="Times New Roman"/>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5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24"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44"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8" w:name="page449"/>
    <w:bookmarkEnd w:id="4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3. STOCK ISSUABLE UNDER THE PLAN; MERGERS; SUBSTITUTION</w:t>
      </w:r>
    </w:p>
    <w:p>
      <w:pPr>
        <w:spacing w:after="0" w:line="158" w:lineRule="exact"/>
        <w:rPr>
          <w:sz w:val="20"/>
          <w:szCs w:val="20"/>
          <w:color w:val="auto"/>
        </w:rPr>
      </w:pPr>
    </w:p>
    <w:p>
      <w:pPr>
        <w:jc w:val="both"/>
        <w:ind w:left="460" w:right="459" w:firstLine="426"/>
        <w:spacing w:after="0" w:line="252" w:lineRule="auto"/>
        <w:tabs>
          <w:tab w:leader="none" w:pos="113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_____ shares (the “Initial Limit”), subject to adjustment as provided in this Section 3, plus on January 1, 2022 and each January 1 thereafter, the number of shares of Stock reserved and available for issuance under the Plan shall be cumulatively increased by (i) four (4%)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147"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9" w:name="page450"/>
    <w:bookmarkEnd w:id="4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1" w:lineRule="auto"/>
        <w:tabs>
          <w:tab w:leader="none" w:pos="1136"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37"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47"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Awards to Non-Employee Directors</w:t>
      </w:r>
      <w:r>
        <w:rPr>
          <w:rFonts w:ascii="Times New Roman" w:cs="Times New Roman" w:eastAsia="Times New Roman" w:hAnsi="Times New Roman"/>
          <w:sz w:val="18"/>
          <w:szCs w:val="18"/>
          <w:color w:val="auto"/>
        </w:rPr>
        <w:t>. Notwithstanding anything to the contrary in this Plan, the value of all Awards awarded under this Plan and all other cash compensation paid by the Company to any Non-Employee Director in any calendar year for service as a Non-Employee Director shall not exceed $750,000, provided, however that such amount shall be $1,000,000 for the calendar year in which the applicable Non-Employee Director is initially elected or appointed to the Board. For the purpose of this limitation, the value of any Award shall be its grant date fair value, as determined in accordance with FASB ASC 718 or successor provision but excluding the impact of estimated forfeitures related to service-based vesting provisions.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4. ELIGIBILITY</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and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5. STOCK OPTIONS</w:t>
      </w:r>
    </w:p>
    <w:p>
      <w:pPr>
        <w:spacing w:after="0" w:line="158" w:lineRule="exact"/>
        <w:rPr>
          <w:sz w:val="20"/>
          <w:szCs w:val="20"/>
          <w:color w:val="auto"/>
        </w:rPr>
      </w:pPr>
    </w:p>
    <w:p>
      <w:pPr>
        <w:ind w:left="460" w:right="479" w:firstLine="426"/>
        <w:spacing w:after="0" w:line="282" w:lineRule="auto"/>
        <w:tabs>
          <w:tab w:leader="none" w:pos="1163"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16" w:lineRule="exact"/>
        <w:rPr>
          <w:sz w:val="20"/>
          <w:szCs w:val="20"/>
          <w:color w:val="auto"/>
        </w:rPr>
      </w:pPr>
    </w:p>
    <w:p>
      <w:pPr>
        <w:jc w:val="both"/>
        <w:ind w:left="460" w:right="459" w:firstLine="426"/>
        <w:spacing w:after="0" w:line="261" w:lineRule="auto"/>
        <w:tabs>
          <w:tab w:leader="none" w:pos="1147"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0" w:name="page451"/>
    <w:bookmarkEnd w:id="4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16" w:lineRule="exact"/>
        <w:rPr>
          <w:sz w:val="20"/>
          <w:szCs w:val="20"/>
          <w:color w:val="auto"/>
        </w:rPr>
      </w:pPr>
    </w:p>
    <w:p>
      <w:pPr>
        <w:jc w:val="both"/>
        <w:ind w:left="460" w:right="479" w:firstLine="426"/>
        <w:spacing w:after="0" w:line="261" w:lineRule="auto"/>
        <w:tabs>
          <w:tab w:leader="none" w:pos="113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47"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77"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12"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7"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55"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71"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09" w:lineRule="exact"/>
        <w:rPr>
          <w:sz w:val="20"/>
          <w:szCs w:val="20"/>
          <w:color w:val="auto"/>
        </w:rPr>
      </w:pPr>
    </w:p>
    <w:p>
      <w:pPr>
        <w:jc w:val="both"/>
        <w:ind w:left="460" w:right="459" w:firstLine="426"/>
        <w:spacing w:after="0" w:line="256" w:lineRule="auto"/>
        <w:tabs>
          <w:tab w:leader="none" w:pos="1117"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1" w:name="page452"/>
    <w:bookmarkEnd w:id="4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6. STOCK APPRECIATION RIGHTS</w:t>
      </w:r>
    </w:p>
    <w:p>
      <w:pPr>
        <w:spacing w:after="0" w:line="158" w:lineRule="exact"/>
        <w:rPr>
          <w:sz w:val="20"/>
          <w:szCs w:val="20"/>
          <w:color w:val="auto"/>
        </w:rPr>
      </w:pPr>
    </w:p>
    <w:p>
      <w:pPr>
        <w:jc w:val="both"/>
        <w:ind w:left="460" w:right="459" w:firstLine="426"/>
        <w:spacing w:after="0" w:line="256" w:lineRule="auto"/>
        <w:tabs>
          <w:tab w:leader="none" w:pos="115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19"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16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w:t>
      </w:r>
    </w:p>
    <w:p>
      <w:pPr>
        <w:spacing w:after="0" w:line="80"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5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6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7. RESTRICTED STOCK AWARDS</w:t>
      </w:r>
    </w:p>
    <w:p>
      <w:pPr>
        <w:spacing w:after="0" w:line="144" w:lineRule="exact"/>
        <w:rPr>
          <w:sz w:val="20"/>
          <w:szCs w:val="20"/>
          <w:color w:val="auto"/>
        </w:rPr>
      </w:pPr>
    </w:p>
    <w:p>
      <w:pPr>
        <w:jc w:val="both"/>
        <w:ind w:left="460" w:right="459" w:firstLine="426"/>
        <w:spacing w:after="0" w:line="261" w:lineRule="auto"/>
        <w:tabs>
          <w:tab w:leader="none" w:pos="115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12" w:lineRule="exact"/>
        <w:rPr>
          <w:rFonts w:ascii="Times New Roman" w:cs="Times New Roman" w:eastAsia="Times New Roman" w:hAnsi="Times New Roman"/>
          <w:sz w:val="18"/>
          <w:szCs w:val="18"/>
          <w:color w:val="auto"/>
        </w:rPr>
      </w:pPr>
    </w:p>
    <w:p>
      <w:pPr>
        <w:jc w:val="both"/>
        <w:ind w:left="460" w:right="479" w:firstLine="426"/>
        <w:spacing w:after="0" w:line="253" w:lineRule="auto"/>
        <w:tabs>
          <w:tab w:leader="none" w:pos="1147"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691"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204"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60"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2" w:name="page453"/>
    <w:bookmarkEnd w:id="4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8. RESTRICTED STOCK UNITS</w:t>
      </w:r>
    </w:p>
    <w:p>
      <w:pPr>
        <w:spacing w:after="0" w:line="158" w:lineRule="exact"/>
        <w:rPr>
          <w:sz w:val="20"/>
          <w:szCs w:val="20"/>
          <w:color w:val="auto"/>
        </w:rPr>
      </w:pPr>
    </w:p>
    <w:p>
      <w:pPr>
        <w:jc w:val="both"/>
        <w:ind w:left="460" w:right="459" w:firstLine="426"/>
        <w:spacing w:after="0" w:line="253" w:lineRule="auto"/>
        <w:tabs>
          <w:tab w:leader="none" w:pos="113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24"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5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201"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9. UNRESTRICTED STOCK AWARDS</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10. CASH-BASED AWARDS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11. DIVIDEND EQUIVALENT RIGHTS</w:t>
      </w:r>
    </w:p>
    <w:p>
      <w:pPr>
        <w:spacing w:after="0" w:line="158" w:lineRule="exact"/>
        <w:rPr>
          <w:sz w:val="20"/>
          <w:szCs w:val="20"/>
          <w:color w:val="auto"/>
        </w:rPr>
      </w:pPr>
    </w:p>
    <w:p>
      <w:pPr>
        <w:jc w:val="both"/>
        <w:ind w:left="460" w:right="459" w:firstLine="426"/>
        <w:spacing w:after="0" w:line="258" w:lineRule="auto"/>
        <w:tabs>
          <w:tab w:leader="none" w:pos="113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3" w:name="page454"/>
    <w:bookmarkEnd w:id="45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24" w:lineRule="exact"/>
        <w:rPr>
          <w:sz w:val="20"/>
          <w:szCs w:val="20"/>
          <w:color w:val="auto"/>
        </w:rPr>
      </w:pPr>
    </w:p>
    <w:p>
      <w:pPr>
        <w:jc w:val="both"/>
        <w:ind w:left="460" w:right="459" w:firstLine="426"/>
        <w:spacing w:after="0" w:line="261" w:lineRule="auto"/>
        <w:tabs>
          <w:tab w:leader="none" w:pos="1201"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TRANSFERABILITY OF AWARDS</w:t>
      </w:r>
    </w:p>
    <w:p>
      <w:pPr>
        <w:spacing w:after="0" w:line="144" w:lineRule="exact"/>
        <w:rPr>
          <w:sz w:val="20"/>
          <w:szCs w:val="20"/>
          <w:color w:val="auto"/>
        </w:rPr>
      </w:pPr>
    </w:p>
    <w:p>
      <w:pPr>
        <w:jc w:val="both"/>
        <w:ind w:left="460" w:right="459" w:firstLine="426"/>
        <w:spacing w:after="0" w:line="256" w:lineRule="auto"/>
        <w:tabs>
          <w:tab w:leader="none" w:pos="1163"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47"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77"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47"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TAX WITHHOLDING</w:t>
      </w:r>
    </w:p>
    <w:p>
      <w:pPr>
        <w:spacing w:after="0" w:line="158" w:lineRule="exact"/>
        <w:rPr>
          <w:sz w:val="20"/>
          <w:szCs w:val="20"/>
          <w:color w:val="auto"/>
        </w:rPr>
      </w:pPr>
    </w:p>
    <w:p>
      <w:pPr>
        <w:jc w:val="both"/>
        <w:ind w:left="460" w:right="459" w:firstLine="426"/>
        <w:spacing w:after="0" w:line="254" w:lineRule="auto"/>
        <w:tabs>
          <w:tab w:leader="none" w:pos="113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4" w:name="page455"/>
    <w:bookmarkEnd w:id="45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3" w:lineRule="auto"/>
        <w:tabs>
          <w:tab w:leader="none" w:pos="116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SECTION 409A AWARDS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158" w:lineRule="exact"/>
        <w:rPr>
          <w:sz w:val="20"/>
          <w:szCs w:val="20"/>
          <w:color w:val="auto"/>
        </w:rPr>
      </w:pPr>
    </w:p>
    <w:p>
      <w:pPr>
        <w:jc w:val="both"/>
        <w:ind w:left="460" w:right="459" w:firstLine="426"/>
        <w:spacing w:after="0" w:line="266" w:lineRule="auto"/>
        <w:tabs>
          <w:tab w:leader="none" w:pos="113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08"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88"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67"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an Affiliate or from the Company to an Affiliate, or from one Affiliate to another; or</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1"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AMENDMENTS AND TERMINATION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STATUS OF PLAN</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5" w:name="page456"/>
    <w:bookmarkEnd w:id="4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GENERAL PROVISIONS</w:t>
      </w:r>
    </w:p>
    <w:p>
      <w:pPr>
        <w:spacing w:after="0" w:line="158" w:lineRule="exact"/>
        <w:rPr>
          <w:sz w:val="20"/>
          <w:szCs w:val="20"/>
          <w:color w:val="auto"/>
        </w:rPr>
      </w:pPr>
    </w:p>
    <w:p>
      <w:pPr>
        <w:jc w:val="both"/>
        <w:ind w:left="460" w:right="459" w:firstLine="426"/>
        <w:spacing w:after="0" w:line="266" w:lineRule="auto"/>
        <w:tabs>
          <w:tab w:leader="none" w:pos="113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16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38"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3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7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02"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EFFECTIVE DATE OF PLAN</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6" w:name="page457"/>
    <w:bookmarkEnd w:id="45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GOVERNING LAW</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BOARD OF DIRECTORS: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STOCKHOLDERS: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7" w:name="page458"/>
    <w:bookmarkEnd w:id="4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J</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FIRPTA Certificate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Treasury Regulations Section 1.1445-2(c)(3) and Section 1.897-2(h)</w:t>
      </w:r>
    </w:p>
    <w:p>
      <w:pPr>
        <w:spacing w:after="0" w:line="139"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This certificate (this “FIRPTA Certificate”) is provided by Gemini Therapeutics, Inc., a Delaware corporation (the “Company”), pursuant to Treasury Regulations Section 1.1445-2(c)(3) and 1.897-2(h), in connection with that certain Merger Agreement entered into as of October [__], 2020, by any among the Company, Shareholder Representative Services LLC, a Colorado limited liability company solely in its capacity as the Stockholders’ Representative, FS Development Corp, a Delaware corporation (“Transferee”), and FSG Merger Sub, Inc., a Delaware corporation.</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To inform Transferee that withholding of tax is not required under section 1445 of the Code in connection with the transactions contemplated under the Agreement, the undersigned, on behalf of the Company, hereby certifies that:</w:t>
      </w:r>
    </w:p>
    <w:p>
      <w:pPr>
        <w:spacing w:after="0" w:line="95" w:lineRule="exact"/>
        <w:rPr>
          <w:sz w:val="20"/>
          <w:szCs w:val="20"/>
          <w:color w:val="auto"/>
        </w:rPr>
      </w:pPr>
    </w:p>
    <w:p>
      <w:pPr>
        <w:ind w:left="1060" w:hanging="174"/>
        <w:spacing w:after="0"/>
        <w:tabs>
          <w:tab w:leader="none" w:pos="10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and is treated as a corporation for U.S. federal income tax purposes.</w:t>
      </w:r>
    </w:p>
    <w:p>
      <w:pPr>
        <w:spacing w:after="0" w:line="157"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U.S. employer identification number is [•].</w:t>
      </w:r>
    </w:p>
    <w:p>
      <w:pPr>
        <w:spacing w:after="0" w:line="157"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address is: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 02139.</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0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as of the date hereof, a “United States real property holding corporation” (a “USRPHC”) as such term is defined by Section 897(c)(2) of the Internal Revenue Code of 1986, as amended (the “Code”), and the Treasury Regulations promulgated thereunder, and has not been a USRPHC on any determination date (as specified in Treasury Regulations Section 1.897-2(c)) during the five-year period ending on the date hereof. Accordingly, interests in the Company do not constitute “U.S. real property interests” as defined in Section 897(c)(1) of the Code (“USRPIs”).</w:t>
      </w:r>
    </w:p>
    <w:p>
      <w:pPr>
        <w:spacing w:after="0" w:line="119"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89"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this certification may be disclosed to the Internal Revenue Service by Transferee and that any false statement contained herein could be punished by fine, imprisonment or both.</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Attached hereto is a notice, dated as of the date hereof, from the Company to the Internal Revenue Service to the effect that the Company has determined equity interests in the Company are not USRPIs.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Under penalties of perjury, the undersigned declares that [s]he has examined the certifications set forth above and verifies that they are true, correct, and complete to [his/her] knowledge and belief, and the undersigned further declares that [he/she] has the authority to execute this FIRPTA Certificate on behalf of the Company.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8" w:name="page459"/>
    <w:bookmarkEnd w:id="4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 [date]</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GEMINI THERAPEUTICS, INC.,</w:t>
      </w:r>
    </w:p>
    <w:p>
      <w:pPr>
        <w:spacing w:after="0" w:line="8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194564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9" w:name="page460"/>
    <w:bookmarkEnd w:id="4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[VIA CERTIFIED MAIL</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RETURN RECEIPT REQUESTED]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Internal Revenue Service Center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P.O. Box 409101</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Ogden, UT 84409</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 Notice Required Under Treasury Regulations Section 1.897-2(h)(2)</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Sir/Madam:</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At the request of FS Development Corp., a Delaware corporation (“Transferee”), in connection with the acquisition of Gemini Therapeutics, Inc., a Delaware corporation (the “Company”), we provided the attached statement to Transferee on [Date].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notice is provided pursuant to the requirements of Treasury Regulations Section 1.897-2(h)(2).</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information relates to the corporation providing the notice:</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ind w:left="880"/>
        <w:spacing w:after="0"/>
        <w:tabs>
          <w:tab w:leader="none" w:pos="1440" w:val="left"/>
        </w:tabs>
        <w:rPr>
          <w:sz w:val="20"/>
          <w:szCs w:val="20"/>
          <w:color w:val="auto"/>
        </w:rPr>
      </w:pPr>
      <w:r>
        <w:rPr>
          <w:rFonts w:ascii="Times New Roman" w:cs="Times New Roman" w:eastAsia="Times New Roman" w:hAnsi="Times New Roman"/>
          <w:sz w:val="18"/>
          <w:szCs w:val="18"/>
          <w:color w:val="auto"/>
        </w:rPr>
        <w:t>EIN:</w:t>
        <w:tab/>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300 One Kendall Square, 3</w:t>
      </w:r>
      <w:r>
        <w:rPr>
          <w:rFonts w:ascii="Times New Roman" w:cs="Times New Roman" w:eastAsia="Times New Roman" w:hAnsi="Times New Roman"/>
          <w:sz w:val="9"/>
          <w:szCs w:val="9"/>
          <w:color w:val="auto"/>
        </w:rPr>
        <w:t>rd</w:t>
      </w:r>
      <w:r>
        <w:rPr>
          <w:rFonts w:ascii="Times New Roman" w:cs="Times New Roman" w:eastAsia="Times New Roman" w:hAnsi="Times New Roman"/>
          <w:sz w:val="17"/>
          <w:szCs w:val="17"/>
          <w:color w:val="auto"/>
        </w:rPr>
        <w:t xml:space="preserve"> Floor</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sectPr>
          <w:pgSz w:w="11900" w:h="16838" w:orient="portrait"/>
          <w:cols w:equalWidth="0" w:num="2">
            <w:col w:w="1520" w:space="80"/>
            <w:col w:w="7419"/>
          </w:cols>
          <w:pgMar w:left="1440" w:top="270" w:right="1440" w:bottom="1440" w:gutter="0" w:footer="0" w:header="0"/>
          <w:type w:val="continuous"/>
        </w:sect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attached statement was not requested by a foreign interest holder. It was voluntarily provided by the Company in response to a request from the Transferee in accordance with Treasury Regulations Section 1.1445-2(c)(3)(i). The following information relates to the Transferee:</w:t>
      </w:r>
    </w:p>
    <w:p>
      <w:pPr>
        <w:sectPr>
          <w:pgSz w:w="11900" w:h="16838" w:orient="portrait"/>
          <w:cols w:equalWidth="0" w:num="1">
            <w:col w:w="9019"/>
          </w:cols>
          <w:pgMar w:left="1440" w:top="270" w:right="1440" w:bottom="1440" w:gutter="0" w:footer="0" w:header="0"/>
          <w:type w:val="continuous"/>
        </w:sectPr>
      </w:pP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ind w:left="880"/>
        <w:spacing w:after="0"/>
        <w:tabs>
          <w:tab w:leader="none" w:pos="1440" w:val="left"/>
        </w:tabs>
        <w:rPr>
          <w:sz w:val="20"/>
          <w:szCs w:val="20"/>
          <w:color w:val="auto"/>
        </w:rPr>
      </w:pPr>
      <w:r>
        <w:rPr>
          <w:rFonts w:ascii="Times New Roman" w:cs="Times New Roman" w:eastAsia="Times New Roman" w:hAnsi="Times New Roman"/>
          <w:sz w:val="18"/>
          <w:szCs w:val="18"/>
          <w:color w:val="auto"/>
        </w:rPr>
        <w:t>EIN:</w:t>
        <w:tab/>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600 Montgomery Street, Suite 4500</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sectPr>
          <w:pgSz w:w="11900" w:h="16838" w:orient="portrait"/>
          <w:cols w:equalWidth="0" w:num="2">
            <w:col w:w="1520" w:space="80"/>
            <w:col w:w="7419"/>
          </w:cols>
          <w:pgMar w:left="1440" w:top="270" w:right="1440" w:bottom="1440" w:gutter="0" w:footer="0" w:header="0"/>
          <w:type w:val="continuous"/>
        </w:sect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interests in question (equity interests in the Company) are not “U.S. real property interests,” as that term is defined in section 897(c)(1) of the Internal Revenue Code of 1986, as amended.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0" w:name="page461"/>
    <w:bookmarkEnd w:id="4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Under penalties of perjury, the undersigned declares that (i) [s]he is a responsible corporate officer of the Company with the authority to sign this document on behalf of the Company and (ii) the above notice (including the attachment hereto) is true, correct, and complete to [his/her] knowledge and belief.</w:t>
      </w:r>
    </w:p>
    <w:p>
      <w:pPr>
        <w:spacing w:after="0" w:line="14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5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43180</wp:posOffset>
            </wp:positionV>
            <wp:extent cx="183451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1" w:name="page462"/>
    <w:bookmarkEnd w:id="4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LOCKUP AGREEMENT</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This Lockup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dated as of October [•], 2020 and is between FS Development Corp., a Delaware corporation (“</w:t>
      </w:r>
      <w:r>
        <w:rPr>
          <w:rFonts w:ascii="Times New Roman" w:cs="Times New Roman" w:eastAsia="Times New Roman" w:hAnsi="Times New Roman"/>
          <w:sz w:val="18"/>
          <w:szCs w:val="18"/>
          <w:b w:val="1"/>
          <w:bCs w:val="1"/>
          <w:u w:val="single" w:color="auto"/>
          <w:color w:val="auto"/>
        </w:rPr>
        <w:t>FSD</w:t>
      </w:r>
      <w:r>
        <w:rPr>
          <w:rFonts w:ascii="Times New Roman" w:cs="Times New Roman" w:eastAsia="Times New Roman" w:hAnsi="Times New Roman"/>
          <w:sz w:val="18"/>
          <w:szCs w:val="18"/>
          <w:color w:val="auto"/>
        </w:rPr>
        <w:t xml:space="preserve">”), and each of the stockholder parties identified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hereto and the other persons who enter into a joinder to this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with FSD in order to become a “Stockholder Party” for purposes of this Agreement (collectively, the “</w:t>
      </w:r>
      <w:r>
        <w:rPr>
          <w:rFonts w:ascii="Times New Roman" w:cs="Times New Roman" w:eastAsia="Times New Roman" w:hAnsi="Times New Roman"/>
          <w:sz w:val="18"/>
          <w:szCs w:val="18"/>
          <w:b w:val="1"/>
          <w:bCs w:val="1"/>
          <w:u w:val="single" w:color="auto"/>
          <w:color w:val="auto"/>
        </w:rPr>
        <w:t>Stockholder Parties</w:t>
      </w:r>
      <w:r>
        <w:rPr>
          <w:rFonts w:ascii="Times New Roman" w:cs="Times New Roman" w:eastAsia="Times New Roman" w:hAnsi="Times New Roman"/>
          <w:sz w:val="18"/>
          <w:szCs w:val="18"/>
          <w:color w:val="auto"/>
        </w:rPr>
        <w:t>”). Capitalized terms used but not defined herein shall have the meanings assigned to them in the Merger Agreement (as defined below).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58"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that certain Agreement and Plan of Merger, dated as of October [•], 2020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FSG Merger Sub Inc., a Delaware corporation and a direct, wholly owned subsidiary of FSD, will merge (the “</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with and into Gemini Therapeutics, Inc., a Delaware corporation (“</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 with Gemini surviving the Merger as a wholly owned subsidiary of FSD;</w:t>
      </w:r>
    </w:p>
    <w:p>
      <w:pPr>
        <w:spacing w:after="0" w:line="95"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Stockholder Parties owns the number and type of Equity Interest in Gemini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opposite of such Stockholder Party’s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(such Equity Interests, the “</w:t>
      </w:r>
      <w:r>
        <w:rPr>
          <w:rFonts w:ascii="Times New Roman" w:cs="Times New Roman" w:eastAsia="Times New Roman" w:hAnsi="Times New Roman"/>
          <w:sz w:val="18"/>
          <w:szCs w:val="18"/>
          <w:b w:val="1"/>
          <w:bCs w:val="1"/>
          <w:u w:val="single" w:color="auto"/>
          <w:color w:val="auto"/>
        </w:rPr>
        <w:t>Gemini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Interests</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Stockholder Parties will receive a certain number of shares of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$0.0001 par value per share, of FSD and/or options to purchase such shares of Class A common stock (the “</w:t>
      </w:r>
      <w:r>
        <w:rPr>
          <w:rFonts w:ascii="Times New Roman" w:cs="Times New Roman" w:eastAsia="Times New Roman" w:hAnsi="Times New Roman"/>
          <w:sz w:val="18"/>
          <w:szCs w:val="18"/>
          <w:b w:val="1"/>
          <w:bCs w:val="1"/>
          <w:u w:val="single" w:color="auto"/>
          <w:color w:val="auto"/>
        </w:rPr>
        <w:t>FSD Equity Interests</w:t>
      </w:r>
      <w:r>
        <w:rPr>
          <w:rFonts w:ascii="Times New Roman" w:cs="Times New Roman" w:eastAsia="Times New Roman" w:hAnsi="Times New Roman"/>
          <w:sz w:val="18"/>
          <w:szCs w:val="18"/>
          <w:color w:val="auto"/>
        </w:rPr>
        <w:t>”, together with the Gemini Equity Interests, and together with any of the foregoing acquired after the date hereof, the “</w:t>
      </w:r>
      <w:r>
        <w:rPr>
          <w:rFonts w:ascii="Times New Roman" w:cs="Times New Roman" w:eastAsia="Times New Roman" w:hAnsi="Times New Roman"/>
          <w:sz w:val="18"/>
          <w:szCs w:val="18"/>
          <w:b w:val="1"/>
          <w:bCs w:val="1"/>
          <w:u w:val="single" w:color="auto"/>
          <w:color w:val="auto"/>
        </w:rPr>
        <w:t>Covered Equity Interest</w:t>
      </w:r>
      <w:r>
        <w:rPr>
          <w:rFonts w:ascii="Times New Roman" w:cs="Times New Roman" w:eastAsia="Times New Roman" w:hAnsi="Times New Roman"/>
          <w:sz w:val="18"/>
          <w:szCs w:val="18"/>
          <w:color w:val="auto"/>
        </w:rPr>
        <w:t>”), pursuant to the terms of the Merger Agreement;</w:t>
      </w:r>
    </w:p>
    <w:p>
      <w:pPr>
        <w:spacing w:after="0" w:line="109" w:lineRule="exact"/>
        <w:rPr>
          <w:sz w:val="20"/>
          <w:szCs w:val="20"/>
          <w:color w:val="auto"/>
        </w:rPr>
      </w:pPr>
    </w:p>
    <w:p>
      <w:pPr>
        <w:jc w:val="both"/>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benefits to be received by each Stockholder Party under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Merger Agreement and as a material inducement to FSD and the other Parent Parties agreeing to enter into and consummate the transactions contemplated by the Merger Agreement, each Stockholder Party agrees to enter into this Agreement and to be bound by the agreements, covenants and obligations contained in this Agreement; and</w:t>
      </w:r>
    </w:p>
    <w:p>
      <w:pPr>
        <w:spacing w:after="0" w:line="98"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acknowledge and agree that FSD would not have entered into and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consummate the transactions contemplated by the Merger Agreement without each Stockholder Party entering into this Agreement and agreeing to be bound by the agreements, covenants and obligations contained in this Agreement;</w:t>
      </w:r>
    </w:p>
    <w:p>
      <w:pPr>
        <w:spacing w:after="0" w:line="109"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in connection with FSD entering into the Merger Agreement, the parties hereto wish to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herein certain understandings between such parties with respect to restrictions on transfer of the Covered Equity Interest.</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set forth herein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acknowledged, the parties hereto, each intending to be legally bound, hereby agree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MATTERS</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In addition to the terms defined elsewhere herein, the following terms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meanings when used herein with initial capital letters:</w:t>
      </w:r>
    </w:p>
    <w:p>
      <w:pPr>
        <w:spacing w:after="0" w:line="87"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Lockup Agreement, as the same may be amended, supplemented, restated or otherwise modified from time to time in accordance with the terms hereof.</w:t>
      </w:r>
    </w:p>
    <w:p>
      <w:pPr>
        <w:spacing w:after="0" w:line="8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has the meaning set forth in the Recitals.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2" w:name="page463"/>
    <w:bookmarkEnd w:id="4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Stockholder Parties</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sections of this Agreement unless otherwise specified.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Lockup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20" w:right="459" w:hanging="434"/>
        <w:spacing w:after="0" w:line="251" w:lineRule="auto"/>
        <w:tabs>
          <w:tab w:leader="none" w:pos="1373"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agrees that such Stockholder Party shall not Transfer any Covered Equity Interest or any securities convertible into or exercisable or exchangeable (directly or indirectly) for any Covered Equity Interest (whether such Covered Equity Interest or any such securities are held by such Stockholder Party as of the date hereof or are thereafter acquired) from the date hereof and ending one-hundred eighty (180) days following the Closing Date (the “</w:t>
      </w:r>
      <w:r>
        <w:rPr>
          <w:rFonts w:ascii="Times New Roman" w:cs="Times New Roman" w:eastAsia="Times New Roman" w:hAnsi="Times New Roman"/>
          <w:sz w:val="18"/>
          <w:szCs w:val="18"/>
          <w:b w:val="1"/>
          <w:bCs w:val="1"/>
          <w:u w:val="single" w:color="auto"/>
          <w:color w:val="auto"/>
        </w:rPr>
        <w:t>Lock-Up Period</w:t>
      </w:r>
      <w:r>
        <w:rPr>
          <w:rFonts w:ascii="Times New Roman" w:cs="Times New Roman" w:eastAsia="Times New Roman" w:hAnsi="Times New Roman"/>
          <w:sz w:val="18"/>
          <w:szCs w:val="18"/>
          <w:color w:val="auto"/>
        </w:rPr>
        <w:t>”). The foregoing restriction is expressly agreed to preclude each Stockholder Party during the Lock-up Period from engaging in any hedging or other transaction which is designed to or which reasonably could be expected to lead to or result in a sale or disposition of such Stockholder Party’s Covered Equity Interest even if such Covered Equity Interest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Stockholder Party’s Covered Equity Interest or with respect to any security that includes, relates to, or derives any significant part of its value from such Covered Equity Interest. The foregoing notwithstanding, each executive officer and director of FSD shall be permitted to establish a plan to acquire and sell Covered Equity Interest pursuant to Rule 10b5-1 under the Exchange Act; provided, however, no sale of any Covered Equity Interest under any such plan shall be made prior to the expiration of the Lock-Up Period. For purposes of this agreement, “</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means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Covered Equity Interest, (ii) enter into any swap or other arrangement that transfers to another, in whole or in part, any of the economic consequences of ownership of any Covered Equity Interest,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 by executing and delivering the Form of Joinder Agreement set forth on Exhibit B to the FSD.</w:t>
      </w:r>
    </w:p>
    <w:p>
      <w:pPr>
        <w:spacing w:after="0" w:line="133"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3"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also agrees and consents to the entry of stop transfer instructions with FSD’s transfer agent and registrar against the transfer of any Covered Equity INterest except in compliance with the foregoing restrictions and to the addition of a legend to such Stockholder Party’s Covered Equity Interest describing the foregoing restrictions.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3" w:name="page464"/>
    <w:bookmarkEnd w:id="4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STOCKHOLDER PARTIES</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Stockholder Representations and Warranties</w:t>
      </w:r>
      <w:r>
        <w:rPr>
          <w:rFonts w:ascii="Times New Roman" w:cs="Times New Roman" w:eastAsia="Times New Roman" w:hAnsi="Times New Roman"/>
          <w:sz w:val="18"/>
          <w:szCs w:val="18"/>
          <w:color w:val="auto"/>
        </w:rPr>
        <w:t>. Each Stockholder Party represents and warrants to</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FSD as follows:</w:t>
      </w:r>
    </w:p>
    <w:p>
      <w:pPr>
        <w:spacing w:after="0" w:line="139" w:lineRule="exact"/>
        <w:rPr>
          <w:sz w:val="20"/>
          <w:szCs w:val="20"/>
          <w:color w:val="auto"/>
        </w:rPr>
      </w:pPr>
    </w:p>
    <w:p>
      <w:pPr>
        <w:jc w:val="both"/>
        <w:ind w:left="1320" w:right="459" w:hanging="434"/>
        <w:spacing w:after="0" w:line="258" w:lineRule="auto"/>
        <w:tabs>
          <w:tab w:leader="none" w:pos="1398"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Party is not an individual, the Stockholder Party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23"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Party is not an individual, the Stockholder Party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Party. This Agreement has been duly and validly executed and delivered by such Stockholder Party and constitutes a valid, legal and binding agreement of each Stockholder Party (assuming that this Agreement is duly authorized, executed and delivered by FSD), enforceable against each such Stockholder Party in accordance with its terms (subject to applicable bankruptcy, insolvency, reorganization, moratorium or other Laws affecting generally the enforcement of creditors’ rights and subject to general principles of equity).</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6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is the record and beneficial owner of the Gemini Equity Interests set forth opposite such Stockholder Party’s name on Exhibit A hereto and has valid, good and marketable title to the Gemini Equity Interests, free and clear of all Liens (other than transfer restrictions under applicable Securities Law). Each Stockholder Party is not party to or bound by (i) any option, warrant, purchase right, or other Contract that would (either alone or in connection with one or more events, developments (including the satisfaction or waiver of any conditions precedent)) require such Stockholder Party to Transfer any of the Covered Equity Interests or (ii) any voting trust, proxy or other Contract with respect to the voting or Transfer of any of the Covered Equity Interests.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35"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and the obligations of each Stockholder Party hereunder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terminate upon the termination of the Merger Agreement in accordance with its terms. Upon termination or expiration of this Agreement, no party shall have any further obligations or liabilities under this Agreement; provided, however, that such termination or expiration shall not relieve any party from liability for any willful breach of this Agreement occurring prior to its termination.</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FSD’s address is: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Dennis Ryan</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docs-Investments@foresitecapital.com</w:t>
      </w:r>
    </w:p>
    <w:p>
      <w:pPr>
        <w:spacing w:after="0" w:line="16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4" w:name="page465"/>
    <w:bookmarkEnd w:id="4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White&amp; Case LLP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such address as such Stockholder Party shall furnish to FSD in writing.</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Amendment; Waiver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20" w:right="479" w:hanging="434"/>
        <w:spacing w:after="0" w:line="258" w:lineRule="auto"/>
        <w:tabs>
          <w:tab w:leader="none" w:pos="140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and provisions of this Agreement may be modified or amended only with the written approval of the FSD (including from and after the Effective Time, the approval of the member of the board of directors of FSD nominated by the Sponsor) and Stockholder Parties holding a majority of the Covered Equity Interests then held by the Stockholder Parties in the aggregate as to which this Agreement has not been terminated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9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02"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the specific instance in which it is given.</w:t>
      </w:r>
    </w:p>
    <w:p>
      <w:pPr>
        <w:spacing w:after="0" w:line="112"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The parties hereto will sign such further documents, cause such meetings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resolutions passed, exercise their votes and do and perform and cause to be done such further acts and things necessary, proper or advisable in order to give full effect to this Agreement and every provision hereof.</w:t>
      </w:r>
    </w:p>
    <w:p>
      <w:pPr>
        <w:spacing w:after="0" w:line="103"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This Agreement may not be assigned without the express prior written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hereto, and any attempted assignment, without such consents, will be null and void. This Agreement will inure to the benefit of and be binding on the parties hereto and their respective successors and permitted assigns.</w:t>
      </w:r>
    </w:p>
    <w:p>
      <w:pPr>
        <w:spacing w:after="0" w:line="95"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u w:val="single" w:color="auto"/>
          <w:color w:val="auto"/>
        </w:rPr>
        <w:t>Third Parties</w:t>
      </w:r>
      <w:r>
        <w:rPr>
          <w:rFonts w:ascii="Times New Roman" w:cs="Times New Roman" w:eastAsia="Times New Roman" w:hAnsi="Times New Roman"/>
          <w:sz w:val="18"/>
          <w:szCs w:val="18"/>
          <w:color w:val="auto"/>
        </w:rPr>
        <w:t>. Except with respect to any Non-Recourse Party, this Agreement does not create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claims or benefits inuring to any person that is not a party hereto nor create or establish any third party beneficiary hereto.</w:t>
      </w:r>
    </w:p>
    <w:p>
      <w:pPr>
        <w:spacing w:after="0" w:line="103"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THE LEGAL RELATIONS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ARISING HEREUNDER SHALL BE GOVERNED BY AND INTERPRETED IN ACCORDANCE WITH THE LAWS OF THE STATE OF DELAWARE WITHOUT REFERENCE TO ITS CONFLICTS OF LAW PROVISIONS.</w:t>
      </w:r>
    </w:p>
    <w:p>
      <w:pPr>
        <w:spacing w:after="0" w:line="10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u w:val="single" w:color="auto"/>
          <w:color w:val="auto"/>
        </w:rPr>
        <w:t>Jurisdiction; Waiver of Jury Trial</w:t>
      </w:r>
      <w:r>
        <w:rPr>
          <w:rFonts w:ascii="Times New Roman" w:cs="Times New Roman" w:eastAsia="Times New Roman" w:hAnsi="Times New Roman"/>
          <w:sz w:val="18"/>
          <w:szCs w:val="18"/>
          <w:color w:val="auto"/>
        </w:rPr>
        <w:t>. All Actions arising out of or relating to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4.9.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Each party hereto acknowledges and agrees that in the event of any breach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by any of them, the other parties hereto would be irreparably harmed and could not be made whole by monetary damages. Each party accordingly agrees to waive the defense in any action for specific performance that a remedy at law would be adequate and that the parties, in addition to any other remedy to which they may be entitled at law or in equity, shall be entitled to specific performance of this Agreement without the posting of a bond.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5" w:name="page466"/>
    <w:bookmarkEnd w:id="4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4.10.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subject matter hereof. There are no agreements, representations, warranties, covenants or understandings with respect to the subject matter hereof other than those expressly set forth herein. This Agreement supersedes all other prior agreements and understandings between the parties with respect to such subject matter.</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4.11.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or the application of such provision to any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15"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4.12. </w:t>
      </w:r>
      <w:r>
        <w:rPr>
          <w:rFonts w:ascii="Times New Roman" w:cs="Times New Roman" w:eastAsia="Times New Roman" w:hAnsi="Times New Roman"/>
          <w:sz w:val="18"/>
          <w:szCs w:val="18"/>
          <w:b w:val="1"/>
          <w:bCs w:val="1"/>
          <w:u w:val="single" w:color="auto"/>
          <w:color w:val="auto"/>
        </w:rPr>
        <w:t>Table of Contents, Headings and Captions</w:t>
      </w:r>
      <w:r>
        <w:rPr>
          <w:rFonts w:ascii="Times New Roman" w:cs="Times New Roman" w:eastAsia="Times New Roman" w:hAnsi="Times New Roman"/>
          <w:sz w:val="18"/>
          <w:szCs w:val="18"/>
          <w:color w:val="auto"/>
        </w:rPr>
        <w:t>. The table of contents, headings, subheadings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captions contained in this Agreement are included for convenience of reference only, and in no way define, limit or describe the scope of this Agreement or the intent of any provision hereof.</w:t>
      </w:r>
    </w:p>
    <w:p>
      <w:pPr>
        <w:spacing w:after="0" w:line="90"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and any amendment hereto may be signed in any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counterparts, each of which shall be deemed an original, but all of which taken together shall constitute one agreement (or amendment, as applicable).</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4.14. </w:t>
      </w:r>
      <w:r>
        <w:rPr>
          <w:rFonts w:ascii="Times New Roman" w:cs="Times New Roman" w:eastAsia="Times New Roman" w:hAnsi="Times New Roman"/>
          <w:sz w:val="18"/>
          <w:szCs w:val="18"/>
          <w:b w:val="1"/>
          <w:bCs w:val="1"/>
          <w:u w:val="single" w:color="auto"/>
          <w:color w:val="auto"/>
        </w:rPr>
        <w:t>Effectiveness</w:t>
      </w:r>
      <w:r>
        <w:rPr>
          <w:rFonts w:ascii="Times New Roman" w:cs="Times New Roman" w:eastAsia="Times New Roman" w:hAnsi="Times New Roman"/>
          <w:sz w:val="18"/>
          <w:szCs w:val="18"/>
          <w:color w:val="auto"/>
        </w:rPr>
        <w:t>. This Agreement shall be valid and enforceable as of the date of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be revoked by any party hereto.</w:t>
      </w:r>
    </w:p>
    <w:p>
      <w:pPr>
        <w:spacing w:after="0" w:line="8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4.15. </w:t>
      </w:r>
      <w:r>
        <w:rPr>
          <w:rFonts w:ascii="Times New Roman" w:cs="Times New Roman" w:eastAsia="Times New Roman" w:hAnsi="Times New Roman"/>
          <w:sz w:val="18"/>
          <w:szCs w:val="18"/>
          <w:b w:val="1"/>
          <w:bCs w:val="1"/>
          <w:u w:val="single" w:color="auto"/>
          <w:color w:val="auto"/>
        </w:rPr>
        <w:t>No Recourse</w:t>
      </w:r>
      <w:r>
        <w:rPr>
          <w:rFonts w:ascii="Times New Roman" w:cs="Times New Roman" w:eastAsia="Times New Roman" w:hAnsi="Times New Roman"/>
          <w:sz w:val="18"/>
          <w:szCs w:val="18"/>
          <w:color w:val="auto"/>
        </w:rPr>
        <w:t>. This Agreement may only be enforced against, and any claim or cause of action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based upon, arise out of 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partner, shareholder, agent, attorney or representative of any party hereto or any past, present or future Affiliate, director, officer, employee, incorporator, member, manager, partner, stockholder, agent, attorney or representative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6" w:name="page467"/>
    <w:bookmarkEnd w:id="4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Lockup Agreement on the day and year first above written.</w:t>
      </w:r>
    </w:p>
    <w:p>
      <w:pPr>
        <w:spacing w:after="0" w:line="15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7" w:name="page468"/>
    <w:bookmarkEnd w:id="4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LIGHTSTONE VENTURES,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8" w:name="page469"/>
    <w:bookmarkEnd w:id="46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9" w:name="page470"/>
    <w:bookmarkEnd w:id="46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LIGHSTONE SINGAPORE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0" w:name="page471"/>
    <w:bookmarkEnd w:id="4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1" w:name="page472"/>
    <w:bookmarkEnd w:id="4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ATLAS VENTURE FUND X,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2" w:name="page473"/>
    <w:bookmarkEnd w:id="4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8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WU CAPITAL</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3" w:name="page474"/>
    <w:bookmarkEnd w:id="4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4" w:name="page475"/>
    <w:bookmarkEnd w:id="4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5" w:name="page476"/>
    <w:bookmarkEnd w:id="4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6" w:name="page477"/>
    <w:bookmarkEnd w:id="4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77" w:name="page478"/>
    <w:bookmarkEnd w:id="4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PARTIES</w:t>
      </w:r>
      <w:r>
        <w:rPr>
          <w:rFonts w:ascii="Times New Roman" w:cs="Times New Roman" w:eastAsia="Times New Roman" w:hAnsi="Times New Roman"/>
          <w:sz w:val="20"/>
          <w:szCs w:val="20"/>
          <w:b w:val="1"/>
          <w:bCs w:val="1"/>
          <w:color w:val="auto"/>
          <w:vertAlign w:val="superscript"/>
        </w:rPr>
        <w:t>[10]</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Options</w:t>
            </w:r>
          </w:p>
        </w:tc>
      </w:tr>
      <w:tr>
        <w:trPr>
          <w:trHeight w:val="46"/>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Ventures, L.P.</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11,653,137</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976,931</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Lightstone Ventures (A), L.P.</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1,587,559</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133,112</w:t>
            </w: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Lighstone Singapore L.P.</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3,700,139</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13,240,696</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7,400,280</w:t>
            </w:r>
          </w:p>
        </w:tc>
        <w:tc>
          <w:tcPr>
            <w:tcW w:w="1280" w:type="dxa"/>
            <w:vAlign w:val="bottom"/>
          </w:tcPr>
          <w:p>
            <w:pPr>
              <w:spacing w:after="0"/>
              <w:rPr>
                <w:sz w:val="21"/>
                <w:szCs w:val="2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13,240,696</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5,180,196</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Wu Capital</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7,400,280</w:t>
            </w: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Lauder</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480,000</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James McLaughlin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4,500,000</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 Reilly</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185,175</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Steve Squinto</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396,803</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3,285,939</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Uknis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Suresh Katti</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319,535</w:t>
            </w: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Walter Strapps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319,535</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Ong</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Phil Reilly</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185,175</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880" w:hanging="426"/>
        <w:spacing w:after="0"/>
        <w:tabs>
          <w:tab w:leader="none" w:pos="880" w:val="left"/>
        </w:tabs>
        <w:numPr>
          <w:ilvl w:val="0"/>
          <w:numId w:val="4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To be confirmed whether any other members of Gemini management owns shares of Gemini.</w:t>
      </w:r>
    </w:p>
    <w:p>
      <w:pPr>
        <w:sectPr>
          <w:pgSz w:w="11900" w:h="16838" w:orient="portrait"/>
          <w:cols w:equalWidth="0" w:num="1">
            <w:col w:w="9019"/>
          </w:cols>
          <w:pgMar w:left="1440" w:top="269" w:right="1440"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type w:val="continuous"/>
        </w:sectPr>
      </w:pPr>
    </w:p>
    <w:bookmarkStart w:id="478" w:name="page479"/>
    <w:bookmarkEnd w:id="4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JOINDER TO LOCKUP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Reference is made to the Lockup Agreement, dated as of October [•], 2020, by and between FSD Development Corp. and the Stockholder Parties (as defined therein) from time to time party thereto (as amended from time to time,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Capitalized terms used but not otherwise defined herein shall have the meanings ascribed to such terms in the Lockup Agreement.</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Each of FSD and each undersigned holder of shares of FSD (each, a “</w:t>
      </w:r>
      <w:r>
        <w:rPr>
          <w:rFonts w:ascii="Times New Roman" w:cs="Times New Roman" w:eastAsia="Times New Roman" w:hAnsi="Times New Roman"/>
          <w:sz w:val="18"/>
          <w:szCs w:val="18"/>
          <w:u w:val="single" w:color="auto"/>
          <w:color w:val="auto"/>
        </w:rPr>
        <w:t>New Stockholder Party</w:t>
      </w:r>
      <w:r>
        <w:rPr>
          <w:rFonts w:ascii="Times New Roman" w:cs="Times New Roman" w:eastAsia="Times New Roman" w:hAnsi="Times New Roman"/>
          <w:sz w:val="18"/>
          <w:szCs w:val="18"/>
          <w:color w:val="auto"/>
        </w:rPr>
        <w:t>”) agrees that this Joinder to the Lockup Agreement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is being executed and delivered for good and valuable consideration.</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undersigned New Stockholder Party hereby agrees to and does become party to the Lockup Agreement as a Stockholder Party. This Joinder shall serve as a counterpart signature page to the Lockup Agreement and by executing below each undersigned New Stockholder Party is deemed to have executed the Lockup Agreement with the same force and effect as if originally named a party thereto.</w:t>
      </w:r>
    </w:p>
    <w:p>
      <w:pPr>
        <w:spacing w:after="0" w:line="99"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This Joinder may be executed in multiple counterparts, including by means of facsimile or electronic signature, each of which shall be deemed an original, but all of which together shall constitute the same instrument.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79" w:name="page480"/>
    <w:bookmarkEnd w:id="4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WITNESS WHEREOF, the undersigned have duly executed this joinder as of the date first set forth above.</w:t>
      </w:r>
    </w:p>
    <w:p>
      <w:pPr>
        <w:spacing w:after="0" w:line="23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[NEW STOCKHOLDER PARTY]</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7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0" w:name="page481"/>
    <w:bookmarkEnd w:id="4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MERGER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FSG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AND INTO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13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Pursuant to the provisions of Section 251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Gemini Therapeutics, Inc., a corporation organized and existing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the following information relating to the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of FSG Merger Sub, Inc., a corporation organized and existing under the laws of Delaware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with and into the Company, with the Company as the surviving corporation of the Merger:</w:t>
      </w:r>
    </w:p>
    <w:p>
      <w:pPr>
        <w:spacing w:after="0" w:line="98"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names and states of incorporation of the constituent corporations to the Merger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Constituent Corporations</w:t>
      </w:r>
      <w:r>
        <w:rPr>
          <w:rFonts w:ascii="Times New Roman" w:cs="Times New Roman" w:eastAsia="Times New Roman" w:hAnsi="Times New Roman"/>
          <w:sz w:val="18"/>
          <w:szCs w:val="18"/>
          <w:color w:val="auto"/>
        </w:rPr>
        <w:t>”) are as follows:</w:t>
      </w:r>
    </w:p>
    <w:p>
      <w:pPr>
        <w:spacing w:after="0" w:line="175" w:lineRule="exact"/>
        <w:rPr>
          <w:sz w:val="20"/>
          <w:szCs w:val="20"/>
          <w:color w:val="auto"/>
        </w:rPr>
      </w:pPr>
    </w:p>
    <w:tbl>
      <w:tblPr>
        <w:tblLayout w:type="fixed"/>
        <w:tblInd w:w="880" w:type="dxa"/>
        <w:tblCellMar>
          <w:top w:w="0" w:type="dxa"/>
          <w:left w:w="0" w:type="dxa"/>
          <w:bottom w:w="0" w:type="dxa"/>
          <w:right w:w="0" w:type="dxa"/>
        </w:tblCellMar>
      </w:tblPr>
      <w:tr>
        <w:trPr>
          <w:trHeight w:val="212"/>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r>
      <w:tr>
        <w:trPr>
          <w:trHeight w:val="46"/>
        </w:trPr>
        <w:tc>
          <w:tcPr>
            <w:tcW w:w="3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Gemini Therapeutics, Inc.</w:t>
            </w:r>
          </w:p>
        </w:tc>
        <w:tc>
          <w:tcPr>
            <w:tcW w:w="10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FSG Merger Sub, Inc.</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194"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The Agreement and Plan of Merger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October [•], 2020,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Company, FS Development Corp., a Delaware corporation, Merger Sub, and Shareholder Representative Services LLC (solely in its capacity as the stockholder representative as set forth therein), has been approved, adopted, certified, executed and acknowledged by each of the Constituent Corporations pursuant to, and in accordance with, Section 251 of the DGCL.</w:t>
      </w:r>
    </w:p>
    <w:p>
      <w:pPr>
        <w:spacing w:after="0" w:line="11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name of the surviving corporation, upon the effectiveness of the Merger, shall be Gemini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Inc., a Delaware corporation.</w:t>
      </w:r>
    </w:p>
    <w:p>
      <w:pPr>
        <w:spacing w:after="0" w:line="74"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 Certificate of Incorporation of the Company, as in effect prior to the filing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Certificate of Merger, shall be amended as of the filing of this Certificate of Merger so as to contain the provisions, and only the provisions, contained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and, as so amended, shall be the Certificate of Incorporation of the surviving corporation.</w:t>
      </w:r>
    </w:p>
    <w:p>
      <w:pPr>
        <w:spacing w:after="0" w:line="109"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This Certificate of Merger and the Merger shall become effective immediately upon the filing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Certificate of Merger with the Secretary of State of the State of Delaware.</w:t>
      </w:r>
    </w:p>
    <w:p>
      <w:pPr>
        <w:spacing w:after="0" w:line="8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The executed Agreement is on file at the principal place of business of the surviving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address of the principal place of business of the surviving corporation is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 02139.</w:t>
      </w:r>
    </w:p>
    <w:p>
      <w:pPr>
        <w:spacing w:after="0" w:line="99"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A copy of the Agreement will be furnished by the surviving corporation on request,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to any stockholder of either of the Constituent Corporations.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BLANK INTENTIONALLY]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1" w:name="page482"/>
    <w:bookmarkEnd w:id="4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said surviving corporation has caused this certificate to be signed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on the _____ day of _____, 2020.</w:t>
      </w:r>
    </w:p>
    <w:p>
      <w:pPr>
        <w:spacing w:after="0" w:line="1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Delaware Certificate of Merger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2" w:name="page483"/>
    <w:bookmarkEnd w:id="4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attached.</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3" w:name="page484"/>
    <w:bookmarkEnd w:id="4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name of the Corporation is Gemini Therapeutics,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 The name of its registered agent at such address is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[__________] Million ([__________]) of which (i) [__________] Million ([______]) shares shall be a class</w:t>
      </w: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designated as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Ten Million (10,000,000) shares shall be a class designated as undesignated preferred stock, par value $0.0001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0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08" w:lineRule="exact"/>
        <w:rPr>
          <w:sz w:val="20"/>
          <w:szCs w:val="20"/>
          <w:color w:val="auto"/>
        </w:rPr>
      </w:pPr>
    </w:p>
    <w:p>
      <w:pPr>
        <w:jc w:val="both"/>
        <w:ind w:left="460" w:right="459" w:firstLine="858"/>
        <w:spacing w:after="0" w:line="253" w:lineRule="auto"/>
        <w:tabs>
          <w:tab w:leader="none" w:pos="1835"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Common Stock shall have the exclusive right to vote for the election of directors of the Corporation (the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10"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791"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“Board of Directors”) or any authorized committee thereof; and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4" w:name="page485"/>
    <w:bookmarkEnd w:id="4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59" w:firstLine="858"/>
        <w:spacing w:after="0" w:line="282" w:lineRule="auto"/>
        <w:tabs>
          <w:tab w:leader="none" w:pos="1808"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Undesignated Preferred Stock</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 Action</w:t>
      </w:r>
    </w:p>
    <w:p>
      <w:pPr>
        <w:spacing w:after="0" w:line="162" w:lineRule="exact"/>
        <w:rPr>
          <w:sz w:val="20"/>
          <w:szCs w:val="20"/>
          <w:color w:val="auto"/>
        </w:rPr>
      </w:pPr>
    </w:p>
    <w:p>
      <w:pPr>
        <w:jc w:val="both"/>
        <w:ind w:left="460" w:right="459" w:firstLine="498"/>
        <w:spacing w:after="0" w:line="254" w:lineRule="auto"/>
        <w:tabs>
          <w:tab w:leader="none" w:pos="1369"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378"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62" w:lineRule="exact"/>
        <w:rPr>
          <w:sz w:val="20"/>
          <w:szCs w:val="20"/>
          <w:color w:val="auto"/>
        </w:rPr>
      </w:pPr>
    </w:p>
    <w:p>
      <w:pPr>
        <w:ind w:left="460" w:right="459" w:firstLine="426"/>
        <w:spacing w:after="0" w:line="282" w:lineRule="auto"/>
        <w:tabs>
          <w:tab w:leader="none" w:pos="1337"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herein or required by law</w:t>
      </w:r>
    </w:p>
    <w:p>
      <w:pPr>
        <w:spacing w:after="0" w:line="94"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351"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Election of Directors need not be by written ballot unless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provide.</w:t>
      </w:r>
    </w:p>
    <w:p>
      <w:pPr>
        <w:spacing w:after="0" w:line="80"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553"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Subject to the terms of the Registration and Rights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[names]; the initial Class II Directors of the Corporation shall be [names]; and the initial Class III Directors of the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5" w:name="page486"/>
    <w:bookmarkEnd w:id="4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Corporation shall be [Jim Tananbaum], [•] and [•].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Gemini Therapeutics, Inc., One Kendall Square, Building 300, Cambridge, MA.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99" w:lineRule="exact"/>
        <w:rPr>
          <w:sz w:val="20"/>
          <w:szCs w:val="20"/>
          <w:color w:val="auto"/>
        </w:rPr>
      </w:pPr>
    </w:p>
    <w:p>
      <w:pPr>
        <w:jc w:val="both"/>
        <w:ind w:left="460" w:right="459" w:firstLine="426"/>
        <w:spacing w:after="0" w:line="252" w:lineRule="auto"/>
        <w:tabs>
          <w:tab w:leader="none" w:pos="131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Subject to the rights, if any, of the holders of any series of Undesignated Preferred Stock to elect Directors and to fill vacancies in the Board of Directors relating thereto and subject to the terms of the Registration Rights Agreement and the Voting Agreement,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(except as otherwise provided in the Registration Rights Agreement and the Voting Agreement).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determine the class or classes to which the increased or decreased number of Directors shall be apportioned;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25"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472"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Undesignated Preferred Stock to elect Directors and to remove any Director whom the holders of any such series have the right to elect and subject to the terms of the Registration Rights Agreement and the Voting Agreement, any Director (including persons elected by Directors to fill vacancies in the Board of Directors) may be removed from office (i) only with cause and (ii) 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of Liability</w:t>
      </w:r>
    </w:p>
    <w:p>
      <w:pPr>
        <w:spacing w:after="0" w:line="162" w:lineRule="exact"/>
        <w:rPr>
          <w:sz w:val="20"/>
          <w:szCs w:val="20"/>
          <w:color w:val="auto"/>
        </w:rPr>
      </w:pPr>
    </w:p>
    <w:p>
      <w:pPr>
        <w:jc w:val="both"/>
        <w:ind w:left="460" w:right="479" w:firstLine="426"/>
        <w:spacing w:after="0" w:line="257" w:lineRule="auto"/>
        <w:tabs>
          <w:tab w:leader="none" w:pos="1351"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5" w:lineRule="auto"/>
        <w:tabs>
          <w:tab w:leader="none" w:pos="731"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(c) under Section 174 of the DGCL or (d) for any transaction from which the Director derived an improper personal benefit. If</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6" w:name="page487"/>
    <w:bookmarkEnd w:id="4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08" w:lineRule="exact"/>
        <w:rPr>
          <w:sz w:val="20"/>
          <w:szCs w:val="20"/>
          <w:color w:val="auto"/>
        </w:rPr>
      </w:pPr>
    </w:p>
    <w:p>
      <w:pPr>
        <w:jc w:val="both"/>
        <w:ind w:left="460" w:right="459" w:firstLine="426"/>
        <w:spacing w:after="0" w:line="258" w:lineRule="auto"/>
        <w:tabs>
          <w:tab w:leader="none" w:pos="1361"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297"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By-Laws</w:t>
      </w:r>
    </w:p>
    <w:p>
      <w:pPr>
        <w:spacing w:after="0" w:line="148" w:lineRule="exact"/>
        <w:rPr>
          <w:sz w:val="20"/>
          <w:szCs w:val="20"/>
          <w:color w:val="auto"/>
        </w:rPr>
      </w:pPr>
    </w:p>
    <w:p>
      <w:pPr>
        <w:jc w:val="both"/>
        <w:ind w:left="460" w:right="479" w:firstLine="426"/>
        <w:spacing w:after="0" w:line="266" w:lineRule="auto"/>
        <w:tabs>
          <w:tab w:leader="none" w:pos="1297"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31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Certificate of Incorporation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w:t>
      </w:r>
    </w:p>
    <w:p>
      <w:pPr>
        <w:spacing w:after="0" w:line="148" w:lineRule="exact"/>
        <w:rPr>
          <w:sz w:val="20"/>
          <w:szCs w:val="20"/>
          <w:color w:val="auto"/>
        </w:rPr>
      </w:pPr>
    </w:p>
    <w:p>
      <w:pPr>
        <w:ind w:left="1300" w:hanging="414"/>
        <w:spacing w:after="0"/>
        <w:tabs>
          <w:tab w:leader="none" w:pos="130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 Out of DGCL 203</w:t>
      </w:r>
      <w:r>
        <w:rPr>
          <w:rFonts w:ascii="Times New Roman" w:cs="Times New Roman" w:eastAsia="Times New Roman" w:hAnsi="Times New Roman"/>
          <w:sz w:val="18"/>
          <w:szCs w:val="18"/>
          <w:color w:val="auto"/>
        </w:rPr>
        <w:t>. The Corporation shall not be governed by Section 203 of the DGCL.</w:t>
      </w:r>
    </w:p>
    <w:p>
      <w:pPr>
        <w:spacing w:after="0" w:line="157"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31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Opportunity</w:t>
      </w:r>
      <w:r>
        <w:rPr>
          <w:rFonts w:ascii="Times New Roman" w:cs="Times New Roman" w:eastAsia="Times New Roman" w:hAnsi="Times New Roman"/>
          <w:sz w:val="18"/>
          <w:szCs w:val="18"/>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Text]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7" w:name="page488"/>
    <w:bookmarkEnd w:id="4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THIS AMENDED AND RESTATED CERTIFICATE OF INCORPORATION is executed as of this ____</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day of __________, 2020.</w:t>
      </w:r>
    </w:p>
    <w:p>
      <w:pPr>
        <w:spacing w:after="0" w:line="20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18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51435</wp:posOffset>
            </wp:positionV>
            <wp:extent cx="248602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Name: James Meyenburg</w:t>
      </w:r>
    </w:p>
    <w:p>
      <w:pPr>
        <w:spacing w:after="0" w:line="7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Closing Certificate of Incorporation]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8" w:name="page489"/>
    <w:bookmarkEnd w:id="4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1. Annual Meeting. The annual meeting of stockholders (any such meeting being referred to in these By-laws as an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shall be held at the hour, date and place within or without the United States which is fixed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340"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color w:val="auto"/>
        </w:rPr>
        <w:t>Notice of Stockholder Business and Nominations.</w:t>
      </w:r>
    </w:p>
    <w:p>
      <w:pPr>
        <w:spacing w:after="0" w:line="144" w:lineRule="exact"/>
        <w:rPr>
          <w:sz w:val="20"/>
          <w:szCs w:val="20"/>
          <w:color w:val="auto"/>
        </w:rPr>
      </w:pPr>
    </w:p>
    <w:p>
      <w:pPr>
        <w:ind w:left="1320" w:hanging="434"/>
        <w:spacing w:after="0"/>
        <w:tabs>
          <w:tab w:leader="none" w:pos="132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3" w:lineRule="auto"/>
        <w:tabs>
          <w:tab w:leader="none" w:pos="1314"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and such stockholder must comply with the notice and other procedures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477"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clause (ii)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2(a)(1)</w:t>
      </w:r>
      <w:r>
        <w:rPr>
          <w:rFonts w:ascii="Times New Roman" w:cs="Times New Roman" w:eastAsia="Times New Roman" w:hAnsi="Times New Roman"/>
          <w:sz w:val="18"/>
          <w:szCs w:val="18"/>
          <w:color w:val="auto"/>
        </w:rPr>
        <w:t xml:space="preserve"> of these By-laws, the stockholder must (i) have given Timely Notice (as defined below) thereof in writing to the Secretary of the Corporation, (ii) have provided any updates or supplements to such notice at the times and in the forms required by these By-laws and</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42" w:lineRule="auto"/>
        <w:tabs>
          <w:tab w:leader="none" w:pos="779"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nor earlier than the close of business on the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one-year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(such notice within such time periods shall be referred to as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Notwithstanding anything to the contrary provided herein, for the first Annual Meeting following the initial public offering of common stock of the Corporation, a stockholder’s notice shall be timely if received by the Secretary at the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9" w:name="page490"/>
    <w:bookmarkEnd w:id="4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1" w:lineRule="auto"/>
        <w:rPr>
          <w:sz w:val="20"/>
          <w:szCs w:val="20"/>
          <w:color w:val="auto"/>
        </w:rPr>
      </w:pPr>
      <w:r>
        <w:rPr>
          <w:rFonts w:ascii="Times New Roman" w:cs="Times New Roman" w:eastAsia="Times New Roman" w:hAnsi="Times New Roman"/>
          <w:sz w:val="18"/>
          <w:szCs w:val="18"/>
          <w:color w:val="auto"/>
        </w:rPr>
        <w:t>principal executive offices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Annual Meeting is first made or sent by the Corporation. Such stockholder’s Timely Notice shall set forth:</w:t>
      </w:r>
    </w:p>
    <w:p>
      <w:pPr>
        <w:spacing w:after="0" w:line="123" w:lineRule="exact"/>
        <w:rPr>
          <w:sz w:val="20"/>
          <w:szCs w:val="20"/>
          <w:color w:val="auto"/>
        </w:rPr>
      </w:pPr>
    </w:p>
    <w:p>
      <w:pPr>
        <w:jc w:val="both"/>
        <w:ind w:left="1760" w:right="459" w:firstLine="422"/>
        <w:spacing w:after="0" w:line="252" w:lineRule="auto"/>
        <w:tabs>
          <w:tab w:leader="none" w:pos="2893"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20" w:lineRule="exact"/>
        <w:rPr>
          <w:rFonts w:ascii="Times New Roman" w:cs="Times New Roman" w:eastAsia="Times New Roman" w:hAnsi="Times New Roman"/>
          <w:sz w:val="18"/>
          <w:szCs w:val="18"/>
          <w:color w:val="auto"/>
        </w:rPr>
      </w:pPr>
    </w:p>
    <w:p>
      <w:pPr>
        <w:jc w:val="both"/>
        <w:ind w:left="1760" w:right="459" w:firstLine="422"/>
        <w:spacing w:after="0" w:line="258" w:lineRule="auto"/>
        <w:tabs>
          <w:tab w:leader="none" w:pos="3002"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102" w:lineRule="exact"/>
        <w:rPr>
          <w:rFonts w:ascii="Times New Roman" w:cs="Times New Roman" w:eastAsia="Times New Roman" w:hAnsi="Times New Roman"/>
          <w:sz w:val="18"/>
          <w:szCs w:val="18"/>
          <w:color w:val="auto"/>
        </w:rPr>
      </w:pPr>
    </w:p>
    <w:p>
      <w:pPr>
        <w:jc w:val="both"/>
        <w:ind w:left="1760" w:right="459" w:firstLine="422"/>
        <w:spacing w:after="0" w:line="251" w:lineRule="auto"/>
        <w:tabs>
          <w:tab w:leader="none" w:pos="2816"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0" w:name="page491"/>
    <w:bookmarkEnd w:id="4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clauses (a) through (e) are referred to, collectively, as “</w:t>
      </w:r>
      <w:r>
        <w:rPr>
          <w:rFonts w:ascii="Times New Roman" w:cs="Times New Roman" w:eastAsia="Times New Roman" w:hAnsi="Times New Roman"/>
          <w:sz w:val="18"/>
          <w:szCs w:val="18"/>
          <w:u w:val="single" w:color="auto"/>
          <w:color w:val="auto"/>
        </w:rPr>
        <w:t>Material Ownership Interests</w:t>
      </w:r>
      <w:r>
        <w:rPr>
          <w:rFonts w:ascii="Times New Roman" w:cs="Times New Roman" w:eastAsia="Times New Roman" w:hAnsi="Times New Roman"/>
          <w:sz w:val="18"/>
          <w:szCs w:val="18"/>
          <w:color w:val="auto"/>
        </w:rPr>
        <w:t>”) and</w:t>
      </w:r>
    </w:p>
    <w:p>
      <w:pPr>
        <w:spacing w:after="0" w:line="27" w:lineRule="exact"/>
        <w:rPr>
          <w:sz w:val="20"/>
          <w:szCs w:val="20"/>
          <w:color w:val="auto"/>
        </w:rPr>
      </w:pPr>
    </w:p>
    <w:p>
      <w:pPr>
        <w:jc w:val="both"/>
        <w:ind w:left="1760" w:right="459" w:hanging="10"/>
        <w:spacing w:after="0" w:line="253" w:lineRule="auto"/>
        <w:tabs>
          <w:tab w:leader="none" w:pos="210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21" w:lineRule="exact"/>
        <w:rPr>
          <w:rFonts w:ascii="Times New Roman" w:cs="Times New Roman" w:eastAsia="Times New Roman" w:hAnsi="Times New Roman"/>
          <w:sz w:val="18"/>
          <w:szCs w:val="18"/>
          <w:color w:val="auto"/>
        </w:rPr>
      </w:pPr>
    </w:p>
    <w:p>
      <w:pPr>
        <w:jc w:val="both"/>
        <w:ind w:left="1760" w:right="459" w:firstLine="422"/>
        <w:spacing w:after="0" w:line="253" w:lineRule="auto"/>
        <w:tabs>
          <w:tab w:leader="none" w:pos="2988"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26" w:lineRule="exact"/>
        <w:rPr>
          <w:rFonts w:ascii="Times New Roman" w:cs="Times New Roman" w:eastAsia="Times New Roman" w:hAnsi="Times New Roman"/>
          <w:sz w:val="18"/>
          <w:szCs w:val="18"/>
          <w:color w:val="auto"/>
        </w:rPr>
      </w:pPr>
    </w:p>
    <w:p>
      <w:pPr>
        <w:jc w:val="both"/>
        <w:ind w:left="1760" w:right="459" w:firstLine="422"/>
        <w:spacing w:after="0" w:line="254" w:lineRule="auto"/>
        <w:tabs>
          <w:tab w:leader="none" w:pos="2895"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Times New Roman" w:cs="Times New Roman" w:eastAsia="Times New Roman" w:hAnsi="Times New Roman"/>
          <w:sz w:val="18"/>
          <w:szCs w:val="18"/>
          <w:u w:val="single" w:color="auto"/>
          <w:color w:val="auto"/>
        </w:rPr>
        <w:t>Solicitation Statement</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xml:space="preserve">”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Synthetic Equity Interest</w:t>
      </w:r>
      <w:r>
        <w:rPr>
          <w:rFonts w:ascii="Times New Roman" w:cs="Times New Roman" w:eastAsia="Times New Roman" w:hAnsi="Times New Roman"/>
          <w:sz w:val="18"/>
          <w:szCs w:val="18"/>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26" w:lineRule="exact"/>
        <w:rPr>
          <w:sz w:val="20"/>
          <w:szCs w:val="20"/>
          <w:color w:val="auto"/>
        </w:rPr>
      </w:pPr>
    </w:p>
    <w:p>
      <w:pPr>
        <w:jc w:val="both"/>
        <w:ind w:left="460" w:right="459" w:firstLine="426"/>
        <w:spacing w:after="0" w:line="247" w:lineRule="auto"/>
        <w:tabs>
          <w:tab w:leader="none" w:pos="1278"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after the record date for the Annual Meeting (in the case of the update and supplement required to be made as of the record date), and not later than the close of business on the eighth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prior to the date of the Annual Meeting (in the case of the update and supplement required to be made as of ten (10) business days prior to the meeting).</w:t>
      </w:r>
    </w:p>
    <w:p>
      <w:pPr>
        <w:spacing w:after="0" w:line="130"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287"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a stockholder’s notice required by these By-laws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1" w:name="page492"/>
    <w:bookmarkEnd w:id="4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8" w:lineRule="auto"/>
        <w:rPr>
          <w:sz w:val="20"/>
          <w:szCs w:val="20"/>
          <w:color w:val="auto"/>
        </w:rPr>
      </w:pPr>
      <w:r>
        <w:rPr>
          <w:rFonts w:ascii="Times New Roman" w:cs="Times New Roman" w:eastAsia="Times New Roman" w:hAnsi="Times New Roman"/>
          <w:sz w:val="18"/>
          <w:szCs w:val="18"/>
          <w:color w:val="auto"/>
        </w:rPr>
        <w:t>shall also be considered timely, but only with respect to nominees for any new positions created by such increase, if it shall be received by the Secretary of the Corporation not later than the close of business on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such public announcement is first made by the Corporation.</w:t>
      </w:r>
    </w:p>
    <w:p>
      <w:pPr>
        <w:spacing w:after="0" w:line="51" w:lineRule="exact"/>
        <w:rPr>
          <w:sz w:val="20"/>
          <w:szCs w:val="20"/>
          <w:color w:val="auto"/>
        </w:rPr>
      </w:pPr>
    </w:p>
    <w:p>
      <w:pPr>
        <w:ind w:left="1280" w:hanging="394"/>
        <w:spacing w:after="0"/>
        <w:tabs>
          <w:tab w:leader="none" w:pos="128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2" w:lineRule="auto"/>
        <w:tabs>
          <w:tab w:leader="none" w:pos="139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these By-laws, the Registration and Shareholder Rights Agreement, dated as of [•],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and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shall be eligible for election and to serve as directors and only such business shall be conducted at an Annual Meeting as shall have been brought before the meeting in accordance with the provisions of these By-laws, the Registration and Shareholder Rights Agreement, the Voting Agreement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the Registration and Shareholder Rights Agreement or the Voting Agreement. If neither the Board of Directors nor such designated committee makes a determination as to whether any stockholder proposal or nomination was made in accordance with the provisions of these By-laws, the Registration and Shareholder Rights Agreement or the Voting Agreement, the presiding officer of the Annual Meeting shall have the power and duty to determine whether the stockholder proposal or nomination was made in accordance with the provisions of these By-laws, the Registration and Shareholder Rights Agreement or the Voting Agreement. If the Board of Directors or a designated committee thereof or the presiding officer, as applicable, determines that any stockholder proposal or nomination was not made in accordance with the provisions of these By-laws, the Registration and Shareholder Rights Agreement or the Voting Agreement, such proposal or nomination shall be disregarded and shall not be presented for action at the Annual Meeting.</w:t>
      </w:r>
    </w:p>
    <w:p>
      <w:pPr>
        <w:spacing w:after="0" w:line="108" w:lineRule="exact"/>
        <w:rPr>
          <w:rFonts w:ascii="Times New Roman" w:cs="Times New Roman" w:eastAsia="Times New Roman" w:hAnsi="Times New Roman"/>
          <w:sz w:val="18"/>
          <w:szCs w:val="18"/>
          <w:color w:val="auto"/>
        </w:rPr>
      </w:pPr>
    </w:p>
    <w:p>
      <w:pPr>
        <w:jc w:val="both"/>
        <w:ind w:left="460" w:right="479" w:firstLine="426"/>
        <w:spacing w:after="0" w:line="258" w:lineRule="auto"/>
        <w:tabs>
          <w:tab w:leader="none" w:pos="1374"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the Registration and Shareholder Rights Agreement or the Voting Agreement, nothing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293"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432"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98"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298"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these By-laws, a stockholder shall also comply with all applicable requirements of the Exchange Act and the rules and regulations thereunder with respect to the</w:t>
      </w:r>
    </w:p>
    <w:p>
      <w:pPr>
        <w:jc w:val="center"/>
        <w:ind w:right="19"/>
        <w:spacing w:after="0"/>
        <w:rPr>
          <w:sz w:val="20"/>
          <w:szCs w:val="20"/>
          <w:color w:val="auto"/>
        </w:rPr>
      </w:pPr>
      <w:r>
        <w:rPr>
          <w:rFonts w:ascii="Times New Roman" w:cs="Times New Roman" w:eastAsia="Times New Roman" w:hAnsi="Times New Roman"/>
          <w:sz w:val="18"/>
          <w:szCs w:val="18"/>
          <w:color w:val="auto"/>
        </w:rPr>
        <w:t>matters set forth in these By-laws. Nothing in these By-laws shall be deemed to affect any rights of</w:t>
      </w:r>
    </w:p>
    <w:p>
      <w:pPr>
        <w:spacing w:after="0" w:line="9" w:lineRule="exact"/>
        <w:rPr>
          <w:sz w:val="20"/>
          <w:szCs w:val="20"/>
          <w:color w:val="auto"/>
        </w:rPr>
      </w:pPr>
    </w:p>
    <w:p>
      <w:pPr>
        <w:jc w:val="both"/>
        <w:ind w:left="460" w:right="479" w:hanging="6"/>
        <w:spacing w:after="0" w:line="253" w:lineRule="auto"/>
        <w:tabs>
          <w:tab w:leader="none" w:pos="679"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2" w:name="page493"/>
    <w:bookmarkEnd w:id="4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5" w:lineRule="auto"/>
        <w:tabs>
          <w:tab w:leader="none" w:pos="1413"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3. Special Meetings.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these By-laws, in which case such special meeting in lieu thereof shall be deemed an Annual Meeting for purposes of these By-laws and the provisions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these By-laws shall govern such special meeting.</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08"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color w:val="auto"/>
        </w:rPr>
        <w:t>Notice of Meetings; Adjournments.</w:t>
      </w:r>
    </w:p>
    <w:p>
      <w:pPr>
        <w:spacing w:after="0" w:line="158" w:lineRule="exact"/>
        <w:rPr>
          <w:sz w:val="20"/>
          <w:szCs w:val="20"/>
          <w:color w:val="auto"/>
        </w:rPr>
      </w:pPr>
    </w:p>
    <w:p>
      <w:pPr>
        <w:jc w:val="both"/>
        <w:ind w:left="460" w:right="459" w:firstLine="426"/>
        <w:spacing w:after="0" w:line="254" w:lineRule="auto"/>
        <w:tabs>
          <w:tab w:leader="none" w:pos="1362"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378"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342"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313"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or otherwise. In no event shall the public announcement of an adjournment, postponement or rescheduling of any previously scheduled meeting of stockholders commence a new time period for the giving of a stockholder’s notice under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3" w:name="page494"/>
    <w:bookmarkEnd w:id="4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2" w:lineRule="auto"/>
        <w:tabs>
          <w:tab w:leader="none" w:pos="1368"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these By-laws, is entitled to such notice.</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5. Quorum.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SECTION 6. Voting and Proxies.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7. Action at Meeting.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8. Stockholder Lists.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9. Presiding Officer.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4" w:name="page495"/>
    <w:bookmarkEnd w:id="4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The order of business and all other matters of procedure at any meeting of the stockholders shall be determined by the presiding officer.</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 10. Inspectors of Elections.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SECTION 1. Powers. The business and affairs of the Corporation shall be managed by or under the direction of the Board of Directors except as otherwise provided by the Certificate or required by law.</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2. Number and Terms. Subject to the terms of the Registration and Shareholder Rights Agreement and the Voting Agreement, the number of directors of the Corporation shall be fixed solely and exclusively by resolution duly adopted from time to time by the Board of Directors. The directors shall hold office in the manner provided in the Certificate.</w:t>
      </w:r>
    </w:p>
    <w:p>
      <w:pPr>
        <w:spacing w:after="0" w:line="112"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w:t>
        <w:tab/>
        <w:t>Qualification. No director need be a stockholder of the Corporation.</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4. Vacancies. Vacancies in the Board of Directors shall be filled in the manner provided in the Certificate, the Registration and Shareholder Rights Agreement and the Voting Agreement.</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5. Removal. Directors may be removed from office only in the manner provided in the Certificate, the Registration and Shareholder Rights Agreement and the Voting Agreement.</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SECTION 6. Resignation.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7. Regular Meetings. Regular and annual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8. Special Meetings.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SECTION 9. Notice of Meetings.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5" w:name="page496"/>
    <w:bookmarkEnd w:id="4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10. Quorum.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SECTION 11. Action at Meeting. At any meeting of the Board of Directors at which a quorum is present, the vote of a majority of the directors present shall constitute action by the Board of Directors, unless otherwise required by law, by the Certificate or by these By-laws.</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12. Action by Consent.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13. Manner of Participation.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SECTION 14. Presiding Director.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 15. Committees. Subject to the terms of the Registration and Shareholder Rights Agreement and the Voting Agreement,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16. Compensation of Directors.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6" w:name="page497"/>
    <w:bookmarkEnd w:id="4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1. Enumeration.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2. Election.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3. Qualification. No officer need be a stockholder or a director. Any person may occupy more than one office of the Corporation at any time.</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4. Tenure.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SECTION 5. Resignation.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SECTION 6. Removal. Except as otherwise provided by law or by resolution of the Board of Directors, the Board of Directors may remove any officer with or without cause by the affirmative vote of a majority of the directors then in office.</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7. Absence or Disability. In the event of the absence or disability of any officer, the Board of Directors may designate another officer to act temporarily in place of such absent or disabled officer.</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8. Vacancies. Any vacancy in any office may be filled for the unexpired portion of the term by the Board of Directors.</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9. President. The President shall, subject to the direction of the Board of Directors, have such powers and shall perform such duties as the Board of Directors may from time to time designate.</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10. Chairman of the Board. The Chairman of the Board, if one is elected, shall have such powers and shall perform such duties as the Board of Directors may from time to time designate.</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SECTION 11. Chief Executive Officer. The Chief Executive Officer, if one is elected, shall have such powers and shall perform such duties as the Board of Directors may from time to time designate.</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12. Vice Presidents and Assistant Vice Presidents.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SECTION 13. Treasurer and Assistant Treasurers.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2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SECTION 14. Secretary and Assistant Secretaries.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7" w:name="page498"/>
    <w:bookmarkEnd w:id="4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15. Other Powers and Duties.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 Certificates of Stock.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w:t>
      </w:r>
      <w:r>
        <w:rPr>
          <w:rFonts w:ascii="Times New Roman" w:cs="Times New Roman" w:eastAsia="Times New Roman" w:hAnsi="Times New Roman"/>
          <w:sz w:val="18"/>
          <w:szCs w:val="18"/>
          <w:b w:val="1"/>
          <w:bCs w:val="1"/>
          <w:color w:val="auto"/>
        </w:rPr>
        <w:t>Notwithstanding anything to</w:t>
      </w:r>
      <w:r>
        <w:rPr>
          <w:rFonts w:ascii="Times New Roman" w:cs="Times New Roman" w:eastAsia="Times New Roman" w:hAnsi="Times New Roman"/>
          <w:sz w:val="18"/>
          <w:szCs w:val="18"/>
          <w:color w:val="auto"/>
        </w:rPr>
        <w:t xml:space="preserve">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2. Transfers.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3. Record Holders.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 4. Record Date.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8" w:name="page499"/>
    <w:bookmarkEnd w:id="49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SECTION 5. Replacement of Certificates. In case of the alleged loss, destruction or mutilation of a certificate of stock of the Corporation, a duplicate certificate may be issued in place thereof, upon such terms as the Board of Directors may prescribe.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62"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w:t>
        <w:tab/>
        <w:t>Definitions. For purposes of this Article:</w:t>
      </w:r>
    </w:p>
    <w:p>
      <w:pPr>
        <w:spacing w:after="0" w:line="144" w:lineRule="exact"/>
        <w:rPr>
          <w:sz w:val="20"/>
          <w:szCs w:val="20"/>
          <w:color w:val="auto"/>
        </w:rPr>
      </w:pPr>
    </w:p>
    <w:p>
      <w:pPr>
        <w:jc w:val="both"/>
        <w:ind w:left="460" w:right="459" w:firstLine="426"/>
        <w:spacing w:after="0" w:line="261" w:lineRule="auto"/>
        <w:tabs>
          <w:tab w:leader="none" w:pos="1344"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describes the status of a person who is serving or has served (i) as a Director of the Corporation, (ii) as an Officer of the Corporation, (iii) as a Non-Officer Employee of the Corporation, or</w:t>
      </w:r>
    </w:p>
    <w:p>
      <w:pPr>
        <w:jc w:val="both"/>
        <w:ind w:left="460" w:right="459" w:hanging="6"/>
        <w:spacing w:after="0" w:line="251" w:lineRule="auto"/>
        <w:tabs>
          <w:tab w:leader="none" w:pos="797"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25"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282"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person who serves or has served the Corporation as a director on the Board of Directors; including, for the avoidance of doubt, any person who has served as a director of FS Development Corp., a Delaware corporation;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753"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with respect to each Proceeding in respect of which indemnification is sought hereunder, a Director of the Corporation who is not and was not a party to such Proceeding;</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363"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reasonable, documented and out-of-pocket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2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519"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judgments, damages, liabilities, losses, penalties, excise taxes, fines and amounts paid in settlement;</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297"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Non-Officer Employee</w:t>
      </w:r>
      <w:r>
        <w:rPr>
          <w:rFonts w:ascii="Times New Roman" w:cs="Times New Roman" w:eastAsia="Times New Roman" w:hAnsi="Times New Roman"/>
          <w:sz w:val="18"/>
          <w:szCs w:val="18"/>
          <w:color w:val="auto"/>
        </w:rPr>
        <w:t>” means any person who serves or has served as an employee or agent of the Corporation, but who is not or was not a Director or Officer;</w:t>
      </w:r>
    </w:p>
    <w:p>
      <w:pPr>
        <w:spacing w:after="0" w:line="80"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457"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any person who serves or has served the Corporation as an officer of the Corporation appointed by the Board of Directors, including, for the avoidance of doubt, any person who has served as an officer of FS Development Corp., a Delaware corporation;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295"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9" w:name="page500"/>
    <w:bookmarkEnd w:id="49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5" w:lineRule="auto"/>
        <w:tabs>
          <w:tab w:leader="none" w:pos="1327"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21"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color w:val="auto"/>
        </w:rPr>
        <w:t>Indemnification of Directors and Officers.</w:t>
      </w:r>
    </w:p>
    <w:p>
      <w:pPr>
        <w:spacing w:after="0" w:line="158" w:lineRule="exact"/>
        <w:rPr>
          <w:sz w:val="20"/>
          <w:szCs w:val="20"/>
          <w:color w:val="auto"/>
        </w:rPr>
      </w:pPr>
    </w:p>
    <w:p>
      <w:pPr>
        <w:jc w:val="both"/>
        <w:ind w:left="460" w:right="479" w:firstLine="426"/>
        <w:spacing w:after="0" w:line="258" w:lineRule="auto"/>
        <w:tabs>
          <w:tab w:leader="none" w:pos="1364"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880" w:right="459" w:firstLine="438"/>
        <w:spacing w:after="0" w:line="254" w:lineRule="auto"/>
        <w:tabs>
          <w:tab w:leader="none" w:pos="1837"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20" w:lineRule="exact"/>
        <w:rPr>
          <w:rFonts w:ascii="Times New Roman" w:cs="Times New Roman" w:eastAsia="Times New Roman" w:hAnsi="Times New Roman"/>
          <w:sz w:val="18"/>
          <w:szCs w:val="18"/>
          <w:color w:val="auto"/>
        </w:rPr>
      </w:pPr>
    </w:p>
    <w:p>
      <w:pPr>
        <w:jc w:val="both"/>
        <w:ind w:left="880" w:right="459" w:firstLine="438"/>
        <w:spacing w:after="0" w:line="253" w:lineRule="auto"/>
        <w:tabs>
          <w:tab w:leader="none" w:pos="1796"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19" w:lineRule="exact"/>
        <w:rPr>
          <w:rFonts w:ascii="Times New Roman" w:cs="Times New Roman" w:eastAsia="Times New Roman" w:hAnsi="Times New Roman"/>
          <w:sz w:val="18"/>
          <w:szCs w:val="18"/>
          <w:color w:val="auto"/>
        </w:rPr>
      </w:pPr>
    </w:p>
    <w:p>
      <w:pPr>
        <w:jc w:val="both"/>
        <w:ind w:left="880" w:right="479" w:firstLine="438"/>
        <w:spacing w:after="0" w:line="266" w:lineRule="auto"/>
        <w:tabs>
          <w:tab w:leader="none" w:pos="1729"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xml:space="preserve">. The rights of indemnification provided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94" w:lineRule="exact"/>
        <w:rPr>
          <w:rFonts w:ascii="Times New Roman" w:cs="Times New Roman" w:eastAsia="Times New Roman" w:hAnsi="Times New Roman"/>
          <w:sz w:val="18"/>
          <w:szCs w:val="18"/>
          <w:color w:val="auto"/>
        </w:rPr>
      </w:pPr>
    </w:p>
    <w:p>
      <w:pPr>
        <w:jc w:val="both"/>
        <w:ind w:left="880" w:right="479" w:firstLine="438"/>
        <w:spacing w:after="0" w:line="256" w:lineRule="auto"/>
        <w:tabs>
          <w:tab w:leader="none" w:pos="1864"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3. Indemnification of Non-Officer Employees. 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exist as to a Non-Officer Employee after he or she has ceased to</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0" w:name="page501"/>
    <w:bookmarkEnd w:id="50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4. Determination. Unless ordered by a court, no indemnification shall be provided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27"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color w:val="auto"/>
        </w:rPr>
        <w:t>Advancement of Expenses to Directors Prior to Final Disposition.</w:t>
      </w:r>
    </w:p>
    <w:p>
      <w:pPr>
        <w:spacing w:after="0" w:line="144" w:lineRule="exact"/>
        <w:rPr>
          <w:sz w:val="20"/>
          <w:szCs w:val="20"/>
          <w:color w:val="auto"/>
        </w:rPr>
      </w:pPr>
    </w:p>
    <w:p>
      <w:pPr>
        <w:jc w:val="both"/>
        <w:ind w:left="460" w:right="459" w:firstLine="426"/>
        <w:spacing w:after="0" w:line="252" w:lineRule="auto"/>
        <w:tabs>
          <w:tab w:leader="none" w:pos="1347"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only if such Proceeding (including any parts of such Proceeding not initiated by such Director) was</w:t>
      </w:r>
    </w:p>
    <w:p>
      <w:pPr>
        <w:spacing w:after="0" w:line="9" w:lineRule="exact"/>
        <w:rPr>
          <w:sz w:val="20"/>
          <w:szCs w:val="20"/>
          <w:color w:val="auto"/>
        </w:rPr>
      </w:pPr>
    </w:p>
    <w:p>
      <w:pPr>
        <w:ind w:left="460" w:right="479" w:hanging="6"/>
        <w:spacing w:after="0" w:line="260" w:lineRule="auto"/>
        <w:tabs>
          <w:tab w:leader="none" w:pos="68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by the Board of Directors, or (ii) brought to enforce such Director’s rights to indemnification or advancement of Expenses under these By-laws.</w:t>
      </w:r>
    </w:p>
    <w:p>
      <w:pPr>
        <w:spacing w:after="0" w:line="113"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451"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26"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326"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95"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6. Advancement of Expenses to Officers and Non-Officer Employees Prior to Final Disposition.</w:t>
      </w:r>
    </w:p>
    <w:p>
      <w:pPr>
        <w:spacing w:after="0" w:line="94" w:lineRule="exact"/>
        <w:rPr>
          <w:sz w:val="20"/>
          <w:szCs w:val="20"/>
          <w:color w:val="auto"/>
        </w:rPr>
      </w:pPr>
    </w:p>
    <w:p>
      <w:pPr>
        <w:jc w:val="both"/>
        <w:ind w:left="460" w:right="459" w:firstLine="426"/>
        <w:spacing w:after="0" w:line="254" w:lineRule="auto"/>
        <w:tabs>
          <w:tab w:leader="none" w:pos="1435"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298"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1" w:name="page502"/>
    <w:bookmarkEnd w:id="50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w:t>
        <w:tab/>
        <w:t>Contractual Nature of Rights.</w:t>
      </w:r>
    </w:p>
    <w:p>
      <w:pPr>
        <w:spacing w:after="0" w:line="158" w:lineRule="exact"/>
        <w:rPr>
          <w:sz w:val="20"/>
          <w:szCs w:val="20"/>
          <w:color w:val="auto"/>
        </w:rPr>
      </w:pPr>
    </w:p>
    <w:p>
      <w:pPr>
        <w:jc w:val="both"/>
        <w:ind w:left="460" w:right="459" w:firstLine="426"/>
        <w:spacing w:after="0" w:line="252" w:lineRule="auto"/>
        <w:tabs>
          <w:tab w:leader="none" w:pos="133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deemed to be a contract between the Corporation and each Director and Officer entitled to the benefits hereof at any time while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in effect, in consideration of such person’s past or current and any future performance of services for the Corporation. Neither amendment, repeal or modification of any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nor the adoption of any provision of the Certificate of Incorporation inconsistent with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eliminate or reduce any right conferred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129"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342"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indemnification (following final disposition of such Proceeding) or advancement of Expenses hereunder by a Director or Officer is not paid in full by the Corporation within sixty (60) days after receipt by the Corporation of a written claim for indemnification or advancement of Expenses, such Director or Officer may at any time thereafter bring suit against the Corporation to recover the unpaid amount of the claim, and if successful in whole or in part, pursuant to the terms of an undertaking, such Director or Officer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indemnification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or advancement of Expenses shall be on the Corporation.</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35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8. Non-Exclusivity of Rights. The rights to indemnification and to advancement of Expenses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9. Insurance.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10. Other Indemnification. Subject to any other right which any Director, Officer or Non-Officer Employee may have or hereafter acquire under any statute, provision of the Certificate or these By-laws, agreement, vote of stockholders or Disinterested Directors or otherwise to the contrary, the Corporation’s obligation, if any, to indemnify or provide advancement of Expenses to any person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8"/>
          <w:szCs w:val="18"/>
          <w:u w:val="single" w:color="auto"/>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Indemnitor</w:t>
      </w:r>
      <w:r>
        <w:rPr>
          <w:rFonts w:ascii="Times New Roman" w:cs="Times New Roman" w:eastAsia="Times New Roman" w:hAnsi="Times New Roman"/>
          <w:sz w:val="18"/>
          <w:szCs w:val="18"/>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any indemnification or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2" w:name="page503"/>
    <w:bookmarkEnd w:id="5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SECTION 1. Fiscal Year. The fiscal year of the Corporation shall be determined by the Board of Directors.</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2. Seal. The Board of Directors shall have power to adopt and alter the seal of the Corporation.</w:t>
      </w:r>
    </w:p>
    <w:p>
      <w:pPr>
        <w:spacing w:after="0" w:line="35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3. Execution of Instruments.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may authorize.</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4. Voting of Securities.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5. Resident Agent. The Board of Directors may appoint a resident agent upon whom legal process may be served in any action or proceeding against the Corporation.</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6. Corporate Records.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SECTION 7. Certificate. All references in these By-laws to the Certificate shall be deemed to refer to the Amended and Restated Certificate of Incorporation of the Corporation, as amended and/or restated and in effect from time to time.</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8. Exclusive Jurisdiction.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apply to any claims arising under the Exchange Act or the Securities Act of 1933, as amended. In addition, unless the Corporation consents in writing to the selection of an alternative forum, the United States District Court for the District of Massachusetts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color w:val="auto"/>
        </w:rPr>
        <w:t>Amendment of By-laws.</w:t>
      </w:r>
    </w:p>
    <w:p>
      <w:pPr>
        <w:spacing w:after="0" w:line="144" w:lineRule="exact"/>
        <w:rPr>
          <w:sz w:val="20"/>
          <w:szCs w:val="20"/>
          <w:color w:val="auto"/>
        </w:rPr>
      </w:pPr>
    </w:p>
    <w:p>
      <w:pPr>
        <w:jc w:val="both"/>
        <w:ind w:left="460" w:right="459" w:firstLine="426"/>
        <w:spacing w:after="0" w:line="266" w:lineRule="auto"/>
        <w:tabs>
          <w:tab w:leader="none" w:pos="133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provided otherwise by law, any section or portion of these By-laws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79" w:firstLine="426"/>
        <w:spacing w:after="0" w:line="256" w:lineRule="auto"/>
        <w:tabs>
          <w:tab w:leader="none" w:pos="1322"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3" w:name="page504"/>
    <w:bookmarkEnd w:id="5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SECTION 10. Notices.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11. Waivers.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4" w:name="page505"/>
    <w:bookmarkEnd w:id="5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ind w:left="460" w:right="2599" w:firstLine="2140"/>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2020 STOCK OPTION AND INCENTIVE PLAN </w:t>
      </w: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name of the plan is the Gemini Therapeutics, Inc. 2020 Stock Option and Incentive Plan (the “Plan”). The purpose of the Plan is to encourage and enable the officers, employees, Non-Employee Directors and Consultants of Gemini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1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158"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performing the functions of the compensation committee and which is comprised of not less than two Non Employee Directors who are independent.</w:t>
      </w:r>
    </w:p>
    <w:p>
      <w:pPr>
        <w:spacing w:after="0" w:line="9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Incentive Stock Options, Non-Qualified Stock Options, Stock Appreciation Rights, Restricted Stock Units, Restricted Stock Awards, Unrestricted Stock Awards, Cash-Based Awards, and Dividend Equivalent Rights.</w:t>
      </w:r>
    </w:p>
    <w:p>
      <w:pPr>
        <w:spacing w:after="0" w:line="112"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Certificate” </w:t>
      </w:r>
      <w:r>
        <w:rPr>
          <w:rFonts w:ascii="Times New Roman" w:cs="Times New Roman" w:eastAsia="Times New Roman" w:hAnsi="Times New Roman"/>
          <w:sz w:val="18"/>
          <w:szCs w:val="18"/>
          <w:color w:val="auto"/>
        </w:rPr>
        <w:t>means a written or electronic document setting forth the terms and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an Award granted under the Plan. Each Award Certificate is subject to the terms and conditions of the Plan.</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“Cash-Based Award” </w:t>
      </w:r>
      <w:r>
        <w:rPr>
          <w:rFonts w:ascii="Times New Roman" w:cs="Times New Roman" w:eastAsia="Times New Roman" w:hAnsi="Times New Roman"/>
          <w:sz w:val="18"/>
          <w:szCs w:val="18"/>
          <w:color w:val="auto"/>
        </w:rPr>
        <w:t>means an Award entitling the recipient to receive a cash-denominated payment.</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of the transactions contemplated by that certain Merger Agreement, dated as of October 15, 2020, by and among the Company and the other parties thereto.</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any successor Code,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regulations and interpretations.</w:t>
      </w:r>
    </w:p>
    <w:p>
      <w:pPr>
        <w:spacing w:after="0" w:line="91"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as an independent contractor and who qualifies as a consultant or advisor under Instruction A.1.(a)(1) of Form S-8 under the Act.</w:t>
      </w:r>
    </w:p>
    <w:p>
      <w:pPr>
        <w:spacing w:after="0" w:line="10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 </w:t>
      </w:r>
      <w:r>
        <w:rPr>
          <w:rFonts w:ascii="Times New Roman" w:cs="Times New Roman" w:eastAsia="Times New Roman" w:hAnsi="Times New Roman"/>
          <w:sz w:val="18"/>
          <w:szCs w:val="18"/>
          <w:color w:val="auto"/>
        </w:rPr>
        <w:t>means an Award entitling the grantee to receive credits based on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that would have been paid on the shares of Stock specified in the Dividend Equivalent Right (or other award to which it relates) if such shares had been issued to and held by the grantee.</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19.</w:t>
      </w:r>
    </w:p>
    <w:p>
      <w:pPr>
        <w:spacing w:after="0" w:line="158"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7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the fair market value of the Stock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5" w:name="page506"/>
    <w:bookmarkEnd w:id="5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market quotations. If there are no market quotations for such date, the determination shall be made by reference to the last date preceding such date for which there are market quotations.</w:t>
      </w:r>
    </w:p>
    <w:p>
      <w:pPr>
        <w:spacing w:after="0" w:line="92"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Section 422 of the Code.</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Subsidiary.</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means the shares of Stock underlying a Restricted Stock Award that remain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risk of forfeiture or the Company’s right of repurchase.</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an Award of Restricted Shares subject to such restrictions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Administrator may determine at the time of grant.</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means an Award of stock units subject to such restrictions and conditions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may determine at the time of grant.</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means (i) the sale of all or substantially all of the assets of the Company on a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04"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91"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91"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an employee, director or Consultant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Affiliate (e.g., a Service Relationship shall be deemed to continue without interruption in the event an individual’s status changes from full-time employee to part-time employee or Consultant).</w:t>
      </w:r>
    </w:p>
    <w:p>
      <w:pPr>
        <w:spacing w:after="0" w:line="92"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$0.001 per share, of the Company, subject to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3.</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 Award entitling the recipient to receive shares of Stock (or cash,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1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a 50 percent interest, either directly or indirectly.</w:t>
      </w:r>
    </w:p>
    <w:p>
      <w:pPr>
        <w:spacing w:after="0" w:line="77"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of Section 424(d) of the Code) more than 10 percent of the combined voting power of all classes of stock of the Company or any parent or subsidiary corporation.</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of Stock free of any restrictions.</w:t>
      </w:r>
    </w:p>
    <w:p>
      <w:pPr>
        <w:spacing w:after="0" w:line="18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6" w:name="page507"/>
    <w:bookmarkEnd w:id="5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640" w:right="479" w:hanging="1187"/>
        <w:spacing w:after="0" w:line="282" w:lineRule="auto"/>
        <w:tabs>
          <w:tab w:leader="none" w:pos="16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u w:val="single" w:color="auto"/>
          <w:color w:val="auto"/>
        </w:rPr>
        <w:t>ADMINISTRATION OF PLAN; ADMINISTRATOR AUTHORITY TO SELECT GRANTEES AND DETERMINE AWARDS</w:t>
      </w:r>
    </w:p>
    <w:p>
      <w:pPr>
        <w:spacing w:after="0" w:line="94" w:lineRule="exact"/>
        <w:rPr>
          <w:sz w:val="20"/>
          <w:szCs w:val="20"/>
          <w:color w:val="auto"/>
        </w:rPr>
      </w:pPr>
    </w:p>
    <w:p>
      <w:pPr>
        <w:ind w:left="1260" w:hanging="374"/>
        <w:spacing w:after="0"/>
        <w:tabs>
          <w:tab w:leader="none" w:pos="126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157"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363"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80"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802"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12" w:lineRule="exact"/>
        <w:rPr>
          <w:rFonts w:ascii="Times New Roman" w:cs="Times New Roman" w:eastAsia="Times New Roman" w:hAnsi="Times New Roman"/>
          <w:sz w:val="18"/>
          <w:szCs w:val="18"/>
          <w:color w:val="auto"/>
        </w:rPr>
      </w:pPr>
    </w:p>
    <w:p>
      <w:pPr>
        <w:ind w:left="1760" w:hanging="442"/>
        <w:spacing w:after="0"/>
        <w:tabs>
          <w:tab w:leader="none" w:pos="176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821"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08"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5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85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to extend at any time the period in which Stock Options may be exercised; and</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856"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1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94" w:lineRule="exact"/>
        <w:rPr>
          <w:sz w:val="20"/>
          <w:szCs w:val="20"/>
          <w:color w:val="auto"/>
        </w:rPr>
      </w:pPr>
    </w:p>
    <w:p>
      <w:pPr>
        <w:jc w:val="both"/>
        <w:ind w:left="460" w:right="459" w:firstLine="426"/>
        <w:spacing w:after="0" w:line="253" w:lineRule="auto"/>
        <w:tabs>
          <w:tab w:leader="none" w:pos="142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13"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295"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Certificate</w:t>
      </w:r>
      <w:r>
        <w:rPr>
          <w:rFonts w:ascii="Times New Roman" w:cs="Times New Roman" w:eastAsia="Times New Roman" w:hAnsi="Times New Roman"/>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285"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24"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319"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7" w:name="page508"/>
    <w:bookmarkEnd w:id="5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2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STOCK ISSUABLE UNDER THE PLAN; MERGERS; SUBSTITUTION</w:t>
      </w:r>
    </w:p>
    <w:p>
      <w:pPr>
        <w:spacing w:after="0" w:line="158" w:lineRule="exact"/>
        <w:rPr>
          <w:sz w:val="20"/>
          <w:szCs w:val="20"/>
          <w:color w:val="auto"/>
        </w:rPr>
      </w:pPr>
    </w:p>
    <w:p>
      <w:pPr>
        <w:jc w:val="both"/>
        <w:ind w:left="460" w:right="459" w:firstLine="426"/>
        <w:spacing w:after="0" w:line="250" w:lineRule="auto"/>
        <w:tabs>
          <w:tab w:leader="none" w:pos="1298"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_____</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xml:space="preserve"> shares (the “Initial Limit”), subject to adjustment as provided in this Section 3, plus on January 1, 2022 and each January 1 thereafter, the number of shares of Stock reserved and available for issuance under the Plan shall be cumulatively increased by (i) four (4%)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18"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525"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w:t>
      </w:r>
    </w:p>
    <w:p>
      <w:pPr>
        <w:spacing w:after="0" w:line="5" w:lineRule="exact"/>
        <w:rPr>
          <w:rFonts w:ascii="Times New Roman" w:cs="Times New Roman" w:eastAsia="Times New Roman" w:hAnsi="Times New Roman"/>
          <w:sz w:val="18"/>
          <w:szCs w:val="18"/>
          <w:color w:val="auto"/>
        </w:rPr>
      </w:pPr>
    </w:p>
    <w:p>
      <w:pPr>
        <w:ind w:left="740" w:hanging="286"/>
        <w:spacing w:after="0"/>
        <w:tabs>
          <w:tab w:leader="none" w:pos="74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kind of shares or other securities subject to any then outstanding Awards under the Plan,</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80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3"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____________</w:t>
      </w:r>
    </w:p>
    <w:p>
      <w:pPr>
        <w:spacing w:after="0" w:line="99" w:lineRule="exact"/>
        <w:rPr>
          <w:sz w:val="20"/>
          <w:szCs w:val="20"/>
          <w:color w:val="auto"/>
        </w:rPr>
      </w:pPr>
    </w:p>
    <w:p>
      <w:pPr>
        <w:jc w:val="both"/>
        <w:ind w:left="880" w:right="459" w:hanging="426"/>
        <w:spacing w:after="0" w:line="257" w:lineRule="auto"/>
        <w:tabs>
          <w:tab w:leader="none" w:pos="1015" w:val="left"/>
        </w:tabs>
        <w:numPr>
          <w:ilvl w:val="0"/>
          <w:numId w:val="48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 xml:space="preserve">Size of initial share reserve to represent 9% of the fully-diluted pool </w:t>
      </w:r>
      <w:r>
        <w:rPr>
          <w:rFonts w:ascii="Times New Roman" w:cs="Times New Roman" w:eastAsia="Times New Roman" w:hAnsi="Times New Roman"/>
          <w:sz w:val="16"/>
          <w:szCs w:val="16"/>
          <w:u w:val="single" w:color="auto"/>
          <w:color w:val="auto"/>
        </w:rPr>
        <w:t>less</w:t>
      </w:r>
      <w:r>
        <w:rPr>
          <w:rFonts w:ascii="Times New Roman" w:cs="Times New Roman" w:eastAsia="Times New Roman" w:hAnsi="Times New Roman"/>
          <w:sz w:val="16"/>
          <w:szCs w:val="16"/>
          <w:color w:val="auto"/>
        </w:rPr>
        <w:t xml:space="preserve"> the number of shares subject to rollover under the Company’s 2015 Employee, Director and Consultant Stock Option Plan and the Company’s 2017 Stock Option and Grant Plan.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8" w:name="page509"/>
    <w:bookmarkEnd w:id="5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1" w:lineRule="auto"/>
        <w:tabs>
          <w:tab w:leader="none" w:pos="1271"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37" w:lineRule="exact"/>
        <w:rPr>
          <w:rFonts w:ascii="Times New Roman" w:cs="Times New Roman" w:eastAsia="Times New Roman" w:hAnsi="Times New Roman"/>
          <w:sz w:val="18"/>
          <w:szCs w:val="18"/>
          <w:color w:val="auto"/>
        </w:rPr>
      </w:pPr>
    </w:p>
    <w:p>
      <w:pPr>
        <w:jc w:val="both"/>
        <w:ind w:left="460" w:right="459" w:firstLine="426"/>
        <w:spacing w:after="0" w:line="273" w:lineRule="auto"/>
        <w:tabs>
          <w:tab w:leader="none" w:pos="1363" w:val="left"/>
        </w:tabs>
        <w:numPr>
          <w:ilvl w:val="0"/>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Awards to Non-Employee Directors</w:t>
      </w:r>
      <w:r>
        <w:rPr>
          <w:rFonts w:ascii="Times New Roman" w:cs="Times New Roman" w:eastAsia="Times New Roman" w:hAnsi="Times New Roman"/>
          <w:sz w:val="17"/>
          <w:szCs w:val="17"/>
          <w:color w:val="auto"/>
        </w:rPr>
        <w:t>. Notwithstanding anything to the contrary in this Plan, the value of all Awards awarded under this Plan and all other cash compensation paid by the Company to any Non-Employee Director in any calendar year for service as a Non-Employee Director shall not exceed $_____, provided, however that such amount shall be $_____ for the calendar year in which the applicable Non-Employee Director is initially elected or appointed to the Board. For the purpose of this limitation, the value of any Award shall be its grant date fair value, as determined in accordance with FASB ASC 718 or successor provision but excluding the impact of estimated forfeitures related to service-based vesting provisions.</w:t>
      </w:r>
    </w:p>
    <w:p>
      <w:pPr>
        <w:spacing w:after="0" w:line="10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ELIGIBILITY</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and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21"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STOCK OPTIONS</w:t>
      </w:r>
    </w:p>
    <w:p>
      <w:pPr>
        <w:spacing w:after="0" w:line="158" w:lineRule="exact"/>
        <w:rPr>
          <w:sz w:val="20"/>
          <w:szCs w:val="20"/>
          <w:color w:val="auto"/>
        </w:rPr>
      </w:pPr>
    </w:p>
    <w:p>
      <w:pPr>
        <w:ind w:left="460" w:right="479" w:firstLine="426"/>
        <w:spacing w:after="0" w:line="282" w:lineRule="auto"/>
        <w:tabs>
          <w:tab w:leader="none" w:pos="1339"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16" w:lineRule="exact"/>
        <w:rPr>
          <w:sz w:val="20"/>
          <w:szCs w:val="20"/>
          <w:color w:val="auto"/>
        </w:rPr>
      </w:pPr>
    </w:p>
    <w:p>
      <w:pPr>
        <w:jc w:val="both"/>
        <w:ind w:left="460" w:right="479" w:firstLine="426"/>
        <w:spacing w:after="0" w:line="261" w:lineRule="auto"/>
        <w:tabs>
          <w:tab w:leader="none" w:pos="1403"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9" w:name="page510"/>
    <w:bookmarkEnd w:id="5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16" w:lineRule="exact"/>
        <w:rPr>
          <w:sz w:val="20"/>
          <w:szCs w:val="20"/>
          <w:color w:val="auto"/>
        </w:rPr>
      </w:pPr>
    </w:p>
    <w:p>
      <w:pPr>
        <w:jc w:val="both"/>
        <w:ind w:left="460" w:right="459" w:firstLine="426"/>
        <w:spacing w:after="0" w:line="261" w:lineRule="auto"/>
        <w:tabs>
          <w:tab w:leader="none" w:pos="1366"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376"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379"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12"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876"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796"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88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12"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09" w:lineRule="exact"/>
        <w:rPr>
          <w:sz w:val="20"/>
          <w:szCs w:val="20"/>
          <w:color w:val="auto"/>
        </w:rPr>
      </w:pPr>
    </w:p>
    <w:p>
      <w:pPr>
        <w:jc w:val="both"/>
        <w:ind w:left="460" w:right="479" w:firstLine="426"/>
        <w:spacing w:after="0" w:line="256" w:lineRule="auto"/>
        <w:tabs>
          <w:tab w:leader="none" w:pos="1387"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0" w:name="page511"/>
    <w:bookmarkEnd w:id="5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STOCK APPRECIATION RIGHTS</w:t>
      </w:r>
    </w:p>
    <w:p>
      <w:pPr>
        <w:spacing w:after="0" w:line="158" w:lineRule="exact"/>
        <w:rPr>
          <w:sz w:val="20"/>
          <w:szCs w:val="20"/>
          <w:color w:val="auto"/>
        </w:rPr>
      </w:pPr>
    </w:p>
    <w:p>
      <w:pPr>
        <w:jc w:val="both"/>
        <w:ind w:left="460" w:right="459" w:firstLine="426"/>
        <w:spacing w:after="0" w:line="256" w:lineRule="auto"/>
        <w:tabs>
          <w:tab w:leader="none" w:pos="1285"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19"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295"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w:t>
      </w:r>
    </w:p>
    <w:p>
      <w:pPr>
        <w:spacing w:after="0" w:line="80"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285"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322"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12"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RESTRICTED STOCK AWARDS</w:t>
      </w:r>
    </w:p>
    <w:p>
      <w:pPr>
        <w:spacing w:after="0" w:line="144" w:lineRule="exact"/>
        <w:rPr>
          <w:sz w:val="20"/>
          <w:szCs w:val="20"/>
          <w:color w:val="auto"/>
        </w:rPr>
      </w:pPr>
    </w:p>
    <w:p>
      <w:pPr>
        <w:jc w:val="both"/>
        <w:ind w:left="460" w:right="459" w:firstLine="426"/>
        <w:spacing w:after="0" w:line="261" w:lineRule="auto"/>
        <w:tabs>
          <w:tab w:leader="none" w:pos="1271"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68" w:lineRule="auto"/>
        <w:tabs>
          <w:tab w:leader="none" w:pos="1430" w:val="left"/>
        </w:tabs>
        <w:numPr>
          <w:ilvl w:val="1"/>
          <w:numId w:val="4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w:t>
      </w:r>
    </w:p>
    <w:p>
      <w:pPr>
        <w:spacing w:after="0" w:line="4" w:lineRule="exact"/>
        <w:rPr>
          <w:rFonts w:ascii="Times New Roman" w:cs="Times New Roman" w:eastAsia="Times New Roman" w:hAnsi="Times New Roman"/>
          <w:sz w:val="17"/>
          <w:szCs w:val="17"/>
          <w:color w:val="auto"/>
        </w:rPr>
      </w:pPr>
    </w:p>
    <w:p>
      <w:pPr>
        <w:jc w:val="both"/>
        <w:ind w:left="460" w:right="459" w:hanging="6"/>
        <w:spacing w:after="0" w:line="252" w:lineRule="auto"/>
        <w:tabs>
          <w:tab w:leader="none" w:pos="691"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460"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322"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1" w:name="page512"/>
    <w:bookmarkEnd w:id="5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u w:val="single" w:color="auto"/>
          <w:color w:val="auto"/>
        </w:rPr>
        <w:t>RESTRICTED STOCK UNITS</w:t>
      </w:r>
    </w:p>
    <w:p>
      <w:pPr>
        <w:spacing w:after="0" w:line="158" w:lineRule="exact"/>
        <w:rPr>
          <w:sz w:val="20"/>
          <w:szCs w:val="20"/>
          <w:color w:val="auto"/>
        </w:rPr>
      </w:pPr>
    </w:p>
    <w:p>
      <w:pPr>
        <w:jc w:val="both"/>
        <w:ind w:left="460" w:right="459" w:firstLine="426"/>
        <w:spacing w:after="0" w:line="253" w:lineRule="auto"/>
        <w:tabs>
          <w:tab w:leader="none" w:pos="1352"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24"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309"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298"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43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UNRESTRICTED STOCK AWARDS</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CASH-BASED AWARDS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DIVIDEND EQUIVALENT RIGHTS</w:t>
      </w:r>
    </w:p>
    <w:p>
      <w:pPr>
        <w:spacing w:after="0" w:line="158" w:lineRule="exact"/>
        <w:rPr>
          <w:sz w:val="20"/>
          <w:szCs w:val="20"/>
          <w:color w:val="auto"/>
        </w:rPr>
      </w:pPr>
    </w:p>
    <w:p>
      <w:pPr>
        <w:jc w:val="both"/>
        <w:ind w:left="460" w:right="459" w:firstLine="426"/>
        <w:spacing w:after="0" w:line="258" w:lineRule="auto"/>
        <w:tabs>
          <w:tab w:leader="none" w:pos="1352"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2" w:name="page513"/>
    <w:bookmarkEnd w:id="5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24" w:lineRule="exact"/>
        <w:rPr>
          <w:sz w:val="20"/>
          <w:szCs w:val="20"/>
          <w:color w:val="auto"/>
        </w:rPr>
      </w:pPr>
    </w:p>
    <w:p>
      <w:pPr>
        <w:jc w:val="both"/>
        <w:ind w:left="460" w:right="459" w:firstLine="426"/>
        <w:spacing w:after="0" w:line="261" w:lineRule="auto"/>
        <w:tabs>
          <w:tab w:leader="none" w:pos="143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TRANSFERABILITY OF AWARDS</w:t>
      </w:r>
    </w:p>
    <w:p>
      <w:pPr>
        <w:spacing w:after="0" w:line="144" w:lineRule="exact"/>
        <w:rPr>
          <w:sz w:val="20"/>
          <w:szCs w:val="20"/>
          <w:color w:val="auto"/>
        </w:rPr>
      </w:pPr>
    </w:p>
    <w:p>
      <w:pPr>
        <w:jc w:val="both"/>
        <w:ind w:left="460" w:right="459" w:firstLine="426"/>
        <w:spacing w:after="0" w:line="256" w:lineRule="auto"/>
        <w:tabs>
          <w:tab w:leader="none" w:pos="1339"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417"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366"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376"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TAX WITHHOLDING</w:t>
      </w:r>
    </w:p>
    <w:p>
      <w:pPr>
        <w:spacing w:after="0" w:line="158" w:lineRule="exact"/>
        <w:rPr>
          <w:sz w:val="20"/>
          <w:szCs w:val="20"/>
          <w:color w:val="auto"/>
        </w:rPr>
      </w:pPr>
    </w:p>
    <w:p>
      <w:pPr>
        <w:jc w:val="both"/>
        <w:ind w:left="460" w:right="459" w:firstLine="426"/>
        <w:spacing w:after="0" w:line="254" w:lineRule="auto"/>
        <w:tabs>
          <w:tab w:leader="none" w:pos="1285"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3" w:name="page514"/>
    <w:bookmarkEnd w:id="5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3" w:lineRule="auto"/>
        <w:tabs>
          <w:tab w:leader="none" w:pos="1322"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SECTION 409A AWARDS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158" w:lineRule="exact"/>
        <w:rPr>
          <w:sz w:val="20"/>
          <w:szCs w:val="20"/>
          <w:color w:val="auto"/>
        </w:rPr>
      </w:pPr>
    </w:p>
    <w:p>
      <w:pPr>
        <w:jc w:val="both"/>
        <w:ind w:left="460" w:right="459" w:firstLine="426"/>
        <w:spacing w:after="0" w:line="266" w:lineRule="auto"/>
        <w:tabs>
          <w:tab w:leader="none" w:pos="1325"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08"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395"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744" w:val="left"/>
        </w:tabs>
        <w:numPr>
          <w:ilvl w:val="1"/>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an Affiliate or from the Company to an Affiliate, or from one Affiliate to another; or</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862" w:val="left"/>
        </w:tabs>
        <w:numPr>
          <w:ilvl w:val="1"/>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AMENDMENTS AND TERMINATION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4" w:name="page515"/>
    <w:bookmarkEnd w:id="5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STATUS OF PLAN</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GENERAL PROVISIONS</w:t>
      </w:r>
    </w:p>
    <w:p>
      <w:pPr>
        <w:spacing w:after="0" w:line="144" w:lineRule="exact"/>
        <w:rPr>
          <w:sz w:val="20"/>
          <w:szCs w:val="20"/>
          <w:color w:val="auto"/>
        </w:rPr>
      </w:pPr>
    </w:p>
    <w:p>
      <w:pPr>
        <w:jc w:val="both"/>
        <w:ind w:left="460" w:right="479" w:firstLine="426"/>
        <w:spacing w:after="0" w:line="266" w:lineRule="auto"/>
        <w:tabs>
          <w:tab w:leader="none" w:pos="1298"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33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38"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325"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9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33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15"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271"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30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5" w:name="page516"/>
    <w:bookmarkEnd w:id="5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EFFECTIVE DATE OF PLAN</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GOVERNING LAW</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BOARD OF DIRECTORS: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STOCKHOLDERS: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6" w:name="page517"/>
    <w:bookmarkEnd w:id="5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between FS Development Corp., a Delaware corporation (“</w:t>
      </w:r>
      <w:r>
        <w:rPr>
          <w:rFonts w:ascii="Times New Roman" w:cs="Times New Roman" w:eastAsia="Times New Roman" w:hAnsi="Times New Roman"/>
          <w:sz w:val="18"/>
          <w:szCs w:val="18"/>
          <w:u w:val="single" w:color="auto"/>
          <w:color w:val="auto"/>
        </w:rPr>
        <w:t>FSD</w:t>
      </w:r>
      <w:r>
        <w:rPr>
          <w:rFonts w:ascii="Times New Roman" w:cs="Times New Roman" w:eastAsia="Times New Roman" w:hAnsi="Times New Roman"/>
          <w:sz w:val="18"/>
          <w:szCs w:val="18"/>
          <w:color w:val="auto"/>
        </w:rPr>
        <w:t>”), and Gemini Therapeutics, Inc., a Delaware corporation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pursuant to a merger agreement to be entered into among FSD, Target, and the other parties thereto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FSD is seeking commitments from interested investors to purchase shares of Class A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FSD,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The aggregate purchase price to be paid by the undersigned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On or about the date of this Subscription Agreement, FSD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this Subscription Agreement,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108" w:lineRule="exact"/>
        <w:rPr>
          <w:sz w:val="20"/>
          <w:szCs w:val="20"/>
          <w:color w:val="auto"/>
        </w:rPr>
      </w:pPr>
    </w:p>
    <w:p>
      <w:pPr>
        <w:jc w:val="both"/>
        <w:ind w:left="460" w:right="459" w:firstLine="426"/>
        <w:spacing w:after="0" w:line="266" w:lineRule="auto"/>
        <w:tabs>
          <w:tab w:leader="none" w:pos="122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207"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of the Shares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and (ii) delivery of written notice from (or on behalf of) FSD to the Investor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7" w:name="page518"/>
    <w:bookmarkEnd w:id="5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200" w:hanging="314"/>
        <w:spacing w:after="0"/>
        <w:tabs>
          <w:tab w:leader="none" w:pos="1200"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31"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parties hereto to consummate the purchase and sale of the Shares pursuant to this Subscription Agreement is subject to the following conditions:</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61" w:lineRule="auto"/>
        <w:tabs>
          <w:tab w:leader="none" w:pos="2147" w:val="left"/>
        </w:tabs>
        <w:numPr>
          <w:ilvl w:val="2"/>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w:t>
      </w:r>
    </w:p>
    <w:p>
      <w:pPr>
        <w:spacing w:after="0" w:line="98"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172" w:val="left"/>
        </w:tabs>
        <w:numPr>
          <w:ilvl w:val="2"/>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108" w:lineRule="exact"/>
        <w:rPr>
          <w:rFonts w:ascii="Times New Roman" w:cs="Times New Roman" w:eastAsia="Times New Roman" w:hAnsi="Times New Roman"/>
          <w:sz w:val="18"/>
          <w:szCs w:val="18"/>
          <w:color w:val="auto"/>
        </w:rPr>
      </w:pPr>
    </w:p>
    <w:p>
      <w:pPr>
        <w:jc w:val="both"/>
        <w:ind w:left="460" w:right="459" w:firstLine="1290"/>
        <w:spacing w:after="0" w:line="266" w:lineRule="auto"/>
        <w:tabs>
          <w:tab w:leader="none" w:pos="2257" w:val="left"/>
        </w:tabs>
        <w:numPr>
          <w:ilvl w:val="2"/>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108" w:lineRule="exact"/>
        <w:rPr>
          <w:rFonts w:ascii="Times New Roman" w:cs="Times New Roman" w:eastAsia="Times New Roman" w:hAnsi="Times New Roman"/>
          <w:sz w:val="18"/>
          <w:szCs w:val="18"/>
          <w:color w:val="auto"/>
        </w:rPr>
      </w:pPr>
    </w:p>
    <w:p>
      <w:pPr>
        <w:ind w:left="2060" w:hanging="310"/>
        <w:spacing w:after="0"/>
        <w:tabs>
          <w:tab w:leader="none" w:pos="2060" w:val="left"/>
        </w:tabs>
        <w:numPr>
          <w:ilvl w:val="2"/>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approved for listing on the Nasdaq Capital Market.</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35"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121"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749"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Investor to consummate the purchase of the Shares pursuant to this Subscription Agreement shall be subject to the following conditions:</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56" w:lineRule="auto"/>
        <w:tabs>
          <w:tab w:leader="none" w:pos="2117" w:val="left"/>
        </w:tabs>
        <w:numPr>
          <w:ilvl w:val="2"/>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106" w:lineRule="exact"/>
        <w:rPr>
          <w:rFonts w:ascii="Times New Roman" w:cs="Times New Roman" w:eastAsia="Times New Roman" w:hAnsi="Times New Roman"/>
          <w:sz w:val="18"/>
          <w:szCs w:val="18"/>
          <w:color w:val="auto"/>
        </w:rPr>
      </w:pPr>
    </w:p>
    <w:p>
      <w:pPr>
        <w:jc w:val="both"/>
        <w:ind w:left="460" w:right="459" w:firstLine="1290"/>
        <w:spacing w:after="0" w:line="266" w:lineRule="auto"/>
        <w:tabs>
          <w:tab w:leader="none" w:pos="2291" w:val="left"/>
        </w:tabs>
        <w:numPr>
          <w:ilvl w:val="2"/>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108" w:lineRule="exact"/>
        <w:rPr>
          <w:rFonts w:ascii="Times New Roman" w:cs="Times New Roman" w:eastAsia="Times New Roman" w:hAnsi="Times New Roman"/>
          <w:sz w:val="18"/>
          <w:szCs w:val="18"/>
          <w:color w:val="auto"/>
        </w:rPr>
      </w:pPr>
    </w:p>
    <w:p>
      <w:pPr>
        <w:jc w:val="both"/>
        <w:ind w:left="460" w:right="459" w:firstLine="1290"/>
        <w:spacing w:after="0" w:line="266" w:lineRule="auto"/>
        <w:tabs>
          <w:tab w:leader="none" w:pos="2242" w:val="left"/>
        </w:tabs>
        <w:numPr>
          <w:ilvl w:val="2"/>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108"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229" w:val="left"/>
        </w:tabs>
        <w:numPr>
          <w:ilvl w:val="2"/>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328"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08"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288"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FSD Representations and Warranties</w:t>
      </w:r>
      <w:r>
        <w:rPr>
          <w:rFonts w:ascii="Times New Roman" w:cs="Times New Roman" w:eastAsia="Times New Roman" w:hAnsi="Times New Roman"/>
          <w:sz w:val="18"/>
          <w:szCs w:val="18"/>
          <w:color w:val="auto"/>
        </w:rPr>
        <w:t>. FSD represents and warrants to the Investor, as of the date hereof and as of the Closing Date that:</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91"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8" w:name="page519"/>
    <w:bookmarkEnd w:id="5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8" w:lineRule="auto"/>
        <w:tabs>
          <w:tab w:leader="none" w:pos="1678"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693"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5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 (B) the validity of the Shares; or (C) the legal authority of FSD to comply in all material respects with the terms of this Subscription Agreement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39"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made all filings required to be filed by it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As of their respective dates, all reports, the Registration Statement of FSD filed on Form S-1 dated July 24, 2020 (as amended), and the prospectus of FSD dated August 11, 2020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required to be filed or actually filed by FSD with the SEC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127"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671"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55"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9" w:name="page520"/>
    <w:bookmarkEnd w:id="5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stock exchange on which FSD’s Class A common stock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108" w:lineRule="exact"/>
        <w:rPr>
          <w:sz w:val="20"/>
          <w:szCs w:val="20"/>
          <w:color w:val="auto"/>
        </w:rPr>
      </w:pPr>
    </w:p>
    <w:p>
      <w:pPr>
        <w:jc w:val="both"/>
        <w:ind w:left="460" w:right="459" w:firstLine="858"/>
        <w:spacing w:after="0" w:line="252" w:lineRule="auto"/>
        <w:tabs>
          <w:tab w:leader="none" w:pos="1693"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FSD consists of 100,000,000 Shares of which 12,516,500 are outstanding, 10,000,000 shares of Class B common stock, par value $0.0001 per share of which 3,018,750 are issued 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128"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99"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102"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92"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Investor’s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821"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 (ii) judgment, decree, injunction, ruling or order of any governmental entity or arbitrator outstanding against FSD.</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70"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94"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710"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under any obligation to pay any broker’s fee or commission in connection with the sale of the Shares hereunder other than to the Placement Agents (as defined herein).</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52"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119" w:lineRule="exact"/>
        <w:rPr>
          <w:rFonts w:ascii="Times New Roman" w:cs="Times New Roman" w:eastAsia="Times New Roman" w:hAnsi="Times New Roman"/>
          <w:sz w:val="18"/>
          <w:szCs w:val="18"/>
          <w:color w:val="auto"/>
        </w:rPr>
      </w:pPr>
    </w:p>
    <w:p>
      <w:pPr>
        <w:ind w:left="1200" w:hanging="314"/>
        <w:spacing w:after="0"/>
        <w:tabs>
          <w:tab w:leader="none" w:pos="1200"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FSD that:</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88"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0" w:name="page521"/>
    <w:bookmarkEnd w:id="5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acknowledgements, representations and agreements herein on behalf of each owner of each such account, and</w:t>
      </w:r>
    </w:p>
    <w:p>
      <w:pPr>
        <w:spacing w:after="0" w:line="27" w:lineRule="exact"/>
        <w:rPr>
          <w:sz w:val="20"/>
          <w:szCs w:val="20"/>
          <w:color w:val="auto"/>
        </w:rPr>
      </w:pPr>
    </w:p>
    <w:p>
      <w:pPr>
        <w:jc w:val="both"/>
        <w:ind w:left="460" w:right="459" w:hanging="6"/>
        <w:spacing w:after="0" w:line="255" w:lineRule="auto"/>
        <w:tabs>
          <w:tab w:leader="none" w:pos="767"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not acquiring the Shares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11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96"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12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62"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9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38"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86"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99"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106"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765"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1" w:name="page522"/>
    <w:bookmarkEnd w:id="5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61" w:lineRule="auto"/>
        <w:tabs>
          <w:tab w:leader="none" w:pos="1683"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47"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119"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98"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no federal or state agency has passed upon or endorsed the merits of the offering of the Shares or made any findings or determination as to the fairness of this investment.</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2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9"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814"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113"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42"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disclosure or offering document has been prepared by either of the Placement Agents or any of their respective affiliates in connection with the offer and sale of the Shares.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801"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76"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issue and purchase of the Shares, the Placement Agents have not acted as the Investor’s financial advisor or fiduciary.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2" w:name="page523"/>
    <w:bookmarkEnd w:id="5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66" w:lineRule="auto"/>
        <w:tabs>
          <w:tab w:leader="none" w:pos="1675"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required to deliver payment to FSD pursuant to Section 2 above, the Investor will have sufficient funds to pay the Subscription Amount and consummate the purchase and sale of the Shares pursuant to this Subscription Agreement.</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10"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 Placement Agents are acting as FSD’s placement agents or financial advisors and certain of the Placement Agents are acting as financial advisor to Target in connection with the Transaction.</w:t>
      </w:r>
    </w:p>
    <w:p>
      <w:pPr>
        <w:spacing w:after="0" w:line="108" w:lineRule="exact"/>
        <w:rPr>
          <w:rFonts w:ascii="Times New Roman" w:cs="Times New Roman" w:eastAsia="Times New Roman" w:hAnsi="Times New Roman"/>
          <w:sz w:val="18"/>
          <w:szCs w:val="18"/>
          <w:color w:val="auto"/>
        </w:rPr>
      </w:pPr>
    </w:p>
    <w:p>
      <w:pPr>
        <w:ind w:left="1200" w:hanging="314"/>
        <w:spacing w:after="0"/>
        <w:tabs>
          <w:tab w:leader="none" w:pos="120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50" w:lineRule="auto"/>
        <w:tabs>
          <w:tab w:leader="none" w:pos="1725"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Shares are not registered in connection with the consummation of the Transaction, FSD agrees that, within thirty (30) calendar days after the consummation of the Transaction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it will file with the SEC (at the its sole cost and expense) a registration statement registering the resale of such Shares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it shall use its commercially reasonable efforts to have the Registration Statement declared effective as soon as practicable after the filing thereof, but no later than the earlier of (1) the 90th calendar day after the consummation of the Transaction (or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3" w:name="page524"/>
    <w:bookmarkEnd w:id="5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2" w:lineRule="auto"/>
        <w:tabs>
          <w:tab w:leader="none" w:pos="1683"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 (each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792"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3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46"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4" w:name="page525"/>
    <w:bookmarkEnd w:id="5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2" w:lineRule="auto"/>
        <w:tabs>
          <w:tab w:leader="none" w:pos="1683"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53"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52"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110" w:lineRule="exact"/>
        <w:rPr>
          <w:sz w:val="20"/>
          <w:szCs w:val="20"/>
          <w:color w:val="auto"/>
        </w:rPr>
      </w:pPr>
    </w:p>
    <w:p>
      <w:pPr>
        <w:jc w:val="both"/>
        <w:ind w:left="460" w:right="459" w:firstLine="858"/>
        <w:spacing w:after="0" w:line="253" w:lineRule="auto"/>
        <w:tabs>
          <w:tab w:leader="none" w:pos="1666"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relieve any party from liability for any willful breach hereof prior to the time of termination, and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5" w:name="page526"/>
    <w:bookmarkEnd w:id="5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108" w:lineRule="exact"/>
        <w:rPr>
          <w:sz w:val="20"/>
          <w:szCs w:val="20"/>
          <w:color w:val="auto"/>
        </w:rPr>
      </w:pPr>
    </w:p>
    <w:p>
      <w:pPr>
        <w:jc w:val="both"/>
        <w:ind w:left="460" w:right="459" w:firstLine="858"/>
        <w:spacing w:after="0" w:line="252" w:lineRule="auto"/>
        <w:tabs>
          <w:tab w:leader="none" w:pos="1733"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Investor hereby acknowledges that FSD has established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 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2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58"/>
        <w:spacing w:after="0" w:line="266" w:lineRule="auto"/>
        <w:tabs>
          <w:tab w:leader="none" w:pos="1676"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51"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84"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11"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112"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778"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agreements, representations and warranties made by each party hereto in this Subscription Agreement shall survive the Closing.</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84"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6" w:name="page527"/>
    <w:bookmarkEnd w:id="5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5" w:lineRule="auto"/>
        <w:tabs>
          <w:tab w:leader="none" w:pos="1678"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Times New Roman" w:cs="Times New Roman" w:eastAsia="Times New Roman" w:hAnsi="Times New Roman"/>
          <w:sz w:val="18"/>
          <w:szCs w:val="18"/>
          <w:u w:val="single" w:color="auto"/>
          <w:color w:val="auto"/>
        </w:rPr>
        <w:t>Sections 10(c)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10(d)</w:t>
      </w:r>
      <w:r>
        <w:rPr>
          <w:rFonts w:ascii="Times New Roman" w:cs="Times New Roman" w:eastAsia="Times New Roman" w:hAnsi="Times New Roman"/>
          <w:sz w:val="18"/>
          <w:szCs w:val="18"/>
          <w:color w:val="auto"/>
        </w:rPr>
        <w:t xml:space="preserve"> hereto, each Placement Agent shall be a third-party beneficiary to this Subscription Agreement and shall be entitled to the rights and benefits hereunder and may enforce the provisions hereof as if it were a party hereto.</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9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62"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31"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749"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489"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OF THIS SUBSCRIPTION AGREEMENT OR IN SUCH OTHER MANNER AS MAY BE PERMITTED BY LAW SHALL BE VALID AND SUFFICIENT SERVICE THEREOF.</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7" w:name="page528"/>
    <w:bookmarkEnd w:id="5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 xml:space="preserve">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8"/>
          <w:szCs w:val="18"/>
          <w:u w:val="single" w:color="auto"/>
          <w:color w:val="auto"/>
        </w:rPr>
        <w:t>SECTION 10(l)</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firstLine="858"/>
        <w:spacing w:after="0" w:line="252" w:lineRule="auto"/>
        <w:tabs>
          <w:tab w:leader="none" w:pos="1830" w:val="left"/>
        </w:tabs>
        <w:numPr>
          <w:ilvl w:val="2"/>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All communications sent to FSD shall be sent to: FS Development Corp., 600 Montgomery Street, Suite 4500, San Francisco, California 94111, Attn: Jim Tananbaum, email: jim@foresitecapital.com, with a copy to: White</w:t>
      </w:r>
    </w:p>
    <w:p>
      <w:pPr>
        <w:spacing w:after="0" w:line="3" w:lineRule="exact"/>
        <w:rPr>
          <w:rFonts w:ascii="Times New Roman" w:cs="Times New Roman" w:eastAsia="Times New Roman" w:hAnsi="Times New Roman"/>
          <w:sz w:val="18"/>
          <w:szCs w:val="18"/>
          <w:color w:val="auto"/>
        </w:rPr>
      </w:pPr>
    </w:p>
    <w:p>
      <w:pPr>
        <w:ind w:left="460" w:right="479" w:hanging="6"/>
        <w:spacing w:after="0" w:line="260" w:lineRule="auto"/>
        <w:tabs>
          <w:tab w:leader="none" w:pos="649"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LLP, 1221 Avenue of the Americas, New York, New York 10020, Attn: Joel L. Rubinstein, Esq., email: joel.rubinstein@whitecase.com.</w:t>
      </w:r>
    </w:p>
    <w:p>
      <w:pPr>
        <w:spacing w:after="0" w:line="113"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371"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114"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472"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r>
        <w:rPr>
          <w:rFonts w:ascii="Times New Roman" w:cs="Times New Roman" w:eastAsia="Times New Roman" w:hAnsi="Times New Roman"/>
          <w:sz w:val="18"/>
          <w:szCs w:val="18"/>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8" w:name="page529"/>
    <w:bookmarkEnd w:id="5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its duly authorized representative as of the date set forth below.</w:t>
      </w:r>
    </w:p>
    <w:p>
      <w:pPr>
        <w:spacing w:after="0" w:line="132" w:lineRule="exact"/>
        <w:rPr>
          <w:sz w:val="20"/>
          <w:szCs w:val="20"/>
          <w:color w:val="auto"/>
        </w:rPr>
      </w:pPr>
    </w:p>
    <w:p>
      <w:pPr>
        <w:ind w:left="460"/>
        <w:spacing w:after="0"/>
        <w:tabs>
          <w:tab w:leader="none" w:pos="5200" w:val="left"/>
        </w:tabs>
        <w:rPr>
          <w:sz w:val="20"/>
          <w:szCs w:val="20"/>
          <w:color w:val="auto"/>
        </w:rPr>
      </w:pPr>
      <w:r>
        <w:rPr>
          <w:rFonts w:ascii="Times New Roman" w:cs="Times New Roman" w:eastAsia="Times New Roman" w:hAnsi="Times New Roman"/>
          <w:sz w:val="18"/>
          <w:szCs w:val="18"/>
          <w:color w:val="auto"/>
        </w:rPr>
        <w:t>Name of Investor:</w:t>
      </w:r>
      <w:r>
        <w:rPr>
          <w:sz w:val="20"/>
          <w:szCs w:val="20"/>
          <w:color w:val="auto"/>
        </w:rPr>
        <w:tab/>
      </w:r>
      <w:r>
        <w:rPr>
          <w:rFonts w:ascii="Times New Roman" w:cs="Times New Roman" w:eastAsia="Times New Roman" w:hAnsi="Times New Roman"/>
          <w:sz w:val="17"/>
          <w:szCs w:val="17"/>
          <w:color w:val="auto"/>
        </w:rPr>
        <w:t>State/Country of Formation or Domicile:</w:t>
      </w:r>
    </w:p>
    <w:p>
      <w:pPr>
        <w:spacing w:after="0" w:line="3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43180</wp:posOffset>
            </wp:positionV>
            <wp:extent cx="244284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43180</wp:posOffset>
            </wp:positionV>
            <wp:extent cx="244284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43180</wp:posOffset>
            </wp:positionV>
            <wp:extent cx="244284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1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in which Shares are to be registered (if different):</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Date: ________, 2020</w:t>
            </w:r>
          </w:p>
        </w:tc>
      </w:tr>
      <w:tr>
        <w:trPr>
          <w:trHeight w:val="56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Investor’s EIN:</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Address-Street:</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Mailing Address-Street (if different):</w:t>
            </w: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City, State, Zip:</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City, State, Zip:</w:t>
            </w:r>
          </w:p>
        </w:tc>
      </w:tr>
      <w:tr>
        <w:trPr>
          <w:trHeight w:val="56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Attn:</w:t>
            </w:r>
          </w:p>
        </w:tc>
      </w:tr>
      <w:tr>
        <w:trPr>
          <w:trHeight w:val="40"/>
        </w:trPr>
        <w:tc>
          <w:tcPr>
            <w:tcW w:w="80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48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Telephone No.:</w:t>
            </w: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Facsimile No.:</w:t>
            </w:r>
          </w:p>
        </w:tc>
      </w:tr>
      <w:tr>
        <w:trPr>
          <w:trHeight w:val="56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subscribed for:</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Subscription Amount:$</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Price Per Share: $10</w:t>
            </w:r>
          </w:p>
        </w:tc>
      </w:tr>
    </w:tbl>
    <w:p>
      <w:pPr>
        <w:spacing w:after="0" w:line="19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FSD in the Closing Notice.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9" w:name="page530"/>
    <w:bookmarkEnd w:id="5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IN WITNESS WHEREOF, FSD has accepted this Subscription Agreement as of the date set forth below.</w:t>
      </w:r>
    </w:p>
    <w:p>
      <w:pPr>
        <w:spacing w:after="0" w:line="2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43180</wp:posOffset>
            </wp:positionV>
            <wp:extent cx="180848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360"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0" w:name="page531"/>
    <w:bookmarkEnd w:id="5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148" w:lineRule="exact"/>
        <w:rPr>
          <w:sz w:val="20"/>
          <w:szCs w:val="20"/>
          <w:color w:val="auto"/>
        </w:rPr>
      </w:pPr>
    </w:p>
    <w:p>
      <w:pPr>
        <w:ind w:left="880" w:right="4439" w:hanging="426"/>
        <w:spacing w:after="0" w:line="312" w:lineRule="auto"/>
        <w:tabs>
          <w:tab w:leader="none" w:pos="848" w:val="left"/>
        </w:tabs>
        <w:numPr>
          <w:ilvl w:val="0"/>
          <w:numId w:val="5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 check the applicable subparagraphs):</w:t>
      </w:r>
    </w:p>
    <w:p>
      <w:pPr>
        <w:spacing w:after="0" w:line="72" w:lineRule="exact"/>
        <w:rPr>
          <w:rFonts w:ascii="Times New Roman" w:cs="Times New Roman" w:eastAsia="Times New Roman" w:hAnsi="Times New Roman"/>
          <w:sz w:val="17"/>
          <w:szCs w:val="17"/>
          <w:color w:val="auto"/>
        </w:rPr>
      </w:pPr>
    </w:p>
    <w:p>
      <w:pPr>
        <w:ind w:left="1020" w:hanging="134"/>
        <w:spacing w:after="0"/>
        <w:tabs>
          <w:tab w:leader="none" w:pos="1020" w:val="left"/>
        </w:tabs>
        <w:numPr>
          <w:ilvl w:val="1"/>
          <w:numId w:val="517"/>
        </w:numPr>
        <w:rPr>
          <w:rFonts w:ascii="Arial" w:cs="Arial" w:eastAsia="Arial" w:hAnsi="Arial"/>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156" w:lineRule="exact"/>
        <w:rPr>
          <w:rFonts w:ascii="Arial" w:cs="Arial" w:eastAsia="Arial" w:hAnsi="Arial"/>
          <w:sz w:val="18"/>
          <w:szCs w:val="18"/>
          <w:color w:val="auto"/>
        </w:rPr>
      </w:pPr>
    </w:p>
    <w:p>
      <w:pPr>
        <w:ind w:left="840" w:hanging="386"/>
        <w:spacing w:after="0"/>
        <w:tabs>
          <w:tab w:leader="none" w:pos="84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ACCREDITED INVESTOR STATUS</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21" w:lineRule="exact"/>
        <w:rPr>
          <w:sz w:val="20"/>
          <w:szCs w:val="20"/>
          <w:color w:val="auto"/>
        </w:rPr>
      </w:pPr>
    </w:p>
    <w:p>
      <w:pPr>
        <w:jc w:val="both"/>
        <w:ind w:left="1320" w:right="459" w:hanging="434"/>
        <w:spacing w:after="0" w:line="262" w:lineRule="auto"/>
        <w:tabs>
          <w:tab w:leader="none" w:pos="1275" w:val="left"/>
        </w:tabs>
        <w:numPr>
          <w:ilvl w:val="0"/>
          <w:numId w:val="518"/>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We are an “accredited investor” within the meaning of Rule 501(a) under the Securities Act or an</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06" w:lineRule="exact"/>
        <w:rPr>
          <w:rFonts w:ascii="Times New Roman" w:cs="Times New Roman" w:eastAsia="Times New Roman" w:hAnsi="Times New Roman"/>
          <w:sz w:val="18"/>
          <w:szCs w:val="18"/>
          <w:color w:val="auto"/>
        </w:rPr>
      </w:pPr>
    </w:p>
    <w:p>
      <w:pPr>
        <w:ind w:left="1240" w:hanging="354"/>
        <w:spacing w:after="0"/>
        <w:tabs>
          <w:tab w:leader="none" w:pos="1240" w:val="left"/>
        </w:tabs>
        <w:numPr>
          <w:ilvl w:val="0"/>
          <w:numId w:val="518"/>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We are not a natural person.</w:t>
      </w:r>
    </w:p>
    <w:p>
      <w:pPr>
        <w:spacing w:after="0" w:line="161" w:lineRule="exact"/>
        <w:rPr>
          <w:sz w:val="20"/>
          <w:szCs w:val="20"/>
          <w:color w:val="auto"/>
        </w:rPr>
      </w:pPr>
    </w:p>
    <w:p>
      <w:pPr>
        <w:ind w:left="460" w:right="619"/>
        <w:spacing w:after="0" w:line="258"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02" w:lineRule="exact"/>
        <w:rPr>
          <w:sz w:val="20"/>
          <w:szCs w:val="20"/>
          <w:color w:val="auto"/>
        </w:rPr>
      </w:pPr>
    </w:p>
    <w:p>
      <w:pPr>
        <w:ind w:left="1320" w:right="479" w:hanging="2"/>
        <w:spacing w:after="0" w:line="281" w:lineRule="auto"/>
        <w:tabs>
          <w:tab w:leader="none" w:pos="1505" w:val="left"/>
        </w:tabs>
        <w:numPr>
          <w:ilvl w:val="1"/>
          <w:numId w:val="519"/>
        </w:numPr>
        <w:rPr>
          <w:rFonts w:ascii="Arial" w:cs="Arial" w:eastAsia="Arial" w:hAnsi="Arial"/>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94" w:lineRule="exact"/>
        <w:rPr>
          <w:rFonts w:ascii="Arial" w:cs="Arial" w:eastAsia="Arial" w:hAnsi="Arial"/>
          <w:sz w:val="18"/>
          <w:szCs w:val="18"/>
          <w:color w:val="auto"/>
        </w:rPr>
      </w:pPr>
    </w:p>
    <w:p>
      <w:pPr>
        <w:jc w:val="both"/>
        <w:ind w:left="1320" w:right="459" w:hanging="2"/>
        <w:spacing w:after="0" w:line="265" w:lineRule="auto"/>
        <w:tabs>
          <w:tab w:leader="none" w:pos="1494" w:val="left"/>
        </w:tabs>
        <w:numPr>
          <w:ilvl w:val="1"/>
          <w:numId w:val="519"/>
        </w:numPr>
        <w:rPr>
          <w:rFonts w:ascii="Arial" w:cs="Arial" w:eastAsia="Arial" w:hAnsi="Arial"/>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09" w:lineRule="exact"/>
        <w:rPr>
          <w:rFonts w:ascii="Arial" w:cs="Arial" w:eastAsia="Arial" w:hAnsi="Arial"/>
          <w:sz w:val="18"/>
          <w:szCs w:val="18"/>
          <w:color w:val="auto"/>
        </w:rPr>
      </w:pPr>
    </w:p>
    <w:p>
      <w:pPr>
        <w:jc w:val="both"/>
        <w:ind w:left="1320" w:right="459" w:hanging="2"/>
        <w:spacing w:after="0" w:line="265" w:lineRule="auto"/>
        <w:tabs>
          <w:tab w:leader="none" w:pos="1459" w:val="left"/>
        </w:tabs>
        <w:numPr>
          <w:ilvl w:val="1"/>
          <w:numId w:val="519"/>
        </w:numPr>
        <w:rPr>
          <w:rFonts w:ascii="Arial" w:cs="Arial" w:eastAsia="Arial" w:hAnsi="Arial"/>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96" w:lineRule="exact"/>
        <w:rPr>
          <w:rFonts w:ascii="Arial" w:cs="Arial" w:eastAsia="Arial" w:hAnsi="Arial"/>
          <w:sz w:val="18"/>
          <w:szCs w:val="18"/>
          <w:color w:val="auto"/>
        </w:rPr>
      </w:pPr>
    </w:p>
    <w:p>
      <w:pPr>
        <w:jc w:val="both"/>
        <w:ind w:left="1320" w:right="479" w:hanging="2"/>
        <w:spacing w:after="0" w:line="265" w:lineRule="auto"/>
        <w:tabs>
          <w:tab w:leader="none" w:pos="1496" w:val="left"/>
        </w:tabs>
        <w:numPr>
          <w:ilvl w:val="1"/>
          <w:numId w:val="519"/>
        </w:numPr>
        <w:rPr>
          <w:rFonts w:ascii="Arial" w:cs="Arial" w:eastAsia="Arial" w:hAnsi="Arial"/>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09" w:lineRule="exact"/>
        <w:rPr>
          <w:rFonts w:ascii="Arial" w:cs="Arial" w:eastAsia="Arial" w:hAnsi="Arial"/>
          <w:sz w:val="18"/>
          <w:szCs w:val="18"/>
          <w:color w:val="auto"/>
        </w:rPr>
      </w:pPr>
    </w:p>
    <w:p>
      <w:pPr>
        <w:ind w:left="1320" w:right="479" w:hanging="2"/>
        <w:spacing w:after="0" w:line="281" w:lineRule="auto"/>
        <w:tabs>
          <w:tab w:leader="none" w:pos="1461" w:val="left"/>
        </w:tabs>
        <w:numPr>
          <w:ilvl w:val="1"/>
          <w:numId w:val="519"/>
        </w:numPr>
        <w:rPr>
          <w:rFonts w:ascii="Arial" w:cs="Arial" w:eastAsia="Arial" w:hAnsi="Arial"/>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94" w:lineRule="exact"/>
        <w:rPr>
          <w:rFonts w:ascii="Arial" w:cs="Arial" w:eastAsia="Arial" w:hAnsi="Arial"/>
          <w:sz w:val="18"/>
          <w:szCs w:val="18"/>
          <w:color w:val="auto"/>
        </w:rPr>
      </w:pPr>
    </w:p>
    <w:p>
      <w:pPr>
        <w:ind w:left="1320" w:right="479" w:hanging="2"/>
        <w:spacing w:after="0" w:line="281" w:lineRule="auto"/>
        <w:tabs>
          <w:tab w:leader="none" w:pos="1465" w:val="left"/>
        </w:tabs>
        <w:numPr>
          <w:ilvl w:val="1"/>
          <w:numId w:val="519"/>
        </w:numPr>
        <w:rPr>
          <w:rFonts w:ascii="Arial" w:cs="Arial" w:eastAsia="Arial" w:hAnsi="Arial"/>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81" w:lineRule="exact"/>
        <w:rPr>
          <w:rFonts w:ascii="Arial" w:cs="Arial" w:eastAsia="Arial" w:hAnsi="Arial"/>
          <w:sz w:val="18"/>
          <w:szCs w:val="18"/>
          <w:color w:val="auto"/>
        </w:rPr>
      </w:pPr>
    </w:p>
    <w:p>
      <w:pPr>
        <w:ind w:left="840" w:hanging="386"/>
        <w:spacing w:after="0"/>
        <w:tabs>
          <w:tab w:leader="none" w:pos="84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ACCOUNTS STATUS</w:t>
      </w:r>
    </w:p>
    <w:p>
      <w:pPr>
        <w:spacing w:after="0" w:line="157" w:lineRule="exact"/>
        <w:rPr>
          <w:rFonts w:ascii="Times New Roman" w:cs="Times New Roman" w:eastAsia="Times New Roman" w:hAnsi="Times New Roman"/>
          <w:sz w:val="18"/>
          <w:szCs w:val="18"/>
          <w:color w:val="auto"/>
        </w:rPr>
      </w:pPr>
    </w:p>
    <w:p>
      <w:pPr>
        <w:ind w:left="1460" w:hanging="142"/>
        <w:spacing w:after="0"/>
        <w:tabs>
          <w:tab w:leader="none" w:pos="1460" w:val="left"/>
        </w:tabs>
        <w:numPr>
          <w:ilvl w:val="1"/>
          <w:numId w:val="519"/>
        </w:numPr>
        <w:rPr>
          <w:rFonts w:ascii="Arial" w:cs="Arial" w:eastAsia="Arial" w:hAnsi="Arial"/>
          <w:sz w:val="18"/>
          <w:szCs w:val="18"/>
          <w:color w:val="auto"/>
        </w:rPr>
      </w:pPr>
      <w:r>
        <w:rPr>
          <w:rFonts w:ascii="Times New Roman" w:cs="Times New Roman" w:eastAsia="Times New Roman" w:hAnsi="Times New Roman"/>
          <w:sz w:val="18"/>
          <w:szCs w:val="18"/>
          <w:color w:val="auto"/>
        </w:rPr>
        <w:t>We are an “institutional account” (as defined in FINRA RULE 4512(c)).</w:t>
      </w:r>
    </w:p>
    <w:p>
      <w:pPr>
        <w:spacing w:after="0" w:line="156" w:lineRule="exact"/>
        <w:rPr>
          <w:rFonts w:ascii="Arial" w:cs="Arial" w:eastAsia="Arial" w:hAnsi="Arial"/>
          <w:sz w:val="18"/>
          <w:szCs w:val="18"/>
          <w:color w:val="auto"/>
        </w:rPr>
      </w:pPr>
    </w:p>
    <w:p>
      <w:pPr>
        <w:ind w:left="840" w:hanging="386"/>
        <w:spacing w:after="0"/>
        <w:tabs>
          <w:tab w:leader="none" w:pos="84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53" w:lineRule="exact"/>
        <w:rPr>
          <w:sz w:val="20"/>
          <w:szCs w:val="20"/>
          <w:color w:val="auto"/>
        </w:rPr>
      </w:pPr>
    </w:p>
    <w:p>
      <w:pPr>
        <w:jc w:val="both"/>
        <w:ind w:left="1320" w:right="459" w:hanging="434"/>
        <w:spacing w:after="0" w:line="262" w:lineRule="auto"/>
        <w:tabs>
          <w:tab w:leader="none" w:pos="1315" w:val="left"/>
        </w:tabs>
        <w:numPr>
          <w:ilvl w:val="0"/>
          <w:numId w:val="520"/>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I am an “accredited investor” within the meaning of Rule 501(a) under the Securities Act or an</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93" w:lineRule="exact"/>
        <w:rPr>
          <w:rFonts w:ascii="Times New Roman" w:cs="Times New Roman" w:eastAsia="Times New Roman" w:hAnsi="Times New Roman"/>
          <w:sz w:val="18"/>
          <w:szCs w:val="18"/>
          <w:color w:val="auto"/>
        </w:rPr>
      </w:pPr>
    </w:p>
    <w:p>
      <w:pPr>
        <w:ind w:left="1240" w:hanging="354"/>
        <w:spacing w:after="0"/>
        <w:tabs>
          <w:tab w:leader="none" w:pos="1240" w:val="left"/>
        </w:tabs>
        <w:numPr>
          <w:ilvl w:val="0"/>
          <w:numId w:val="520"/>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I am a natural person.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1" w:name="page532"/>
    <w:bookmarkEnd w:id="5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19"/>
        <w:spacing w:after="0" w:line="258"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16" w:lineRule="exact"/>
        <w:rPr>
          <w:sz w:val="20"/>
          <w:szCs w:val="20"/>
          <w:color w:val="auto"/>
        </w:rPr>
      </w:pPr>
    </w:p>
    <w:p>
      <w:pPr>
        <w:ind w:left="1320" w:right="479" w:hanging="2"/>
        <w:spacing w:after="0" w:line="281" w:lineRule="auto"/>
        <w:tabs>
          <w:tab w:leader="none" w:pos="1469" w:val="left"/>
        </w:tabs>
        <w:numPr>
          <w:ilvl w:val="0"/>
          <w:numId w:val="521"/>
        </w:numPr>
        <w:rPr>
          <w:rFonts w:ascii="Arial" w:cs="Arial" w:eastAsia="Arial" w:hAnsi="Arial"/>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94" w:lineRule="exact"/>
        <w:rPr>
          <w:rFonts w:ascii="Arial" w:cs="Arial" w:eastAsia="Arial" w:hAnsi="Arial"/>
          <w:sz w:val="18"/>
          <w:szCs w:val="18"/>
          <w:color w:val="auto"/>
        </w:rPr>
      </w:pPr>
    </w:p>
    <w:p>
      <w:pPr>
        <w:jc w:val="both"/>
        <w:ind w:left="1320" w:right="459" w:hanging="2"/>
        <w:spacing w:after="0" w:line="260" w:lineRule="auto"/>
        <w:tabs>
          <w:tab w:leader="none" w:pos="1456" w:val="left"/>
        </w:tabs>
        <w:numPr>
          <w:ilvl w:val="0"/>
          <w:numId w:val="521"/>
        </w:numPr>
        <w:rPr>
          <w:rFonts w:ascii="Arial" w:cs="Arial" w:eastAsia="Arial" w:hAnsi="Arial"/>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at the time of his purchase exceeds $1,000,000. For purposes of calculating a natural person’s net worth:</w:t>
      </w:r>
    </w:p>
    <w:p>
      <w:pPr>
        <w:spacing w:after="0" w:line="1" w:lineRule="exact"/>
        <w:rPr>
          <w:rFonts w:ascii="Arial" w:cs="Arial" w:eastAsia="Arial" w:hAnsi="Arial"/>
          <w:sz w:val="18"/>
          <w:szCs w:val="18"/>
          <w:color w:val="auto"/>
        </w:rPr>
      </w:pPr>
    </w:p>
    <w:p>
      <w:pPr>
        <w:jc w:val="both"/>
        <w:ind w:left="1320" w:right="459"/>
        <w:spacing w:after="0" w:line="250" w:lineRule="auto"/>
        <w:rPr>
          <w:rFonts w:ascii="Arial" w:cs="Arial" w:eastAsia="Arial" w:hAnsi="Arial"/>
          <w:sz w:val="18"/>
          <w:szCs w:val="18"/>
          <w:color w:val="auto"/>
        </w:rPr>
      </w:pPr>
      <w:r>
        <w:rPr>
          <w:rFonts w:ascii="Times New Roman" w:cs="Times New Roman" w:eastAsia="Times New Roman" w:hAnsi="Times New Roman"/>
          <w:sz w:val="18"/>
          <w:szCs w:val="18"/>
          <w:color w:val="auto"/>
        </w:rPr>
        <w:t>(a)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w:t>
      </w:r>
    </w:p>
    <w:p>
      <w:pPr>
        <w:spacing w:after="0" w:line="1" w:lineRule="exact"/>
        <w:rPr>
          <w:rFonts w:ascii="Arial" w:cs="Arial" w:eastAsia="Arial" w:hAnsi="Arial"/>
          <w:sz w:val="18"/>
          <w:szCs w:val="18"/>
          <w:color w:val="auto"/>
        </w:rPr>
      </w:pPr>
    </w:p>
    <w:p>
      <w:pPr>
        <w:ind w:left="1320" w:right="459"/>
        <w:spacing w:after="0" w:line="260" w:lineRule="auto"/>
        <w:rPr>
          <w:rFonts w:ascii="Arial" w:cs="Arial" w:eastAsia="Arial" w:hAnsi="Arial"/>
          <w:sz w:val="18"/>
          <w:szCs w:val="18"/>
          <w:color w:val="auto"/>
        </w:rPr>
      </w:pPr>
      <w:r>
        <w:rPr>
          <w:rFonts w:ascii="Times New Roman" w:cs="Times New Roman" w:eastAsia="Times New Roman" w:hAnsi="Times New Roman"/>
          <w:sz w:val="18"/>
          <w:szCs w:val="18"/>
          <w:color w:val="auto"/>
        </w:rPr>
        <w:t>(c) indebtedness that is secured by the person’s primary residence in excess of the estimated fair market value of the residence must be included as a liability; or</w:t>
      </w:r>
    </w:p>
    <w:p>
      <w:pPr>
        <w:spacing w:after="0" w:line="100" w:lineRule="exact"/>
        <w:rPr>
          <w:rFonts w:ascii="Arial" w:cs="Arial" w:eastAsia="Arial" w:hAnsi="Arial"/>
          <w:sz w:val="18"/>
          <w:szCs w:val="18"/>
          <w:color w:val="auto"/>
        </w:rPr>
      </w:pPr>
    </w:p>
    <w:p>
      <w:pPr>
        <w:jc w:val="both"/>
        <w:ind w:left="1320" w:right="459" w:hanging="2"/>
        <w:spacing w:after="0" w:line="265" w:lineRule="auto"/>
        <w:tabs>
          <w:tab w:leader="none" w:pos="1463" w:val="left"/>
        </w:tabs>
        <w:numPr>
          <w:ilvl w:val="0"/>
          <w:numId w:val="521"/>
        </w:numPr>
        <w:rPr>
          <w:rFonts w:ascii="Arial" w:cs="Arial" w:eastAsia="Arial" w:hAnsi="Arial"/>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2" w:name="page533"/>
    <w:bookmarkEnd w:id="5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20. Indemnification of Directors and Officers.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Our Current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145. Indemnification of officers, directors, employees and agents; insurance.</w:t>
      </w:r>
    </w:p>
    <w:p>
      <w:pPr>
        <w:spacing w:after="0" w:line="158" w:lineRule="exact"/>
        <w:rPr>
          <w:sz w:val="20"/>
          <w:szCs w:val="20"/>
          <w:color w:val="auto"/>
        </w:rPr>
      </w:pPr>
    </w:p>
    <w:p>
      <w:pPr>
        <w:jc w:val="both"/>
        <w:ind w:left="1320" w:right="459" w:hanging="434"/>
        <w:spacing w:after="0" w:line="252" w:lineRule="auto"/>
        <w:tabs>
          <w:tab w:leader="none" w:pos="1311"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282"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2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33"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73"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2" w:lineRule="exact"/>
        <w:rPr>
          <w:rFonts w:ascii="Times New Roman" w:cs="Times New Roman" w:eastAsia="Times New Roman" w:hAnsi="Times New Roman"/>
          <w:sz w:val="18"/>
          <w:szCs w:val="18"/>
          <w:color w:val="auto"/>
        </w:rPr>
      </w:pPr>
    </w:p>
    <w:p>
      <w:pPr>
        <w:jc w:val="both"/>
        <w:ind w:left="1320" w:right="479" w:hanging="2"/>
        <w:spacing w:after="0" w:line="250" w:lineRule="auto"/>
        <w:tabs>
          <w:tab w:leader="none" w:pos="1589"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w:t>
      </w:r>
    </w:p>
    <w:p>
      <w:pPr>
        <w:spacing w:after="0" w:line="1" w:lineRule="exact"/>
        <w:rPr>
          <w:rFonts w:ascii="Times New Roman" w:cs="Times New Roman" w:eastAsia="Times New Roman" w:hAnsi="Times New Roman"/>
          <w:sz w:val="18"/>
          <w:szCs w:val="18"/>
          <w:color w:val="auto"/>
        </w:rPr>
      </w:pPr>
    </w:p>
    <w:p>
      <w:pPr>
        <w:ind w:left="1320" w:right="4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if there are no such directors, or if such directors so direct, by independent legal counsel in a written opinion, or (4) by the stockholders.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3" w:name="page534"/>
    <w:bookmarkEnd w:id="5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4" w:lineRule="auto"/>
        <w:tabs>
          <w:tab w:leader="none" w:pos="1463"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76"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0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83"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24"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2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7"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9"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4" w:name="page535"/>
    <w:bookmarkEnd w:id="5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accordance with Section 102(b)(7) of the DGCL, our Current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Current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liability of directors, then, in accordance with our Current Charter, the liability of our directors to us or our stockholders will be eliminated or limited to the fullest extent authorized by the DGCL, as so amended. Any repeal or amendment of provisions of our Current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Current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Notwithstanding the foregoing, a person eligible for indemnification pursuant to our Current Charter will be indemnified by us in connection with a proceeding initiated by such person only if such proceeding was authorized by our board of directors, except for proceedings to enforce rights to indemnification.</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right to indemnification which will be conferred by our Current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Current Charter or otherwise.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advancement of expenses will not be deemed exclusive of any other rights which any person covered by our Current Charter may have or hereafter acquire under law, our Current Charter, our Current By-laws, an agreement, vote of stockholders or disinterested directors, or otherwise.</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Any repeal or amendment of provisions of our Current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Current Charter also permits us, to the extent and in the manner authorized or permitted by law, to indemnify and to advance expenses to persons other that those specifically covered by our Current Charter.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5" w:name="page536"/>
    <w:bookmarkEnd w:id="53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Current By-laws include the provisions relating to advancement of expenses and indemnification rights consistent with those which are set forth in our Current Charter. In addition, our Current By-laws provide for a right of indemnity to bring a suit in the event a claim for indemnification or advancement of expenses is not paid in full by us within a specified period of time. Our Current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repeal or amendment of provisions of our Current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officers and directors a form that was filed as Exhibit 10.5 of our Registration Statement on Form S-1, filed with the SEC on April 16, 2020.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6" w:name="page537"/>
    <w:bookmarkEnd w:id="5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21. Exhibits and Financial Statement Schedules.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46"/>
        </w:trPr>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100" w:type="dxa"/>
            <w:vAlign w:val="bottom"/>
            <w:gridSpan w:val="14"/>
            <w:shd w:val="clear" w:color="auto" w:fill="CCEEFF"/>
          </w:tcPr>
          <w:p>
            <w:pPr>
              <w:spacing w:after="0" w:line="169" w:lineRule="exact"/>
              <w:rPr>
                <w:rFonts w:ascii="Times New Roman" w:cs="Times New Roman" w:eastAsia="Times New Roman" w:hAnsi="Times New Roman"/>
                <w:sz w:val="18"/>
                <w:szCs w:val="18"/>
                <w:color w:val="0000EE"/>
              </w:rPr>
            </w:pPr>
            <w:hyperlink w:anchor="page295">
              <w:r>
                <w:rPr>
                  <w:rFonts w:ascii="Times New Roman" w:cs="Times New Roman" w:eastAsia="Times New Roman" w:hAnsi="Times New Roman"/>
                  <w:sz w:val="18"/>
                  <w:szCs w:val="18"/>
                  <w:color w:val="0000EE"/>
                </w:rPr>
                <w:t>Merger Agreement, dated as of October 15, 2020, by and between FS Development Corp., FSG</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295">
              <w:r>
                <w:rPr>
                  <w:rFonts w:ascii="Times New Roman" w:cs="Times New Roman" w:eastAsia="Times New Roman" w:hAnsi="Times New Roman"/>
                  <w:sz w:val="18"/>
                  <w:szCs w:val="18"/>
                  <w:color w:val="0000EE"/>
                </w:rPr>
                <w:t>Merger Sub Inc., Gemini Therapeutics, Inc. and Shareholder Representative Services, LLC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295">
              <w:r>
                <w:rPr>
                  <w:rFonts w:ascii="Times New Roman" w:cs="Times New Roman" w:eastAsia="Times New Roman" w:hAnsi="Times New Roman"/>
                  <w:sz w:val="18"/>
                  <w:szCs w:val="18"/>
                  <w:color w:val="0000EE"/>
                </w:rPr>
                <w:t>(included as Annex A to the proxy statement/prospectus forming a part of this registration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2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295">
              <w:r>
                <w:rPr>
                  <w:rFonts w:ascii="Times New Roman" w:cs="Times New Roman" w:eastAsia="Times New Roman" w:hAnsi="Times New Roman"/>
                  <w:sz w:val="18"/>
                  <w:szCs w:val="18"/>
                  <w:color w:val="0000EE"/>
                </w:rPr>
                <w:t>statement).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643">
              <w:r>
                <w:rPr>
                  <w:rFonts w:ascii="Times New Roman" w:cs="Times New Roman" w:eastAsia="Times New Roman" w:hAnsi="Times New Roman"/>
                  <w:sz w:val="18"/>
                  <w:szCs w:val="18"/>
                  <w:color w:val="0000EE"/>
                </w:rPr>
                <w:t>Amended and Restated Certificate of Incorporation of FS Development Corp.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r:id="rId643">
              <w:r>
                <w:rPr>
                  <w:rFonts w:ascii="Times New Roman" w:cs="Times New Roman" w:eastAsia="Times New Roman" w:hAnsi="Times New Roman"/>
                  <w:sz w:val="18"/>
                  <w:szCs w:val="18"/>
                  <w:color w:val="0000EE"/>
                </w:rPr>
                <w:t>reference to Exhibit 3.1 of FS Development Corp.’s Form 8-K, filed with the SEC on August 14,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00" w:type="dxa"/>
            <w:vAlign w:val="bottom"/>
            <w:gridSpan w:val="4"/>
          </w:tcPr>
          <w:p>
            <w:pPr>
              <w:ind w:left="100"/>
              <w:spacing w:after="0" w:line="196" w:lineRule="exact"/>
              <w:rPr>
                <w:rFonts w:ascii="Times New Roman" w:cs="Times New Roman" w:eastAsia="Times New Roman" w:hAnsi="Times New Roman"/>
                <w:sz w:val="18"/>
                <w:szCs w:val="18"/>
                <w:color w:val="0000EE"/>
              </w:rPr>
            </w:pPr>
            <w:hyperlink r:id="rId643">
              <w:r>
                <w:rPr>
                  <w:rFonts w:ascii="Times New Roman" w:cs="Times New Roman" w:eastAsia="Times New Roman" w:hAnsi="Times New Roman"/>
                  <w:sz w:val="18"/>
                  <w:szCs w:val="18"/>
                  <w:color w:val="0000EE"/>
                </w:rPr>
                <w:t>2020).</w:t>
              </w:r>
            </w:hyperlink>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44">
              <w:r>
                <w:rPr>
                  <w:rFonts w:ascii="Times New Roman" w:cs="Times New Roman" w:eastAsia="Times New Roman" w:hAnsi="Times New Roman"/>
                  <w:sz w:val="18"/>
                  <w:szCs w:val="18"/>
                  <w:color w:val="0000EE"/>
                </w:rPr>
                <w:t>By-laws of FS Development Corp. (incorporated by reference to Exhibit 3.4 of FS Development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644">
              <w:r>
                <w:rPr>
                  <w:rFonts w:ascii="Times New Roman" w:cs="Times New Roman" w:eastAsia="Times New Roman" w:hAnsi="Times New Roman"/>
                  <w:sz w:val="18"/>
                  <w:szCs w:val="18"/>
                  <w:color w:val="0000EE"/>
                </w:rPr>
                <w:t>Corp.’s Form S-1/A, filed with the SEC on August 7, 2020).</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5"/>
                <w:szCs w:val="15"/>
                <w:color w:val="auto"/>
              </w:rPr>
            </w:pPr>
          </w:p>
        </w:tc>
        <w:tc>
          <w:tcPr>
            <w:tcW w:w="7120" w:type="dxa"/>
            <w:vAlign w:val="bottom"/>
            <w:gridSpan w:val="15"/>
          </w:tcPr>
          <w:p>
            <w:pPr>
              <w:spacing w:after="0" w:line="176" w:lineRule="exact"/>
              <w:rPr>
                <w:rFonts w:ascii="Times New Roman" w:cs="Times New Roman" w:eastAsia="Times New Roman" w:hAnsi="Times New Roman"/>
                <w:sz w:val="18"/>
                <w:szCs w:val="18"/>
                <w:color w:val="0000EE"/>
              </w:rPr>
            </w:pPr>
            <w:hyperlink w:anchor="page484">
              <w:r>
                <w:rPr>
                  <w:rFonts w:ascii="Times New Roman" w:cs="Times New Roman" w:eastAsia="Times New Roman" w:hAnsi="Times New Roman"/>
                  <w:sz w:val="18"/>
                  <w:szCs w:val="18"/>
                  <w:color w:val="0000EE"/>
                </w:rPr>
                <w:t>Form of Amended and Restated Certificate of Incorporation (included as Annex B to the proxy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484">
              <w:r>
                <w:rPr>
                  <w:rFonts w:ascii="Times New Roman" w:cs="Times New Roman" w:eastAsia="Times New Roman" w:hAnsi="Times New Roman"/>
                  <w:sz w:val="18"/>
                  <w:szCs w:val="18"/>
                  <w:color w:val="0000EE"/>
                </w:rPr>
                <w:t>statement/prospectus forming a part of this registration statement).</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489">
              <w:r>
                <w:rPr>
                  <w:rFonts w:ascii="Times New Roman" w:cs="Times New Roman" w:eastAsia="Times New Roman" w:hAnsi="Times New Roman"/>
                  <w:sz w:val="18"/>
                  <w:szCs w:val="18"/>
                  <w:color w:val="0000EE"/>
                </w:rPr>
                <w:t>Form of Amended and Restated By-laws (included as Annex C to the proxy statement/prospectus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w:anchor="page489">
              <w:r>
                <w:rPr>
                  <w:rFonts w:ascii="Times New Roman" w:cs="Times New Roman" w:eastAsia="Times New Roman" w:hAnsi="Times New Roman"/>
                  <w:sz w:val="18"/>
                  <w:szCs w:val="18"/>
                  <w:color w:val="0000EE"/>
                </w:rPr>
                <w:t>forming part of this registration statement).</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7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Specimen Common Stock Certificate of the Combined Entity.</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7"/>
                <w:szCs w:val="17"/>
                <w:color w:val="auto"/>
              </w:rPr>
            </w:pPr>
          </w:p>
        </w:tc>
        <w:tc>
          <w:tcPr>
            <w:tcW w:w="7120" w:type="dxa"/>
            <w:vAlign w:val="bottom"/>
            <w:gridSpan w:val="1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Opinion of White &amp; Case LLP as to the validity of the shares of Common Stock of FS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Corp.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w:anchor="page505">
              <w:r>
                <w:rPr>
                  <w:rFonts w:ascii="Times New Roman" w:cs="Times New Roman" w:eastAsia="Times New Roman" w:hAnsi="Times New Roman"/>
                  <w:sz w:val="18"/>
                  <w:szCs w:val="18"/>
                  <w:color w:val="0000EE"/>
                </w:rPr>
                <w:t>Form  of  2020  Stock  Option  and  Incentive  Plan  (included  as  Annex  D  to  the  proxy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w:anchor="page505">
              <w:r>
                <w:rPr>
                  <w:rFonts w:ascii="Times New Roman" w:cs="Times New Roman" w:eastAsia="Times New Roman" w:hAnsi="Times New Roman"/>
                  <w:sz w:val="18"/>
                  <w:szCs w:val="18"/>
                  <w:color w:val="0000EE"/>
                </w:rPr>
                <w:t>statement/prospectus forming a part of this registration statement).</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517">
              <w:r>
                <w:rPr>
                  <w:rFonts w:ascii="Times New Roman" w:cs="Times New Roman" w:eastAsia="Times New Roman" w:hAnsi="Times New Roman"/>
                  <w:sz w:val="18"/>
                  <w:szCs w:val="18"/>
                  <w:color w:val="0000EE"/>
                </w:rPr>
                <w:t>Form of Subscription Agreement (included as Annex E to the proxy statement/prospectus forming</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w:anchor="page517">
              <w:r>
                <w:rPr>
                  <w:rFonts w:ascii="Times New Roman" w:cs="Times New Roman" w:eastAsia="Times New Roman" w:hAnsi="Times New Roman"/>
                  <w:sz w:val="18"/>
                  <w:szCs w:val="18"/>
                  <w:color w:val="0000EE"/>
                </w:rPr>
                <w:t>part of this Registration Statement).</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645">
              <w:r>
                <w:rPr>
                  <w:rFonts w:ascii="Times New Roman" w:cs="Times New Roman" w:eastAsia="Times New Roman" w:hAnsi="Times New Roman"/>
                  <w:sz w:val="18"/>
                  <w:szCs w:val="18"/>
                  <w:color w:val="0000EE"/>
                </w:rPr>
                <w:t>Company Support Agreement, dated as of October 15, 2020, by and among FS Development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45">
              <w:r>
                <w:rPr>
                  <w:rFonts w:ascii="Times New Roman" w:cs="Times New Roman" w:eastAsia="Times New Roman" w:hAnsi="Times New Roman"/>
                  <w:sz w:val="18"/>
                  <w:szCs w:val="18"/>
                  <w:color w:val="0000EE"/>
                </w:rPr>
                <w:t>Corp. and certain supporting stockholders of Gemini Therapeutics, Inc. (incorporated by reference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645">
              <w:r>
                <w:rPr>
                  <w:rFonts w:ascii="Times New Roman" w:cs="Times New Roman" w:eastAsia="Times New Roman" w:hAnsi="Times New Roman"/>
                  <w:sz w:val="18"/>
                  <w:szCs w:val="18"/>
                  <w:color w:val="0000EE"/>
                </w:rPr>
                <w:t>to Exhibit 10.3 of FS Development Corp.’s Current Report on Form 8-K/A, filed with the SEC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r:id="rId645">
              <w:r>
                <w:rPr>
                  <w:rFonts w:ascii="Times New Roman" w:cs="Times New Roman" w:eastAsia="Times New Roman" w:hAnsi="Times New Roman"/>
                  <w:sz w:val="18"/>
                  <w:szCs w:val="18"/>
                  <w:color w:val="0000EE"/>
                </w:rPr>
                <w:t>October 20, 2020).</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712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45">
              <w:r>
                <w:rPr>
                  <w:rFonts w:ascii="Times New Roman" w:cs="Times New Roman" w:eastAsia="Times New Roman" w:hAnsi="Times New Roman"/>
                  <w:sz w:val="18"/>
                  <w:szCs w:val="18"/>
                  <w:color w:val="0000EE"/>
                </w:rPr>
                <w:t>FS Development Corp. Support Agreement, dated as of October 15, 2020, by and among FS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45">
              <w:r>
                <w:rPr>
                  <w:rFonts w:ascii="Times New Roman" w:cs="Times New Roman" w:eastAsia="Times New Roman" w:hAnsi="Times New Roman"/>
                  <w:sz w:val="18"/>
                  <w:szCs w:val="18"/>
                  <w:color w:val="0000EE"/>
                </w:rPr>
                <w:t>Development Corp., Gemini Therapeutics, Inc., FS Development Holdings, LLC and certain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45">
              <w:r>
                <w:rPr>
                  <w:rFonts w:ascii="Times New Roman" w:cs="Times New Roman" w:eastAsia="Times New Roman" w:hAnsi="Times New Roman"/>
                  <w:sz w:val="18"/>
                  <w:szCs w:val="18"/>
                  <w:color w:val="0000EE"/>
                </w:rPr>
                <w:t>supporting stockholders of FS Development Corp. (incorporated by reference to Exhibit 10.3 of</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20" w:type="dxa"/>
            <w:vAlign w:val="bottom"/>
            <w:gridSpan w:val="15"/>
            <w:shd w:val="clear" w:color="auto" w:fill="CCEEFF"/>
          </w:tcPr>
          <w:p>
            <w:pPr>
              <w:spacing w:after="0"/>
              <w:rPr>
                <w:rFonts w:ascii="Times New Roman" w:cs="Times New Roman" w:eastAsia="Times New Roman" w:hAnsi="Times New Roman"/>
                <w:sz w:val="18"/>
                <w:szCs w:val="18"/>
                <w:u w:val="single" w:color="auto"/>
                <w:color w:val="0000EE"/>
              </w:rPr>
            </w:pPr>
            <w:hyperlink r:id="rId645">
              <w:r>
                <w:rPr>
                  <w:rFonts w:ascii="Times New Roman" w:cs="Times New Roman" w:eastAsia="Times New Roman" w:hAnsi="Times New Roman"/>
                  <w:sz w:val="18"/>
                  <w:szCs w:val="18"/>
                  <w:u w:val="single" w:color="auto"/>
                  <w:color w:val="0000EE"/>
                </w:rPr>
                <w:t>FS Development Corp.’s Current Report on Form 8-K/A, filed with the SEC on October 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ind w:left="100"/>
              <w:spacing w:after="0"/>
              <w:rPr>
                <w:rFonts w:ascii="Times New Roman" w:cs="Times New Roman" w:eastAsia="Times New Roman" w:hAnsi="Times New Roman"/>
                <w:sz w:val="18"/>
                <w:szCs w:val="18"/>
                <w:u w:val="single" w:color="auto"/>
                <w:color w:val="0000EE"/>
              </w:rPr>
            </w:pPr>
            <w:hyperlink r:id="rId645">
              <w:r>
                <w:rPr>
                  <w:rFonts w:ascii="Times New Roman" w:cs="Times New Roman" w:eastAsia="Times New Roman" w:hAnsi="Times New Roman"/>
                  <w:sz w:val="18"/>
                  <w:szCs w:val="18"/>
                  <w:u w:val="single" w:color="auto"/>
                  <w:color w:val="0000EE"/>
                </w:rPr>
                <w:t>2020).</w:t>
              </w:r>
            </w:hyperlink>
          </w:p>
        </w:tc>
        <w:tc>
          <w:tcPr>
            <w:tcW w:w="5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7120" w:type="dxa"/>
            <w:vAlign w:val="bottom"/>
            <w:gridSpan w:val="15"/>
          </w:tcPr>
          <w:p>
            <w:pPr>
              <w:spacing w:after="0"/>
              <w:rPr>
                <w:rFonts w:ascii="Times New Roman" w:cs="Times New Roman" w:eastAsia="Times New Roman" w:hAnsi="Times New Roman"/>
                <w:sz w:val="18"/>
                <w:szCs w:val="18"/>
                <w:u w:val="single" w:color="auto"/>
                <w:color w:val="0000EE"/>
              </w:rPr>
            </w:pPr>
            <w:hyperlink r:id="rId646">
              <w:r>
                <w:rPr>
                  <w:rFonts w:ascii="Times New Roman" w:cs="Times New Roman" w:eastAsia="Times New Roman" w:hAnsi="Times New Roman"/>
                  <w:sz w:val="18"/>
                  <w:szCs w:val="18"/>
                  <w:u w:val="single" w:color="auto"/>
                  <w:color w:val="0000EE"/>
                </w:rPr>
                <w:t>Form of Non-Redemption Agreement.</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517">
              <w:r>
                <w:rPr>
                  <w:rFonts w:ascii="Times New Roman" w:cs="Times New Roman" w:eastAsia="Times New Roman" w:hAnsi="Times New Roman"/>
                  <w:sz w:val="18"/>
                  <w:szCs w:val="18"/>
                  <w:color w:val="0000EE"/>
                </w:rPr>
                <w:t>Form of Subscription Agreement (included as Annex E to the proxy statement/prospectus forming</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w:anchor="page517">
              <w:r>
                <w:rPr>
                  <w:rFonts w:ascii="Times New Roman" w:cs="Times New Roman" w:eastAsia="Times New Roman" w:hAnsi="Times New Roman"/>
                  <w:sz w:val="18"/>
                  <w:szCs w:val="18"/>
                  <w:color w:val="0000EE"/>
                </w:rPr>
                <w:t>part of this registration statement)</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w:anchor="page541">
              <w:r>
                <w:rPr>
                  <w:rFonts w:ascii="Times New Roman" w:cs="Times New Roman" w:eastAsia="Times New Roman" w:hAnsi="Times New Roman"/>
                  <w:sz w:val="18"/>
                  <w:szCs w:val="18"/>
                  <w:color w:val="0000EE"/>
                </w:rPr>
                <w:t>Research Collaboration and License Agreement, dated as of April 1, 2017, by and between</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w:anchor="page541">
              <w:r>
                <w:rPr>
                  <w:rFonts w:ascii="Times New Roman" w:cs="Times New Roman" w:eastAsia="Times New Roman" w:hAnsi="Times New Roman"/>
                  <w:sz w:val="18"/>
                  <w:szCs w:val="18"/>
                  <w:color w:val="0000EE"/>
                </w:rPr>
                <w:t>Gemini Therapeutics, Inc. and Sanquin Blood Supply Foundation.</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15"/>
                <w:szCs w:val="15"/>
                <w:color w:val="auto"/>
              </w:rPr>
            </w:pPr>
          </w:p>
        </w:tc>
        <w:tc>
          <w:tcPr>
            <w:tcW w:w="712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577">
              <w:r>
                <w:rPr>
                  <w:rFonts w:ascii="Times New Roman" w:cs="Times New Roman" w:eastAsia="Times New Roman" w:hAnsi="Times New Roman"/>
                  <w:sz w:val="18"/>
                  <w:szCs w:val="18"/>
                  <w:color w:val="0000EE"/>
                </w:rPr>
                <w:t>Consent of Withum Smith+Brown, PC, independent registered public accounting firm of FS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2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577">
              <w:r>
                <w:rPr>
                  <w:rFonts w:ascii="Times New Roman" w:cs="Times New Roman" w:eastAsia="Times New Roman" w:hAnsi="Times New Roman"/>
                  <w:sz w:val="18"/>
                  <w:szCs w:val="18"/>
                  <w:color w:val="0000EE"/>
                </w:rPr>
                <w:t>Development Corp.</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5"/>
                <w:szCs w:val="15"/>
                <w:color w:val="auto"/>
              </w:rPr>
            </w:pPr>
          </w:p>
        </w:tc>
        <w:tc>
          <w:tcPr>
            <w:tcW w:w="7120" w:type="dxa"/>
            <w:vAlign w:val="bottom"/>
            <w:gridSpan w:val="15"/>
          </w:tcPr>
          <w:p>
            <w:pPr>
              <w:spacing w:after="0" w:line="176" w:lineRule="exact"/>
              <w:rPr>
                <w:rFonts w:ascii="Times New Roman" w:cs="Times New Roman" w:eastAsia="Times New Roman" w:hAnsi="Times New Roman"/>
                <w:sz w:val="18"/>
                <w:szCs w:val="18"/>
                <w:color w:val="0000EE"/>
              </w:rPr>
            </w:pPr>
            <w:hyperlink w:anchor="page578">
              <w:r>
                <w:rPr>
                  <w:rFonts w:ascii="Times New Roman" w:cs="Times New Roman" w:eastAsia="Times New Roman" w:hAnsi="Times New Roman"/>
                  <w:sz w:val="18"/>
                  <w:szCs w:val="18"/>
                  <w:color w:val="0000EE"/>
                </w:rPr>
                <w:t>Consent of Ernst &amp; Young LLP, independent registered public accounting firm of Gemini</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578">
              <w:r>
                <w:rPr>
                  <w:rFonts w:ascii="Times New Roman" w:cs="Times New Roman" w:eastAsia="Times New Roman" w:hAnsi="Times New Roman"/>
                  <w:sz w:val="18"/>
                  <w:szCs w:val="18"/>
                  <w:color w:val="0000EE"/>
                </w:rPr>
                <w:t>Therapeutics, Inc.</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7"/>
                <w:szCs w:val="17"/>
                <w:color w:val="auto"/>
              </w:rPr>
            </w:pPr>
          </w:p>
        </w:tc>
        <w:tc>
          <w:tcPr>
            <w:tcW w:w="7120" w:type="dxa"/>
            <w:vAlign w:val="bottom"/>
            <w:gridSpan w:val="1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Consent of White &amp; Case LLP (included as part of the opinion filed as Exhibit 5.1 hereto and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Power of Attorney (contained on signature page to the proxy statement/prospectus forming part of</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this registration statement).</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Preliminary Proxy Card.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1"/>
                <w:szCs w:val="21"/>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1"/>
                <w:szCs w:val="21"/>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1"/>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1"/>
                <w:szCs w:val="21"/>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shd w:val="clear" w:color="auto" w:fill="CCEEFF"/>
          </w:tcPr>
          <w:p>
            <w:pPr>
              <w:spacing w:after="0"/>
              <w:rPr>
                <w:sz w:val="21"/>
                <w:szCs w:val="21"/>
                <w:color w:val="auto"/>
              </w:rPr>
            </w:pPr>
          </w:p>
        </w:tc>
        <w:tc>
          <w:tcPr>
            <w:tcW w:w="7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7" w:lineRule="auto"/>
        <w:tabs>
          <w:tab w:leader="none" w:pos="900" w:val="left"/>
        </w:tabs>
        <w:numPr>
          <w:ilvl w:val="0"/>
          <w:numId w:val="5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annexes, schedules, and certain exhibits to the Merger Agreement have been omitted pursuant to Item 601(b)(2) of Regulation S-K. FS Development hereby agrees to furnish supplementally a copy of any omitted annex, schedule or exhibit to the Commission upon request.</w:t>
      </w:r>
    </w:p>
    <w:p>
      <w:pPr>
        <w:spacing w:after="0" w:line="1" w:lineRule="exact"/>
        <w:rPr>
          <w:sz w:val="20"/>
          <w:szCs w:val="20"/>
          <w:color w:val="auto"/>
        </w:rPr>
      </w:pPr>
    </w:p>
    <w:p>
      <w:pPr>
        <w:ind w:left="860" w:hanging="406"/>
        <w:spacing w:after="0"/>
        <w:tabs>
          <w:tab w:leader="none" w:pos="860" w:val="left"/>
        </w:tabs>
        <w:numPr>
          <w:ilvl w:val="0"/>
          <w:numId w:val="5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pacing w:after="0" w:line="18"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5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by amendment.</w:t>
      </w:r>
    </w:p>
    <w:p>
      <w:pPr>
        <w:spacing w:after="0" w:line="19" w:lineRule="exact"/>
        <w:rPr>
          <w:sz w:val="20"/>
          <w:szCs w:val="20"/>
          <w:color w:val="auto"/>
        </w:rPr>
      </w:pPr>
    </w:p>
    <w:p>
      <w:pPr>
        <w:ind w:left="860" w:hanging="406"/>
        <w:spacing w:after="0"/>
        <w:tabs>
          <w:tab w:leader="none" w:pos="860" w:val="left"/>
        </w:tabs>
        <w:numPr>
          <w:ilvl w:val="0"/>
          <w:numId w:val="5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w:t>
      </w:r>
    </w:p>
    <w:p>
      <w:pPr>
        <w:sectPr>
          <w:pgSz w:w="11900" w:h="16838" w:orient="portrait"/>
          <w:cols w:equalWidth="0" w:num="1">
            <w:col w:w="9019"/>
          </w:cols>
          <w:pgMar w:left="1440" w:top="269" w:right="1440" w:bottom="1096"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096" w:gutter="0" w:footer="0" w:header="0"/>
          <w:type w:val="continuous"/>
        </w:sectPr>
      </w:pPr>
    </w:p>
    <w:bookmarkStart w:id="537" w:name="page538"/>
    <w:bookmarkEnd w:id="5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148" w:lineRule="exact"/>
        <w:rPr>
          <w:sz w:val="20"/>
          <w:szCs w:val="20"/>
          <w:color w:val="auto"/>
        </w:rPr>
      </w:pPr>
    </w:p>
    <w:p>
      <w:pPr>
        <w:ind w:left="1300" w:hanging="414"/>
        <w:spacing w:after="0"/>
        <w:tabs>
          <w:tab w:leader="none" w:pos="130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as follows:</w:t>
      </w:r>
    </w:p>
    <w:p>
      <w:pPr>
        <w:spacing w:after="0" w:line="157"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6"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2160" w:hanging="410"/>
        <w:spacing w:after="0"/>
        <w:tabs>
          <w:tab w:leader="none" w:pos="2160" w:val="left"/>
        </w:tabs>
        <w:numPr>
          <w:ilvl w:val="2"/>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44" w:lineRule="exact"/>
        <w:rPr>
          <w:rFonts w:ascii="Times New Roman" w:cs="Times New Roman" w:eastAsia="Times New Roman" w:hAnsi="Times New Roman"/>
          <w:sz w:val="18"/>
          <w:szCs w:val="18"/>
          <w:color w:val="auto"/>
        </w:rPr>
      </w:pPr>
    </w:p>
    <w:p>
      <w:pPr>
        <w:jc w:val="both"/>
        <w:ind w:left="2180" w:right="459" w:hanging="430"/>
        <w:spacing w:after="0" w:line="253" w:lineRule="auto"/>
        <w:tabs>
          <w:tab w:leader="none" w:pos="2271" w:val="left"/>
        </w:tabs>
        <w:numPr>
          <w:ilvl w:val="2"/>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24" w:lineRule="exact"/>
        <w:rPr>
          <w:rFonts w:ascii="Times New Roman" w:cs="Times New Roman" w:eastAsia="Times New Roman" w:hAnsi="Times New Roman"/>
          <w:sz w:val="18"/>
          <w:szCs w:val="18"/>
          <w:color w:val="auto"/>
        </w:rPr>
      </w:pPr>
    </w:p>
    <w:p>
      <w:pPr>
        <w:jc w:val="both"/>
        <w:ind w:left="2180" w:right="479" w:hanging="430"/>
        <w:spacing w:after="0" w:line="266" w:lineRule="auto"/>
        <w:tabs>
          <w:tab w:leader="none" w:pos="2375" w:val="left"/>
        </w:tabs>
        <w:numPr>
          <w:ilvl w:val="2"/>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46"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98"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800"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882"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2"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808"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7"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237" w:val="left"/>
        </w:tabs>
        <w:numPr>
          <w:ilvl w:val="2"/>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287" w:val="left"/>
        </w:tabs>
        <w:numPr>
          <w:ilvl w:val="2"/>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8" w:name="page539"/>
    <w:bookmarkEnd w:id="5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2220" w:right="459" w:hanging="434"/>
        <w:spacing w:after="0" w:line="266" w:lineRule="auto"/>
        <w:tabs>
          <w:tab w:leader="none" w:pos="2328" w:val="left"/>
        </w:tabs>
        <w:numPr>
          <w:ilvl w:val="3"/>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330" w:val="left"/>
        </w:tabs>
        <w:numPr>
          <w:ilvl w:val="2"/>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718"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07" w:lineRule="exact"/>
        <w:rPr>
          <w:rFonts w:ascii="Times New Roman" w:cs="Times New Roman" w:eastAsia="Times New Roman" w:hAnsi="Times New Roman"/>
          <w:sz w:val="18"/>
          <w:szCs w:val="18"/>
          <w:color w:val="auto"/>
        </w:rPr>
      </w:pPr>
    </w:p>
    <w:p>
      <w:pPr>
        <w:jc w:val="both"/>
        <w:ind w:left="1760" w:right="459" w:hanging="442"/>
        <w:spacing w:after="0" w:line="254" w:lineRule="auto"/>
        <w:tabs>
          <w:tab w:leader="none" w:pos="1873"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hereby undertakes that every prospectus: (i) that is filed pursuant to the immediately preceding paragraph,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24"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835"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460"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2"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9" w:name="page540"/>
    <w:bookmarkEnd w:id="5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Amendment No. 1 to the registration statement to be signed on its behalf by the undersigned, thereunto duly authorized in the City of San Francisco, California, on December 7, 2020.</w:t>
      </w:r>
    </w:p>
    <w:p>
      <w:pPr>
        <w:spacing w:after="0" w:line="17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18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By: /s/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51435</wp:posOffset>
            </wp:positionV>
            <wp:extent cx="20828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1">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Jim Tananbaum</w:t>
      </w:r>
    </w:p>
    <w:p>
      <w:pPr>
        <w:spacing w:after="0" w:line="7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5"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20" w:type="dxa"/>
            <w:vAlign w:val="bottom"/>
          </w:tcPr>
          <w:p>
            <w:pPr>
              <w:spacing w:after="0"/>
              <w:rPr>
                <w:sz w:val="20"/>
                <w:szCs w:val="20"/>
                <w:color w:val="auto"/>
              </w:rPr>
            </w:pPr>
          </w:p>
        </w:tc>
        <w:tc>
          <w:tcPr>
            <w:tcW w:w="4200" w:type="dxa"/>
            <w:vAlign w:val="bottom"/>
            <w:gridSpan w:val="2"/>
          </w:tcPr>
          <w:p>
            <w:pPr>
              <w:ind w:left="18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Dr. Jim Tananbaum</w:t>
            </w:r>
          </w:p>
        </w:tc>
        <w:tc>
          <w:tcPr>
            <w:tcW w:w="1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2020</w:t>
            </w:r>
          </w:p>
        </w:tc>
        <w:tc>
          <w:tcPr>
            <w:tcW w:w="0" w:type="dxa"/>
            <w:vAlign w:val="bottom"/>
          </w:tcPr>
          <w:p>
            <w:pPr>
              <w:spacing w:after="0"/>
              <w:rPr>
                <w:sz w:val="1"/>
                <w:szCs w:val="1"/>
                <w:color w:val="auto"/>
              </w:rPr>
            </w:pPr>
          </w:p>
        </w:tc>
      </w:tr>
      <w:tr>
        <w:trPr>
          <w:trHeight w:val="41"/>
        </w:trPr>
        <w:tc>
          <w:tcPr>
            <w:tcW w:w="4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Jim Tananbaum</w:t>
            </w:r>
          </w:p>
        </w:tc>
        <w:tc>
          <w:tcPr>
            <w:tcW w:w="120" w:type="dxa"/>
            <w:vAlign w:val="bottom"/>
            <w:vMerge w:val="continue"/>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Dennis Ryan</w:t>
            </w:r>
          </w:p>
        </w:tc>
        <w:tc>
          <w:tcPr>
            <w:tcW w:w="1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2020</w:t>
            </w:r>
          </w:p>
        </w:tc>
        <w:tc>
          <w:tcPr>
            <w:tcW w:w="0" w:type="dxa"/>
            <w:vAlign w:val="bottom"/>
          </w:tcPr>
          <w:p>
            <w:pPr>
              <w:spacing w:after="0"/>
              <w:rPr>
                <w:sz w:val="1"/>
                <w:szCs w:val="1"/>
                <w:color w:val="auto"/>
              </w:rPr>
            </w:pPr>
          </w:p>
        </w:tc>
      </w:tr>
      <w:tr>
        <w:trPr>
          <w:trHeight w:val="41"/>
        </w:trPr>
        <w:tc>
          <w:tcPr>
            <w:tcW w:w="4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Ryan</w:t>
            </w:r>
          </w:p>
        </w:tc>
        <w:tc>
          <w:tcPr>
            <w:tcW w:w="120" w:type="dxa"/>
            <w:vAlign w:val="bottom"/>
            <w:vMerge w:val="continue"/>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Vice President and 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2020</w:t>
            </w:r>
          </w:p>
        </w:tc>
        <w:tc>
          <w:tcPr>
            <w:tcW w:w="0" w:type="dxa"/>
            <w:vAlign w:val="bottom"/>
          </w:tcPr>
          <w:p>
            <w:pPr>
              <w:spacing w:after="0"/>
              <w:rPr>
                <w:sz w:val="1"/>
                <w:szCs w:val="1"/>
                <w:color w:val="auto"/>
              </w:rPr>
            </w:pPr>
          </w:p>
        </w:tc>
      </w:tr>
      <w:tr>
        <w:trPr>
          <w:trHeight w:val="41"/>
        </w:trPr>
        <w:tc>
          <w:tcPr>
            <w:tcW w:w="4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Michael Rome</w:t>
            </w:r>
          </w:p>
        </w:tc>
        <w:tc>
          <w:tcPr>
            <w:tcW w:w="1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2020</w:t>
            </w:r>
          </w:p>
        </w:tc>
        <w:tc>
          <w:tcPr>
            <w:tcW w:w="0" w:type="dxa"/>
            <w:vAlign w:val="bottom"/>
          </w:tcPr>
          <w:p>
            <w:pPr>
              <w:spacing w:after="0"/>
              <w:rPr>
                <w:sz w:val="1"/>
                <w:szCs w:val="1"/>
                <w:color w:val="auto"/>
              </w:rPr>
            </w:pPr>
          </w:p>
        </w:tc>
      </w:tr>
      <w:tr>
        <w:trPr>
          <w:trHeight w:val="40"/>
        </w:trPr>
        <w:tc>
          <w:tcPr>
            <w:tcW w:w="4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Vikram Bajaj</w:t>
            </w:r>
          </w:p>
        </w:tc>
        <w:tc>
          <w:tcPr>
            <w:tcW w:w="1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2020</w:t>
            </w:r>
          </w:p>
        </w:tc>
        <w:tc>
          <w:tcPr>
            <w:tcW w:w="0" w:type="dxa"/>
            <w:vAlign w:val="bottom"/>
          </w:tcPr>
          <w:p>
            <w:pPr>
              <w:spacing w:after="0"/>
              <w:rPr>
                <w:sz w:val="1"/>
                <w:szCs w:val="1"/>
                <w:color w:val="auto"/>
              </w:rPr>
            </w:pPr>
          </w:p>
        </w:tc>
      </w:tr>
      <w:tr>
        <w:trPr>
          <w:trHeight w:val="40"/>
        </w:trPr>
        <w:tc>
          <w:tcPr>
            <w:tcW w:w="4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1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2020</w:t>
            </w:r>
          </w:p>
        </w:tc>
        <w:tc>
          <w:tcPr>
            <w:tcW w:w="0" w:type="dxa"/>
            <w:vAlign w:val="bottom"/>
          </w:tcPr>
          <w:p>
            <w:pPr>
              <w:spacing w:after="0"/>
              <w:rPr>
                <w:sz w:val="1"/>
                <w:szCs w:val="1"/>
                <w:color w:val="auto"/>
              </w:rPr>
            </w:pPr>
          </w:p>
        </w:tc>
      </w:tr>
      <w:tr>
        <w:trPr>
          <w:trHeight w:val="40"/>
        </w:trPr>
        <w:tc>
          <w:tcPr>
            <w:tcW w:w="4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Dan Dubin</w:t>
            </w:r>
          </w:p>
        </w:tc>
        <w:tc>
          <w:tcPr>
            <w:tcW w:w="1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2020</w:t>
            </w:r>
          </w:p>
        </w:tc>
        <w:tc>
          <w:tcPr>
            <w:tcW w:w="0" w:type="dxa"/>
            <w:vAlign w:val="bottom"/>
          </w:tcPr>
          <w:p>
            <w:pPr>
              <w:spacing w:after="0"/>
              <w:rPr>
                <w:sz w:val="1"/>
                <w:szCs w:val="1"/>
                <w:color w:val="auto"/>
              </w:rPr>
            </w:pPr>
          </w:p>
        </w:tc>
      </w:tr>
      <w:tr>
        <w:trPr>
          <w:trHeight w:val="40"/>
        </w:trPr>
        <w:tc>
          <w:tcPr>
            <w:tcW w:w="4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Deepa Pakianathan</w:t>
            </w:r>
          </w:p>
        </w:tc>
        <w:tc>
          <w:tcPr>
            <w:tcW w:w="1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Dennis Ryan</w:t>
            </w:r>
          </w:p>
        </w:tc>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Dennis Ryan</w:t>
            </w:r>
          </w:p>
        </w:tc>
        <w:tc>
          <w:tcPr>
            <w:tcW w:w="1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4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As Attorney-In-Fact</w:t>
            </w:r>
          </w:p>
        </w:tc>
        <w:tc>
          <w:tcPr>
            <w:tcW w:w="1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2"/>
          </w:tcPr>
          <w:p>
            <w:pPr>
              <w:ind w:left="1500"/>
              <w:spacing w:after="0"/>
              <w:rPr>
                <w:sz w:val="20"/>
                <w:szCs w:val="20"/>
                <w:color w:val="auto"/>
              </w:rPr>
            </w:pPr>
            <w:r>
              <w:rPr>
                <w:rFonts w:ascii="Times New Roman" w:cs="Times New Roman" w:eastAsia="Times New Roman" w:hAnsi="Times New Roman"/>
                <w:sz w:val="18"/>
                <w:szCs w:val="18"/>
                <w:color w:val="auto"/>
              </w:rPr>
              <w:t>II-8</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9" w:right="1440" w:bottom="1440" w:gutter="0" w:footer="0" w:header="0"/>
        </w:sectPr>
      </w:pPr>
    </w:p>
    <w:bookmarkStart w:id="540" w:name="page541"/>
    <w:bookmarkEnd w:id="54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RESEARCH COLLABORATION AND LICENSE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Research Collaboration and License Agreement (“Agreement”), effective as of 1 April 2017 (the “Effective Date”) is made by and between Sanquin Blood Supply Foundation (“Sanquin”), a non-profit organization, with offices located at Plesmanlaan 125 (1066 CX) Amsterdam, and Gemini Therapeutics, Inc., a corporation organized under the laws of Delaware (“Gemini”), having a place of business at 400 Technology Square, Cambridge MA 02138. The Parties hereinafter jointly also referred to as the “Parties” and individually as a “Party”.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Gemini is a biopharmaceutical company that is engaged in the discovery and development of new therapeutic candidates.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Gemini intends to exercise its rights under the licenses and other rights granted herein to develop and commercialize novel therapeutic candidates.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Sanquin will conduct research and Gemini will fund such research and provide certain materials to Sanquin, and, as partial consideration therefore, Gemini will be granted certain licenses and other rights as more specifically set forth in the terms and conditions of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Research Program contemplated by this Agreement is of mutual interest to Gemini and Sanquin and furthers the research objectives of Sanquin as a nonprofit institution, and may benefit Gemini and Sanquin through the creation or discovery of new inventions and the development and commercialization of Licensed Products (as defined below).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promises and mutual covenants contained herein, and intending to be legally bound hereby, the Parties hereto agree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 “Accounting Standards” means, GAAP as generally and consistently applied throughout the relevant Party’s organization. Each Party will promptly notify the other in the event that it changes the Accounting Standards pursuant to which its records are maintained;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Party may only use internationally recognized accounting principles (e.g. IFRS, GAAP, etc.).</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 “Affiliate” means a legal entity that is controlling, controlled by or under common control with Gemini. For purposes of this Section 1.2, the word “control” means (x) the direct or indirect ownership of more than fifty percent (50%) of the outstanding voting securities of a legal entity, (y) the right to receive fifty percent (50%) or more of the profits or earnings of a legal entity, or (z) the right to determine the policy decisions of a legal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1" w:name="page542"/>
    <w:bookmarkEnd w:id="541"/>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1.3 “Calendar Quarter” mean the respective periods of three (3) consecutive calendar months ending on March 31, June 30, September 30 and December 31 of each Calendar Year.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“Calendar Year” means each successive period of twelve (12) months commencing on January 1 and ending on December 31.</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1.5 “Combination Product” means a product that contains a Licensed Product and one or more additional active ingredients that are not a Licensed Product, in each such case when any of the foregoing are co-formulated, co-packaged or sold under one pricing scheme (whether payment of such price is paid to the same or to more than one seller).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1.6 “Commercially Reasonable Efforts” means, with respect to Gemini’s obligations under this Agreement to clinically develop or commercialize a Licensed Product, the carrying out of such obligations or tasks with a level of effort and resources consistent with the commercially reasonable practices devoted by Gemini for a pharmaceutical product owned by it (or to which it has exclusive rights) at a similar stage of development or commercialization and of similar market potential, profit potential and strategic value, based on conditions then prevailing. Such efforts may take into account, without limitation, issues of safety and efficacy, manufacturing and supply considerations, regulatory approval process, product labeling, product profile, the competitiveness of alternative products in the marketplace, pricing/reimbursement, the product portfolio of Gemini and its Affiliates, the likely timing of regulatory approval and market entry, the patent and other proprietary position, the likelihood of regulatory approval and other relevant scientific, technical and commercial factors.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1.7 “Control” means, with respect to any Materials, Patent Rights, Know-How or other intellectual property rights, the possession (whether by ownership or license) by a Party of the ability to grant to the other Party a license or access as provided herein to such item, without violating the terms of any agreement or other arrangement with any third party.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1.8 “Development Plan” means the development and commercialization plan setting forth the timelines for research, preclinical and clinical development work with respect to the Licensed Product, and estimated dates for achieving the development and commercial milestone events set forth in Section 4.3(a), as set forth in Attachment D 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 “European Union” means the countries that are a member of the European Patent Convention as of the Effective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1.10 “FD&amp;C Act” means the United States Federal Food, Drug and Cosmetic Act,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 “Field” the treatment and prevention of diseases in humans.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1.12 “Sanquin Materials” means any biological or chemical materials Controlled by Sanquin and provided to Gemini under this Agreement, in each case, that are reasonably necessary or useful and available from Sanquin to exploit the licenses granted to Gemini 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1.13 “Gemini Materials” means any biological or chemical materials Controlled by Gemini and provided to Sanquin under this Agreement, in each case, that are necessary or useful for Sanquin to perform its obligations under the Research Plan. For clarity, the Parties acknowledge that Gemini Materials may be Licensed Products.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2" w:name="page543"/>
    <w:bookmarkEnd w:id="542"/>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1.14 “IND” means an Investigational New Drug Application as defined in the FD&amp;C Act and the regulations promulgated thereunder, or (b) the equivalent application to the equivalent regulatory authority in any other regulatory jurisdiction, including a Clinical Trial Authorization (“CTA”) to the European Medicines Agency, the filing of which is necessary to initiate or conduct clinical testing of a pharmaceutical product in humans in such jurisdiction.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1.15 “Know-How” means proprietary and confidential intellectual property, data, results, pre-clinical and clinical protocols and study data, chemical structures, chemical sequences, information, inventions, formulas, trade secrets, techniques, methods, processes, procedures and developments, and regulatory documentation, whether or not patentable or protectable by trade secret; except that “Know-How” does not include Patent Rights claiming any of the foregoing. “Know-How” also does not include Materials.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1.16 “Licensed Product” means any composition, drug, product, method or service, including Combination Products, (a) the researching, developing, making, using, importation, sale, offering for sale, importation, supply, administration or other exploitation of which, on a country-by-country basis, in the absence of the licenses granted to Gemini hereunder would infringe at least one Valid Claim of the Sanquin Patent Rights or the Research Program Patent Rights in such country, (b) that was previously a Licensed Product pursuant to Section (a) or (c) of this definition and on a country-by-country basis, has Market Exclusivity, or (c) the manufacture or use of which incorporates or is based on the use of Sanquin Background Know-How or Research Program Know-How in a material fashion.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1.17 “Market Exclusivity” means the period of data or marketing exclusivity granted by a regulatory authority during which a new pharmaceutical product is protected from direct competition in the country of sale, including, but not limited to, orphan drug designation and/or regulatory data exclusivity).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1.18 “Net Sales” means, with respect to any Licensed Product, cash receipts by Gemini or its Affiliates or sublicensees, as the case may be, for sales of such Licensed Product to a third party less the following amounts determined in accordance with GAAP used by Gemini to prepare its audited financial statements or such other generally accepted accounting principles outside the United States used by any Gemini, Affiliate or sublicensee (to the extent reasonably allocable to the sale of Licensed Product and to the extent not reimbursed by such third party):</w:t>
      </w:r>
    </w:p>
    <w:p>
      <w:pPr>
        <w:spacing w:after="0" w:line="180" w:lineRule="exact"/>
        <w:rPr>
          <w:sz w:val="20"/>
          <w:szCs w:val="20"/>
          <w:color w:val="auto"/>
        </w:rPr>
      </w:pPr>
    </w:p>
    <w:p>
      <w:pPr>
        <w:ind w:left="1540" w:hanging="236"/>
        <w:spacing w:after="0"/>
        <w:tabs>
          <w:tab w:leader="none" w:pos="154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credits or allowances, if any, on account of price adjustments, recalls, rejection or return of items previously sold;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7"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taxes, export taxes, excises, sales taxes, value added taxes, consumption taxes, duties or other taxes imposed upon and paid with respect to such sales (excluding income or franchise taxes of any kind);</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itemized insurance and transportation costs incurred in shipping Licensed Product;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3" w:name="page544"/>
    <w:bookmarkEnd w:id="543"/>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ind w:left="1560" w:hanging="256"/>
        <w:spacing w:after="0"/>
        <w:tabs>
          <w:tab w:leader="none" w:pos="156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quantity and cash discounts actually allowed; and</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54"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commercial rebates, wholesaler fees, chargebacks and retroactive price adjustments and any other similar allowances which effectively reduce the selling price.</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event that a Licensed Product is sold in any country in the form of a Combination Product, Net Sales of such combination product (a “Combination Product”) will be determined as follows:</w:t>
      </w:r>
    </w:p>
    <w:p>
      <w:pPr>
        <w:ind w:left="2540" w:hanging="670"/>
        <w:spacing w:after="0"/>
        <w:tabs>
          <w:tab w:leader="none" w:pos="2540" w:val="left"/>
        </w:tabs>
        <w:numPr>
          <w:ilvl w:val="0"/>
          <w:numId w:val="535"/>
        </w:numPr>
        <w:rPr>
          <w:rFonts w:ascii="Times New Roman" w:cs="Times New Roman" w:eastAsia="Times New Roman" w:hAnsi="Times New Roman"/>
          <w:sz w:val="36"/>
          <w:szCs w:val="36"/>
          <w:i w:val="1"/>
          <w:iCs w:val="1"/>
          <w:color w:val="auto"/>
          <w:vertAlign w:val="superscript"/>
        </w:rPr>
      </w:pP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Net Sales of the Combination Product, where:</w:t>
      </w:r>
    </w:p>
    <w:p>
      <w:pPr>
        <w:ind w:left="1720"/>
        <w:spacing w:after="0"/>
        <w:rPr>
          <w:rFonts w:ascii="Times New Roman" w:cs="Times New Roman" w:eastAsia="Times New Roman" w:hAnsi="Times New Roman"/>
          <w:sz w:val="36"/>
          <w:szCs w:val="36"/>
          <w:i w:val="1"/>
          <w:iCs w:val="1"/>
          <w:color w:val="auto"/>
          <w:vertAlign w:val="superscript"/>
        </w:rPr>
      </w:pPr>
      <w:r>
        <w:rPr>
          <w:rFonts w:ascii="Times New Roman" w:cs="Times New Roman" w:eastAsia="Times New Roman" w:hAnsi="Times New Roman"/>
          <w:sz w:val="18"/>
          <w:szCs w:val="18"/>
          <w:i w:val="1"/>
          <w:iCs w:val="1"/>
          <w:color w:val="auto"/>
        </w:rPr>
        <w:t>A +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-140335</wp:posOffset>
            </wp:positionV>
            <wp:extent cx="72009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p>
      <w:pPr>
        <w:spacing w:after="0" w:line="20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i w:val="1"/>
          <w:iCs w:val="1"/>
          <w:color w:val="auto"/>
        </w:rPr>
        <w:t>A=</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average invoice price in such country of the applicable Licensed Product if sold separately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without any other product) in such country.</w:t>
      </w:r>
    </w:p>
    <w:p>
      <w:pPr>
        <w:spacing w:after="0" w:line="158" w:lineRule="exact"/>
        <w:rPr>
          <w:sz w:val="20"/>
          <w:szCs w:val="20"/>
          <w:color w:val="auto"/>
        </w:rPr>
      </w:pPr>
    </w:p>
    <w:p>
      <w:pPr>
        <w:sectPr>
          <w:pgSz w:w="11900" w:h="16838" w:orient="portrait"/>
          <w:cols w:equalWidth="0" w:num="2">
            <w:col w:w="2320" w:space="720"/>
            <w:col w:w="8200"/>
          </w:cols>
          <w:pgMar w:left="320" w:top="220" w:right="339" w:bottom="1440" w:gutter="0" w:footer="0" w:header="0"/>
          <w:type w:val="continuous"/>
        </w:sectPr>
      </w:pPr>
    </w:p>
    <w:p>
      <w:pPr>
        <w:jc w:val="center"/>
        <w:ind w:left="620"/>
        <w:spacing w:after="0"/>
        <w:rPr>
          <w:sz w:val="20"/>
          <w:szCs w:val="20"/>
          <w:color w:val="auto"/>
        </w:rPr>
      </w:pPr>
      <w:r>
        <w:rPr>
          <w:rFonts w:ascii="Times New Roman" w:cs="Times New Roman" w:eastAsia="Times New Roman" w:hAnsi="Times New Roman"/>
          <w:sz w:val="17"/>
          <w:szCs w:val="17"/>
          <w:i w:val="1"/>
          <w:iCs w:val="1"/>
          <w:color w:val="auto"/>
        </w:rPr>
        <w:t>B=</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average invoice price in such country of any active ingredient in the Combination Product, if sold separately in such country.</w:t>
      </w:r>
    </w:p>
    <w:p>
      <w:pPr>
        <w:spacing w:after="0" w:line="162" w:lineRule="exact"/>
        <w:rPr>
          <w:sz w:val="20"/>
          <w:szCs w:val="20"/>
          <w:color w:val="auto"/>
        </w:rPr>
      </w:pPr>
    </w:p>
    <w:p>
      <w:pPr>
        <w:sectPr>
          <w:pgSz w:w="11900" w:h="16838" w:orient="portrait"/>
          <w:cols w:equalWidth="0" w:num="2">
            <w:col w:w="2320" w:space="720"/>
            <w:col w:w="8200"/>
          </w:cols>
          <w:pgMar w:left="320" w:top="220"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however, that if, in a specific country, the other active ingredients in such Combination Product are not sold separately in such country, the allocation of Net Sales for such Combination Product will be negotiated by the Parties in good faith. If the Parties are unable to agree on the apportionment and allocation required by this paragraph, such matter will be referred for dispute resolution in accordance with Section 12.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definition of Net Sales to be used for any sales or other transfers of Licensed Products by any sublicensee will be the definition agreed to by Gemini and any of its Affiliates with such sublicensee to the extent such terms are generally consistent with terms that are market prevailing, notwithstanding this definition in this Agreement (including with respect to any Combination Products). Any reporting of Net Sales hereunder, when relevant, will reflect the Net Sales definition and reporting obligations agreed to by Gemini and any of its Affiliates with a sublicensee.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Nothing herein will prevent Gemini or any of its Affiliates or sublicensees from selling, distributing or invoicing any Licensed Product at a discounted price for shipments to third parties in connection with clinical studies, compassionate or named patient sales, or an indigent program or similar bonafide arrangements in which such Party agrees to forego a normal profit margin for good faith business reasons;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monies received from such transactions will be included in Net Sales hereunder.</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sale or transfer of a Licensed Product between Gemini and any of its Affiliates or sublicensees will not result in any Net Sales, and Net Sales instead will be based on subsequent sales or distribution to the end user of such Licensed Product.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544" w:name="page545"/>
    <w:bookmarkEnd w:id="544"/>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1.19 “Non-Royalty Sublicense Income” means any payments, including upfront and milestone payments, that Gemini receives in consideration of Gemini granting any sublicense under any Sanquin Intellectual Property to a non-Affiliated third party, other than: (a) royalties or other sales-based payments on Licensed Products; (b) amounts received for the purchase of securities of Gemini at fair market value, as determined by Gemini’s Board of Directors in good faith unless there is an active market for such securities, in which case fair market value will be deemed to be the average of the closing prices of the securities on the applicable exchange or market over the thirty (30) day period ending three (3) days prior to the closing of such transaction (it being understood that any amounts paid in excess of fair market value will be deemed Non-Royalty Sublicense Income); (c) payments of loans or other debt obligations (it being understood that any such amounts that are later forgiven will be deemed Non-Royalty Sublicense Income); (d) the amounts paid to cover research, development or commercialization activities that are related to Licensed Products; (e) amounts paid in consideration for other patent or intellectual property rights owned or controlled by Gemini or any of its Affiliates, or for contractual obligations, that in each case, do not relate to Sanquin Intellectual Property, and (f) payments made to reimburse amounts paid with respect to the prosecution, defense, enforcement or maintenance of the Sanquin Patent Rights or Research Program Patent Rights.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1.20 “Patent Family” means a collection of patents and patent applications that all claim priority to a common patent application. In the event of a single patent or patent application that does not claim priority to another patent application, that single patent or patent application constitutes a Patent Family.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1.21 “Patent Rights” means (a) patents and patent applications, together with any unlisted patents and patent applications claiming priority thereto, and any continuations, continuations-in-part (to the extent related directly to the subject matter of the parent application or containing new information developed pursuant to the Research Program), reissues, reexamination certificates, substitutions, divisionals, supplementary protection certificates, renewals, registrations, extensions including all confirmations, revalidations, patents of addition, PCTs, and pediatric exclusivity periods and all foreign counterparts thereof, and any patents issued or issuing with respect to any of the foregoing, and (b) all official correspondence relating to the foregoing.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1.22 “Phase 1 Study” means a clinical study of a drug candidate in patients with the primary objective of characterizing its safety, tolerability, and pharmacokinetics and identifying a recommended dose and regimen for future studies as described in 21 C.F.R. 312.21(a), or a comparable clinical study prescribed by the relevant regulatory authority in a country other than the United States. The drug candidate can be administered to patients as a single agent or in combination with other investigational or marketed agents.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1.23 “Phase 2 Study” means a clinical study of a drug candidate in patients with the primary objective of characterizing its activity in a specific disease state as well as generating more detailed safety, tolerability, and pharmacokinetics information as described in 21 C.F.R. 312.21(b), or a comparable clinical study prescribed by the relevant regulatory authority in a country other than the United States including a human clinical trial that is also designed to satisfy the requirements of 21 C.F.R. 312.21(a) or corresponding foreign regulations and is subsequently optimized or expanded to satisfy the requirements of 21 C.F.R. 312.21(b) (or corresponding foreign regulations) or otherwise to enable a Phase 3 Clinical Study (e.g., a phase 1/2 trial). The relevant drug candidate may be administered to patients as a single agent or in combination with other investigational or marketed agents.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5" w:name="page546"/>
    <w:bookmarkEnd w:id="545"/>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1.24 “Phase 3 Study” means a clinical study of a drug candidate in patients that incorporates accepted endpoints for confirmation of statistical significance of efficacy and safety with the aim to obtain regulatory approval in any country as described in 21 C.F.R. 312.21(c), or a comparable clinical study prescribed by the relevant regulatory authority in a country other than the United States. The relevant drug candidate may be administered to patients as a single agent or in combination with other investigational or marketed agents.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1.25 “Research Plan” means the research plan setting forth the Parties’ roles and responsibilities under and budget for the Research Program as set forth in </w:t>
      </w:r>
      <w:r>
        <w:rPr>
          <w:rFonts w:ascii="Times New Roman" w:cs="Times New Roman" w:eastAsia="Times New Roman" w:hAnsi="Times New Roman"/>
          <w:sz w:val="18"/>
          <w:szCs w:val="18"/>
          <w:u w:val="single" w:color="auto"/>
          <w:color w:val="auto"/>
        </w:rPr>
        <w:t>Attachments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hereto, respectively, and as may be amended from time to time with written approval of the JSC during the Research Term.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1.26 “Research Program” means the research program funded by Gemini and to be conducted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1.27 “Research Program Intellectual Property” means all Research Program Know-How and Research Program Patent Rights.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1.28 “Research Program Know-How” means all Know-How, including Research Results, discovered or developed by or on behalf of a Party under the Research Program.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1.29 “Research Program Patent Rights” means all Patent Rights that are developed, created or conceived or conceived and reduced to practice by or on behalf of a Party under the Research Program, and any Patent Rights issuing therefrom or relating thereto through priority lineage, regardless of inventorship.</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1.30 “Research Results” means all any and all ideas, information, inventions, developments, animate and inanimate materials, including live animals, discoveries, software, know-how, methods, techniques, formulae, data, software, processes, methodologies, techniques, biological materials, software and works of authorship, whether patentable or copyrightable, that are first conceived, discovered, developed or reduced to practice, or generated in the performance of the Research Program by or on behalf of Sanquin employees or consultants during the Research Term, including any unpatentable inventions discovered, developed or conceived in the conduct of the Research Program during the Research Term.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1.31 “Research Term” means the period to complete all of the activities set forth in the Research Plan, subject to extension by mutual agreement of the Parties through the JSC.</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1.32 “Sanquin Intellectual Property” means the Sanquin Patent Rights, the Research Program Patent Rights and the Sanquin Background Know-How and Research Program Know-How.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1.33 “Sanquin Background Know-How” means all (a) Know-How discovered or developed by Sanquin before the Effective Date necessary or useful to research, develop, commercialize, make, use, sell, offer for sale, import or otherwise exploit factor H potentiating antibodies and (b) all Know-How used by or on behalf of Sanquin under the Research Program, and, for each of (a) and (b) that is Controlled by Sanquin.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6" w:name="page547"/>
    <w:bookmarkEnd w:id="546"/>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1.34 “Sanquin Patent Rights” means Patent application PCT/NL2015/050584, and any Patent Rights that claim priority to Patent application PCT/NL2015/050584 and/or an application to which Patent application PCT/NL2015/050584 claims priority.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1.35 “Territory” means worldwide.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1.36 “Valid Claim” means (a) any claim of any issued and unexpired Sanquin Patent Right or Research Program Patent Right which has not been rejected, revoked or held unenforceable or invalid by a decision of a court or other governmental agency of competent jurisdiction, unappealable or unappealed within the time allowed for appeal, and which has not been admitted to be invalid or unenforceable through reissue or disclaimer or otherwise, or (b) a claim of a pending patent application included in the Sanquin Patent Rights or the Research Program Patent Rights that has been filed and prosecuted in good faith and has not been (i) cancelled, withdrawn, abandoned or finally disallowed without the possibility of appeal or refiling of such application, or (ii) pending for more than twelve (12) years since such claim was first presented or is the result of amending another claim pending for more than twelve (12) years (either in the same application or in another application in the same jurisdiction) so as to add or delete an obvious limitation, so as to make a trivial or non-substantive change, or so as to change a matter of form.</w:t>
      </w:r>
    </w:p>
    <w:p>
      <w:pPr>
        <w:spacing w:after="0" w:line="188" w:lineRule="exact"/>
        <w:rPr>
          <w:sz w:val="20"/>
          <w:szCs w:val="20"/>
          <w:color w:val="auto"/>
        </w:rPr>
      </w:pPr>
    </w:p>
    <w:p>
      <w:pPr>
        <w:jc w:val="right"/>
        <w:ind w:left="660" w:right="7600" w:hanging="652"/>
        <w:spacing w:after="0" w:line="532" w:lineRule="auto"/>
        <w:tabs>
          <w:tab w:leader="none" w:pos="192" w:val="left"/>
        </w:tabs>
        <w:numPr>
          <w:ilvl w:val="0"/>
          <w:numId w:val="5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RESEARCH PROGRAM; GOVERNANCE </w:t>
      </w: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Obligations under Research Program</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b w:val="1"/>
          <w:bCs w:val="1"/>
          <w:color w:val="auto"/>
        </w:rPr>
      </w:pPr>
    </w:p>
    <w:p>
      <w:pPr>
        <w:jc w:val="both"/>
        <w:ind w:left="660" w:firstLine="644"/>
        <w:spacing w:after="0" w:line="266" w:lineRule="auto"/>
        <w:tabs>
          <w:tab w:leader="none" w:pos="1575"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conduct the Research Program in accordance with the Research Plan and the other terms and conditions of this Agreement. Gemini will pay for all approved costs and expenses as set forth in the Research Plan, payable in accordance with this Agreement. Sanquin shall not subcontract performance of any part of the Research Plan without the prior written consent of Gemini.</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5"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Sanquin shall own all right title and interest in and to any Research Program Intellectual Property. Gemini hereby assigns and transfers, and to the extent that it cannot presently assign or transfer, shall assign and transfer to Sanquin all of its right, title and interest in and to the Research Program Intellectual Property. Any reasonable and documented related out-of-pocket transfer expenses will be covered by Sanquin.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4"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would be licensed to Gemini as Sanquin Patent Rights, Sanquin Background Know-How, Research Program Patent Rights, Research Program Know-How or Sanquin Materials under the licenses of Section 8.1, prior to incorporating any technology or intellectual property of a third party in any Licensed Product being researched or developed under the Research Program or otherwise using the same in the performance of the Research Program, Sanquin will first discuss with Gemini such technology or intellectual property and its proposed use, and Sanquin and Gemini through the JSC will decide whether such use will be permitted.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7" w:name="page548"/>
    <w:bookmarkEnd w:id="547"/>
    <w:p>
      <w:pPr>
        <w:ind w:left="632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Governance.</w:t>
      </w:r>
    </w:p>
    <w:p>
      <w:pPr>
        <w:spacing w:after="0" w:line="225" w:lineRule="exact"/>
        <w:rPr>
          <w:sz w:val="20"/>
          <w:szCs w:val="20"/>
          <w:color w:val="auto"/>
        </w:rPr>
      </w:pPr>
    </w:p>
    <w:p>
      <w:pPr>
        <w:ind w:left="880" w:hanging="236"/>
        <w:spacing w:after="0"/>
        <w:tabs>
          <w:tab w:leader="none" w:pos="880"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Joint Steering</w:t>
      </w:r>
      <w:r>
        <w:rPr>
          <w:rFonts w:ascii="Times New Roman" w:cs="Times New Roman" w:eastAsia="Times New Roman" w:hAnsi="Times New Roman"/>
          <w:sz w:val="18"/>
          <w:szCs w:val="18"/>
          <w:color w:val="auto"/>
        </w:rPr>
        <w:t xml:space="preserve"> Committee.</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55" w:lineRule="auto"/>
        <w:tabs>
          <w:tab w:leader="none" w:pos="1516"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Formation; Composition</w:t>
      </w:r>
      <w:r>
        <w:rPr>
          <w:rFonts w:ascii="Times New Roman" w:cs="Times New Roman" w:eastAsia="Times New Roman" w:hAnsi="Times New Roman"/>
          <w:sz w:val="18"/>
          <w:szCs w:val="18"/>
          <w:color w:val="auto"/>
        </w:rPr>
        <w:t>. Within thirty (30) days of the Effective Date, the Parties will establish a joint steering committee (the “Joint Steering Committee” or “JSC”) comprised of two (2) representatives from each Party with sufficient seniority within the applicable Party to make decisions arising within the scope of the JSC’s responsibilities. The Parties’ initial representatives to the JSC are: Sanquin’s initial representatives are Richard Pouw PhD and Diana Wouters PhD and Gemini’s initial representatives are Scott Lauder PhD and Liping Zhang. The JSC may change its size from time to time by mutual consent of its members, provided that the JSC will consist at all times of an equal number of representatives of each of Sanquin and Gemini. Each Party may replace its JSC representatives at any time upon written notice to the other Party.</w:t>
      </w:r>
    </w:p>
    <w:p>
      <w:pPr>
        <w:spacing w:after="0" w:line="188" w:lineRule="exact"/>
        <w:rPr>
          <w:rFonts w:ascii="Times New Roman" w:cs="Times New Roman" w:eastAsia="Times New Roman" w:hAnsi="Times New Roman"/>
          <w:sz w:val="18"/>
          <w:szCs w:val="18"/>
          <w:color w:val="auto"/>
        </w:rPr>
      </w:pPr>
    </w:p>
    <w:p>
      <w:pPr>
        <w:ind w:left="1560" w:hanging="268"/>
        <w:spacing w:after="0"/>
        <w:tabs>
          <w:tab w:leader="none" w:pos="1560"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w:t>
      </w:r>
      <w:r>
        <w:rPr>
          <w:rFonts w:ascii="Times New Roman" w:cs="Times New Roman" w:eastAsia="Times New Roman" w:hAnsi="Times New Roman"/>
          <w:sz w:val="18"/>
          <w:szCs w:val="18"/>
          <w:color w:val="auto"/>
        </w:rPr>
        <w:t xml:space="preserve"> Responsibilities. The JSC will:</w:t>
      </w:r>
    </w:p>
    <w:p>
      <w:pPr>
        <w:spacing w:after="0" w:line="225" w:lineRule="exact"/>
        <w:rPr>
          <w:rFonts w:ascii="Times New Roman" w:cs="Times New Roman" w:eastAsia="Times New Roman" w:hAnsi="Times New Roman"/>
          <w:sz w:val="18"/>
          <w:szCs w:val="18"/>
          <w:color w:val="auto"/>
        </w:rPr>
      </w:pPr>
    </w:p>
    <w:p>
      <w:pPr>
        <w:ind w:left="2160" w:hanging="220"/>
        <w:spacing w:after="0"/>
        <w:tabs>
          <w:tab w:leader="none" w:pos="2160"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Research Program;</w:t>
      </w:r>
    </w:p>
    <w:p>
      <w:pPr>
        <w:spacing w:after="0" w:line="225" w:lineRule="exact"/>
        <w:rPr>
          <w:rFonts w:ascii="Times New Roman" w:cs="Times New Roman" w:eastAsia="Times New Roman" w:hAnsi="Times New Roman"/>
          <w:sz w:val="18"/>
          <w:szCs w:val="18"/>
          <w:color w:val="auto"/>
        </w:rPr>
      </w:pPr>
    </w:p>
    <w:p>
      <w:pPr>
        <w:ind w:left="1300" w:firstLine="640"/>
        <w:spacing w:after="0" w:line="261" w:lineRule="auto"/>
        <w:tabs>
          <w:tab w:leader="none" w:pos="2168"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updates to the goals set forth in the Research Plan after the first year of the Research Term, which will be added to Attachment A;</w:t>
      </w: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2160" w:hanging="220"/>
        <w:spacing w:after="0"/>
        <w:tabs>
          <w:tab w:leader="none" w:pos="2160"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updates to the budget in accordance with Section 2.6, which will be added to Attachment B;</w:t>
      </w:r>
    </w:p>
    <w:p>
      <w:pPr>
        <w:spacing w:after="0" w:line="206" w:lineRule="exact"/>
        <w:rPr>
          <w:rFonts w:ascii="Times New Roman" w:cs="Times New Roman" w:eastAsia="Times New Roman" w:hAnsi="Times New Roman"/>
          <w:sz w:val="18"/>
          <w:szCs w:val="18"/>
          <w:color w:val="auto"/>
        </w:rPr>
      </w:pPr>
    </w:p>
    <w:p>
      <w:pPr>
        <w:ind w:left="2160" w:hanging="220"/>
        <w:spacing w:after="0"/>
        <w:tabs>
          <w:tab w:leader="none" w:pos="2160"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any disagreement between the Parties relating to the Research Program or Research Plan;</w:t>
      </w:r>
    </w:p>
    <w:p>
      <w:pPr>
        <w:spacing w:after="0" w:line="225" w:lineRule="exact"/>
        <w:rPr>
          <w:rFonts w:ascii="Times New Roman" w:cs="Times New Roman" w:eastAsia="Times New Roman" w:hAnsi="Times New Roman"/>
          <w:sz w:val="18"/>
          <w:szCs w:val="18"/>
          <w:color w:val="auto"/>
        </w:rPr>
      </w:pPr>
    </w:p>
    <w:p>
      <w:pPr>
        <w:ind w:left="1300" w:firstLine="640"/>
        <w:spacing w:after="0" w:line="282" w:lineRule="auto"/>
        <w:tabs>
          <w:tab w:leader="none" w:pos="2161"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such additional subcommittees as it deems necessary to achieve the objectives and intent of the Research Program; and</w:t>
      </w:r>
    </w:p>
    <w:p>
      <w:pPr>
        <w:spacing w:after="0" w:line="161" w:lineRule="exact"/>
        <w:rPr>
          <w:rFonts w:ascii="Times New Roman" w:cs="Times New Roman" w:eastAsia="Times New Roman" w:hAnsi="Times New Roman"/>
          <w:sz w:val="18"/>
          <w:szCs w:val="18"/>
          <w:color w:val="auto"/>
        </w:rPr>
      </w:pPr>
    </w:p>
    <w:p>
      <w:pPr>
        <w:ind w:left="1300" w:firstLine="640"/>
        <w:spacing w:after="0" w:line="282" w:lineRule="auto"/>
        <w:tabs>
          <w:tab w:leader="none" w:pos="2147"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such other functions as appropriate to further the purposes of this Agreement, in each case as agreed in writing by the Parties.</w:t>
      </w:r>
    </w:p>
    <w:p>
      <w:pPr>
        <w:spacing w:after="0" w:line="161" w:lineRule="exact"/>
        <w:rPr>
          <w:rFonts w:ascii="Times New Roman" w:cs="Times New Roman" w:eastAsia="Times New Roman" w:hAnsi="Times New Roman"/>
          <w:sz w:val="18"/>
          <w:szCs w:val="18"/>
          <w:color w:val="auto"/>
        </w:rPr>
      </w:pPr>
    </w:p>
    <w:p>
      <w:pPr>
        <w:jc w:val="both"/>
        <w:ind w:left="640" w:firstLine="652"/>
        <w:spacing w:after="0" w:line="256" w:lineRule="auto"/>
        <w:tabs>
          <w:tab w:leader="none" w:pos="1603"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During the Research Term, the JSC will meet on a schedule that is mutually agreeable to the Parties, anticipated to be approximately one per month, during the Research Term, including after completion of key experiments set forth in the Research Plan, and at the end of the first year of the Research Term. Following the expiration of the Research Term, the Parties may agree to meet to discuss items previously addressed by the JSC or as contemplated by Section 9.4. The JSC may meet in person, by videoconference or by teleconference. Meetings of the JSC will be effective only if at least one (1) representative of each Party is present or participating in such meeting.</w:t>
      </w:r>
    </w:p>
    <w:p>
      <w:pPr>
        <w:spacing w:after="0" w:line="187" w:lineRule="exact"/>
        <w:rPr>
          <w:rFonts w:ascii="Times New Roman" w:cs="Times New Roman" w:eastAsia="Times New Roman" w:hAnsi="Times New Roman"/>
          <w:sz w:val="18"/>
          <w:szCs w:val="18"/>
          <w:color w:val="auto"/>
        </w:rPr>
      </w:pPr>
    </w:p>
    <w:p>
      <w:pPr>
        <w:jc w:val="both"/>
        <w:ind w:left="640" w:firstLine="652"/>
        <w:spacing w:after="0" w:line="258" w:lineRule="auto"/>
        <w:tabs>
          <w:tab w:leader="none" w:pos="1606"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Decision-Making</w:t>
      </w:r>
      <w:r>
        <w:rPr>
          <w:rFonts w:ascii="Times New Roman" w:cs="Times New Roman" w:eastAsia="Times New Roman" w:hAnsi="Times New Roman"/>
          <w:sz w:val="18"/>
          <w:szCs w:val="18"/>
          <w:color w:val="auto"/>
        </w:rPr>
        <w:t>. The representatives from each Party on the JSC will have, collectively, one (1) vote on behalf of that Party, and all decision making will be by consensus. If the JSC is unable to reach consensus on any issue or matter for which it is responsible, it will be escalated to Gemini’s Chief Executive Officer and Sanquin’s Director of Research for decision). In the event that Gemini’s Chief Executive Officer and Sanquin’s Director of Research are unable to resolve the issue or matter that was referred to them within thirty (30) of such referral, either Party may seek resolution pursuant to Article 12.</w:t>
      </w:r>
    </w:p>
    <w:p>
      <w:pPr>
        <w:spacing w:after="0" w:line="39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220" w:right="339" w:bottom="1440" w:gutter="0" w:footer="0" w:header="0"/>
        </w:sectPr>
      </w:pPr>
    </w:p>
    <w:bookmarkStart w:id="548" w:name="page549"/>
    <w:bookmarkEnd w:id="548"/>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Technology Transfer</w:t>
      </w:r>
      <w:r>
        <w:rPr>
          <w:rFonts w:ascii="Times New Roman" w:cs="Times New Roman" w:eastAsia="Times New Roman" w:hAnsi="Times New Roman"/>
          <w:sz w:val="18"/>
          <w:szCs w:val="18"/>
          <w:color w:val="auto"/>
        </w:rPr>
        <w:t xml:space="preserve">. Sanquin will provide Gemini with Sanquin Background Know-How and Research Program Know-How and Sanquin Materials, including nonclinical data (in </w:t>
      </w:r>
      <w:r>
        <w:rPr>
          <w:rFonts w:ascii="Times New Roman" w:cs="Times New Roman" w:eastAsia="Times New Roman" w:hAnsi="Times New Roman"/>
          <w:sz w:val="18"/>
          <w:szCs w:val="18"/>
          <w:i w:val="1"/>
          <w:iCs w:val="1"/>
          <w:color w:val="auto"/>
        </w:rPr>
        <w:t>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and manufacturing processes and methods that are required for use in the Research Program. Any reasonable and documented related out-of-pocket transfer expenses will be covered by Gemini.</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Sanquin Materials and Improvements</w:t>
      </w:r>
      <w:r>
        <w:rPr>
          <w:rFonts w:ascii="Times New Roman" w:cs="Times New Roman" w:eastAsia="Times New Roman" w:hAnsi="Times New Roman"/>
          <w:sz w:val="18"/>
          <w:szCs w:val="18"/>
          <w:color w:val="auto"/>
        </w:rPr>
        <w:t xml:space="preserve"> thereto.</w:t>
      </w:r>
    </w:p>
    <w:p>
      <w:pPr>
        <w:spacing w:after="0" w:line="225" w:lineRule="exact"/>
        <w:rPr>
          <w:sz w:val="20"/>
          <w:szCs w:val="20"/>
          <w:color w:val="auto"/>
        </w:rPr>
      </w:pPr>
    </w:p>
    <w:p>
      <w:pPr>
        <w:ind w:left="1540" w:hanging="236"/>
        <w:spacing w:after="0"/>
        <w:tabs>
          <w:tab w:leader="none" w:pos="1540"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Sanquin will use Sanquin Materials in the performance of the Research Program, and will provide the same to Gemini for analysis.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7"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improvements and modifications to the Sanquin Materials, or their manufacture and use (including, without limitation, all patent and other intellectual property or proprietary rights pertaining thereto) made by or on behalf of Sanquin in connection with the use of the Sanquin Materials in the Research Program will be Research Program Results and any Patent Rights relating thereto will be Research Program Patent Rights.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2.5 Gemini Materials and </w:t>
      </w:r>
      <w:r>
        <w:rPr>
          <w:rFonts w:ascii="Times New Roman" w:cs="Times New Roman" w:eastAsia="Times New Roman" w:hAnsi="Times New Roman"/>
          <w:sz w:val="18"/>
          <w:szCs w:val="18"/>
          <w:u w:val="single" w:color="auto"/>
          <w:color w:val="auto"/>
        </w:rPr>
        <w:t>Improvements</w:t>
      </w:r>
      <w:r>
        <w:rPr>
          <w:rFonts w:ascii="Times New Roman" w:cs="Times New Roman" w:eastAsia="Times New Roman" w:hAnsi="Times New Roman"/>
          <w:sz w:val="18"/>
          <w:szCs w:val="18"/>
          <w:color w:val="auto"/>
        </w:rPr>
        <w:t xml:space="preserve"> thereto.</w:t>
      </w:r>
    </w:p>
    <w:p>
      <w:pPr>
        <w:spacing w:after="0" w:line="225" w:lineRule="exact"/>
        <w:rPr>
          <w:sz w:val="20"/>
          <w:szCs w:val="20"/>
          <w:color w:val="auto"/>
        </w:rPr>
      </w:pPr>
    </w:p>
    <w:p>
      <w:pPr>
        <w:jc w:val="both"/>
        <w:ind w:left="660" w:firstLine="644"/>
        <w:spacing w:after="0" w:line="266" w:lineRule="auto"/>
        <w:tabs>
          <w:tab w:leader="none" w:pos="157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will provide Sanquin with Gemini Materials, and Gemini hereby authorizes Sanquin to use the Gemini Materials solely to perform its obligations under the Research Plan (“Permitted Purpose”) and not for any other purpose. Sanquin acknowledges that the Gemini Materials are or may be the subject of patents or patent applications owned by Sanquin or by Gemini.</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acknowledge that Gemini may also provide materials to Sanquin pursuant to a separate material transfer agreement or sponsored research agreement and that use of materials provided under any such agreement, and the results therefrom, shall be governed by the terms set forth in the relevant agreement.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9"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Sanquin agrees that the Gemini Materials will remain at all times the property of Gemini and will be kept only at Sanquin’s facilities and will be used only by Sanquin and its employees and only for the Permitted Purpose. Sanquin will not distribute or otherwise allow the release of the Gemini Materials to any third party. Sanquin will not, nor allow or encourage any third party to, modify, make improvements to Gemini Materials.</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7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of a breach of Section 2.5(c), Gemini will solely own all right title and interest in and to improvements and modifications to the Gemini Materials (collectively, the “</w:t>
      </w:r>
      <w:r>
        <w:rPr>
          <w:rFonts w:ascii="Times New Roman" w:cs="Times New Roman" w:eastAsia="Times New Roman" w:hAnsi="Times New Roman"/>
          <w:sz w:val="18"/>
          <w:szCs w:val="18"/>
          <w:u w:val="single" w:color="auto"/>
          <w:color w:val="auto"/>
        </w:rPr>
        <w:t>Gemini Improvements</w:t>
      </w:r>
      <w:r>
        <w:rPr>
          <w:rFonts w:ascii="Times New Roman" w:cs="Times New Roman" w:eastAsia="Times New Roman" w:hAnsi="Times New Roman"/>
          <w:sz w:val="18"/>
          <w:szCs w:val="18"/>
          <w:color w:val="auto"/>
        </w:rPr>
        <w: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9" w:name="page550"/>
    <w:bookmarkEnd w:id="549"/>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jc w:val="both"/>
        <w:ind w:left="660" w:firstLine="644"/>
        <w:spacing w:after="0" w:line="266" w:lineRule="auto"/>
        <w:tabs>
          <w:tab w:leader="none" w:pos="1559"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Sanquin hereby assigns and transfers, and to the extent that it cannot presently assign or transfer, shall assign and transfer, to Gemini all of its right, title and interest in and to the Gemini Improvements. Any reasonable and documented related out-of-pocket transfer expenses will be covered by Gemini.</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7"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limited authorization to use the Gemini Materials for the Permitted Purpose, nothing in this Agreement will be construed as an express or implied license or other right provided to Sanquin under any patent rights or other intellectual property or proprietary rights of Gemini or any third parties.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9"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Materials and modifications thereto may constitute Licensed Products which shall in any event be the case if Gemini Materials relating to Factor H potentiating antibodies and/or modifications thereto are, as per Gemini’s request, subject to characterization, evaluation and/or other testing by Sanquin in the course of the Research Program.</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Budget</w:t>
      </w:r>
      <w:r>
        <w:rPr>
          <w:rFonts w:ascii="Times New Roman" w:cs="Times New Roman" w:eastAsia="Times New Roman" w:hAnsi="Times New Roman"/>
          <w:sz w:val="18"/>
          <w:szCs w:val="18"/>
          <w:color w:val="auto"/>
        </w:rPr>
        <w:t xml:space="preserve">. The initial budget for the Research Program, broken down by Calendar Quarter, is set forth in </w:t>
      </w:r>
      <w:r>
        <w:rPr>
          <w:rFonts w:ascii="Times New Roman" w:cs="Times New Roman" w:eastAsia="Times New Roman" w:hAnsi="Times New Roman"/>
          <w:sz w:val="18"/>
          <w:szCs w:val="18"/>
          <w:u w:val="single" w:color="auto"/>
          <w:color w:val="auto"/>
        </w:rPr>
        <w:t>Attachment B</w:t>
      </w:r>
      <w:r>
        <w:rPr>
          <w:rFonts w:ascii="Times New Roman" w:cs="Times New Roman" w:eastAsia="Times New Roman" w:hAnsi="Times New Roman"/>
          <w:sz w:val="18"/>
          <w:szCs w:val="18"/>
          <w:color w:val="auto"/>
        </w:rPr>
        <w:t>. The budget is subject to amendment by the JSC in accordance with Section 2.2(a)(ii).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TERM OF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term of this Agreement will begin on the Effective Date and, unless terminated sooner pursuant to Section 10.1, will continue in effect (and the royalty obligation will continue in effect during the Term to the extent set forth in Section 4.5) on a country-by-country and Licensed Product-by-Licensed Product basis until the later of (i) the expiration of the last Valid Claim of each of the Sanquin Patent Rights and the Research Program Patent Rights in such country for such Licensed Product, (ii) seven (7) years after the First Commercial Sale of such Licensed Product in such Country, or (iii) the date on which there is no longer Market Exclusivity for such Licensed Product in such country, whereupon the license in such country for such Licensed Product will automatically become non-exclusive, perpetual and fully paid-up (the “Term”). “First Commercial Sale” means, on a Licensed Product-by-Licensed Product and country-by-country basis, the date of the first sale for value by or on behalf of Gemini or any Affiliate or sublicensee of Gemini to a third party of such Licensed Product for end use or consumption of such Licensed Product. First Commercial Sale excludes any sale or other distribution for use solely in a clinical trial or other development activity, reasonable and customary promotional use (including samples), or for compassionate use or on a named patient basis.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0" w:name="page551"/>
    <w:bookmarkEnd w:id="550"/>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FINANCIALS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Research Plan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6" w:lineRule="auto"/>
        <w:tabs>
          <w:tab w:leader="none" w:pos="1553"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Research Term, as support for work properly performed by or on behalf of Sanquin in accordance with this Agreement and the Research Plan, Gemini will pay the amounts specified in </w:t>
      </w:r>
      <w:r>
        <w:rPr>
          <w:rFonts w:ascii="Times New Roman" w:cs="Times New Roman" w:eastAsia="Times New Roman" w:hAnsi="Times New Roman"/>
          <w:sz w:val="18"/>
          <w:szCs w:val="18"/>
          <w:u w:val="single" w:color="auto"/>
          <w:color w:val="auto"/>
        </w:rPr>
        <w:t>Attachment B</w:t>
      </w:r>
      <w:r>
        <w:rPr>
          <w:rFonts w:ascii="Times New Roman" w:cs="Times New Roman" w:eastAsia="Times New Roman" w:hAnsi="Times New Roman"/>
          <w:sz w:val="18"/>
          <w:szCs w:val="18"/>
          <w:color w:val="auto"/>
        </w:rPr>
        <w:t xml:space="preserve"> (including reasonable and documented direct external expenses incurred by Sanquin in accordance with the Research Plan without mark-up in categories and amounts agreed to by the Parties through the JSC) in accordance with the procedure set forth on </w:t>
      </w:r>
      <w:r>
        <w:rPr>
          <w:rFonts w:ascii="Times New Roman" w:cs="Times New Roman" w:eastAsia="Times New Roman" w:hAnsi="Times New Roman"/>
          <w:sz w:val="18"/>
          <w:szCs w:val="18"/>
          <w:u w:val="single" w:color="auto"/>
          <w:color w:val="auto"/>
        </w:rPr>
        <w:t>Attachment C</w:t>
      </w:r>
      <w:r>
        <w:rPr>
          <w:rFonts w:ascii="Times New Roman" w:cs="Times New Roman" w:eastAsia="Times New Roman" w:hAnsi="Times New Roman"/>
          <w:sz w:val="18"/>
          <w:szCs w:val="18"/>
          <w:color w:val="auto"/>
        </w:rPr>
        <w:t>. If at any time Sanquin determines that it will require additional funds for the Research Program, it will notify Gemini through the JSC and provide a good faith estimate and itemized budget of the additional amount. Gemini will not be liable for any costs in excess of the amount set forth in Attachment B unless the JSC has approved such change to the Research Plan budget.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payments will clearly identify the Research Program. All payments are to be made by wire transfer, banking information is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Banking Information: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ACCOUNT HOLDER</w:t>
      </w:r>
    </w:p>
    <w:p>
      <w:pPr>
        <w:spacing w:after="0" w:line="18"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ANQUIN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LOOD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UPPLY</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OSTBUS</w:t>
            </w:r>
            <w:r>
              <w:rPr>
                <w:rFonts w:ascii="Times New Roman" w:cs="Times New Roman" w:eastAsia="Times New Roman" w:hAnsi="Times New Roman"/>
                <w:sz w:val="18"/>
                <w:szCs w:val="18"/>
                <w:color w:val="auto"/>
              </w:rPr>
              <w:t xml:space="preserve"> 9892</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POSTCODE - TOWN/CITY</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1006 AN A</w:t>
            </w:r>
            <w:r>
              <w:rPr>
                <w:rFonts w:ascii="Times New Roman" w:cs="Times New Roman" w:eastAsia="Times New Roman" w:hAnsi="Times New Roman"/>
                <w:sz w:val="12"/>
                <w:szCs w:val="12"/>
                <w:color w:val="auto"/>
              </w:rPr>
              <w:t>MSTERDAM</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COUNTRY</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ETHERLANDS</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VAT NUMBER</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NL806388237B01</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CONTACT PERSON</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INANCE</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2"/>
                <w:szCs w:val="12"/>
                <w:color w:val="auto"/>
              </w:rPr>
              <w:t>ONTROL</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+31 20 512 33 68</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FAX</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spacing w:after="0"/>
              <w:rPr>
                <w:sz w:val="18"/>
                <w:szCs w:val="18"/>
                <w:color w:val="auto"/>
              </w:rPr>
            </w:pPr>
          </w:p>
        </w:tc>
      </w:tr>
      <w:tr>
        <w:trPr>
          <w:trHeight w:val="234"/>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DEBITEUREN@SANQUIN.NL</w:t>
            </w:r>
          </w:p>
        </w:tc>
      </w:tr>
      <w:tr>
        <w:trPr>
          <w:trHeight w:val="392"/>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BANK</w:t>
            </w: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8"/>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NAME</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ABN AMRO B</w:t>
            </w:r>
            <w:r>
              <w:rPr>
                <w:rFonts w:ascii="Times New Roman" w:cs="Times New Roman" w:eastAsia="Times New Roman" w:hAnsi="Times New Roman"/>
                <w:sz w:val="12"/>
                <w:szCs w:val="12"/>
                <w:color w:val="auto"/>
              </w:rPr>
              <w:t>ANK</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BRANCH ADDRESS</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AELSE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INGEL</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POSTCODE - TOWN/CITY</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2"/>
                <w:szCs w:val="12"/>
                <w:color w:val="auto"/>
              </w:rPr>
              <w:t>TRECHT</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COUNTRY</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ETHERLANDS</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 NUMBER</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0636 6379 21</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IBAN</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NL39 ABNA 0636 6379 21</w:t>
            </w:r>
          </w:p>
        </w:tc>
      </w:tr>
      <w:tr>
        <w:trPr>
          <w:trHeight w:val="234"/>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BIC CODE (SWIFT)</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ABNANL2A</w:t>
            </w:r>
          </w:p>
        </w:tc>
      </w:tr>
    </w:tbl>
    <w:p>
      <w:pPr>
        <w:spacing w:after="0" w:line="198" w:lineRule="exact"/>
        <w:rPr>
          <w:sz w:val="20"/>
          <w:szCs w:val="20"/>
          <w:color w:val="auto"/>
        </w:rPr>
      </w:pPr>
    </w:p>
    <w:p>
      <w:pPr>
        <w:jc w:val="both"/>
        <w:ind w:left="660" w:firstLine="644"/>
        <w:spacing w:after="0" w:line="266" w:lineRule="auto"/>
        <w:tabs>
          <w:tab w:leader="none" w:pos="1601"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any equipment, laboratory animals, or any other tangible materials made or acquired with funds provided under this Agreement, except for Gemini Materials, will vest in Sanquin, and such equipment, animals, or tangible materials will remain the property of Sanquin following termination or expiration of this Agreement (but subject to any license grants to Gemini 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Upfront Payment</w:t>
      </w:r>
      <w:r>
        <w:rPr>
          <w:rFonts w:ascii="Times New Roman" w:cs="Times New Roman" w:eastAsia="Times New Roman" w:hAnsi="Times New Roman"/>
          <w:sz w:val="18"/>
          <w:szCs w:val="18"/>
          <w:color w:val="auto"/>
        </w:rPr>
        <w:t>. Upon the Effective Date, Gemini will pay to Sanquin a one-time, non-refundable payment of one hundred thousand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($100,000). Such payment will be made by wire transfer of immediately available funds into the account specified in Section 4.l(a).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1" w:name="page552"/>
    <w:bookmarkEnd w:id="551"/>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Milestone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6" w:lineRule="auto"/>
        <w:tabs>
          <w:tab w:leader="none" w:pos="1566"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Development &amp; Commercial Milestone Payments</w:t>
      </w:r>
      <w:r>
        <w:rPr>
          <w:rFonts w:ascii="Times New Roman" w:cs="Times New Roman" w:eastAsia="Times New Roman" w:hAnsi="Times New Roman"/>
          <w:sz w:val="18"/>
          <w:szCs w:val="18"/>
          <w:color w:val="auto"/>
        </w:rPr>
        <w:t>. Subject to the remainder of this Section 4.3(a), Gemini will make the following development and commercial milestone payments to Sanquin following achievement of each milestone event by Gemini or any of its Affiliates or any sublicensee: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One-Time</w:t>
            </w:r>
          </w:p>
        </w:tc>
      </w:tr>
      <w:tr>
        <w:trPr>
          <w:trHeight w:val="216"/>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Milestone</w:t>
            </w:r>
          </w:p>
        </w:tc>
      </w:tr>
      <w:tr>
        <w:trPr>
          <w:trHeight w:val="229"/>
        </w:trPr>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Payment</w:t>
            </w:r>
          </w:p>
        </w:tc>
      </w:tr>
      <w:tr>
        <w:trPr>
          <w:trHeight w:val="245"/>
        </w:trPr>
        <w:tc>
          <w:tcPr>
            <w:tcW w:w="560" w:type="dxa"/>
            <w:vAlign w:val="bottom"/>
          </w:tcPr>
          <w:p>
            <w:pPr>
              <w:spacing w:after="0"/>
              <w:rPr>
                <w:sz w:val="21"/>
                <w:szCs w:val="21"/>
                <w:color w:val="auto"/>
              </w:rPr>
            </w:pPr>
          </w:p>
        </w:tc>
        <w:tc>
          <w:tcPr>
            <w:tcW w:w="93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Development &amp; Commercial Milestone Event</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U.S. dollars)</w:t>
            </w:r>
          </w:p>
        </w:tc>
      </w:tr>
      <w:tr>
        <w:trPr>
          <w:trHeight w:val="216"/>
        </w:trPr>
        <w:tc>
          <w:tcPr>
            <w:tcW w:w="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top w:val="single" w:sz="8" w:color="CCEEFF"/>
            </w:tcBorders>
            <w:shd w:val="clear" w:color="auto" w:fill="CCEEFF"/>
          </w:tcPr>
          <w:p>
            <w:pPr>
              <w:spacing w:after="0"/>
              <w:rPr>
                <w:sz w:val="18"/>
                <w:szCs w:val="18"/>
                <w:color w:val="auto"/>
              </w:rPr>
            </w:pPr>
          </w:p>
        </w:tc>
        <w:tc>
          <w:tcPr>
            <w:tcW w:w="8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IND filing for a Licensed Product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9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First dosing in the first Phase 1 Study of a Licensed Product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93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First dosing in the first Phase 2 Study of a Licensed Product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450,000</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9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First dosing in the first Phase 3 Study of a Licensed Product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93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First regulatory approval for sale in the U.S. of a Licensed Product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3,500,000</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9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First regulatory approval for sale in the European Union or Japan of a Licensed Product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r>
      <w:tr>
        <w:trPr>
          <w:trHeight w:val="198"/>
        </w:trPr>
        <w:tc>
          <w:tcPr>
            <w:tcW w:w="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7.</w:t>
            </w:r>
          </w:p>
        </w:tc>
        <w:tc>
          <w:tcPr>
            <w:tcW w:w="9360" w:type="dxa"/>
            <w:vAlign w:val="bottom"/>
            <w:gridSpan w:val="3"/>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First regulatory approval for sale in the U.S., European Union or Japan of a Licensed Product for an additional indication</w:t>
            </w: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3,000,000</w:t>
            </w:r>
          </w:p>
        </w:tc>
      </w:tr>
      <w:tr>
        <w:trPr>
          <w:trHeight w:val="234"/>
        </w:trPr>
        <w:tc>
          <w:tcPr>
            <w:tcW w:w="560" w:type="dxa"/>
            <w:vAlign w:val="bottom"/>
            <w:shd w:val="clear" w:color="auto" w:fill="CCEEFF"/>
          </w:tcPr>
          <w:p>
            <w:pPr>
              <w:spacing w:after="0"/>
              <w:rPr>
                <w:sz w:val="20"/>
                <w:szCs w:val="20"/>
                <w:color w:val="auto"/>
              </w:rPr>
            </w:pPr>
          </w:p>
        </w:tc>
        <w:tc>
          <w:tcPr>
            <w:tcW w:w="93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(beyond the first indication)</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8.</w:t>
            </w:r>
          </w:p>
        </w:tc>
        <w:tc>
          <w:tcPr>
            <w:tcW w:w="9360" w:type="dxa"/>
            <w:vAlign w:val="bottom"/>
            <w:gridSpan w:val="3"/>
          </w:tcPr>
          <w:p>
            <w:pPr>
              <w:ind w:left="320"/>
              <w:spacing w:after="0" w:line="198" w:lineRule="exact"/>
              <w:rPr>
                <w:sz w:val="20"/>
                <w:szCs w:val="20"/>
                <w:color w:val="auto"/>
              </w:rPr>
            </w:pPr>
            <w:r>
              <w:rPr>
                <w:rFonts w:ascii="Times New Roman" w:cs="Times New Roman" w:eastAsia="Times New Roman" w:hAnsi="Times New Roman"/>
                <w:sz w:val="18"/>
                <w:szCs w:val="18"/>
                <w:color w:val="auto"/>
              </w:rPr>
              <w:t>First Calendar Year in which the cumulative aggregate Net Sales of all Licensed Products taken together on which Gemini</w:t>
            </w:r>
          </w:p>
        </w:tc>
        <w:tc>
          <w:tcPr>
            <w:tcW w:w="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3,000,000</w:t>
            </w:r>
          </w:p>
        </w:tc>
      </w:tr>
      <w:tr>
        <w:trPr>
          <w:trHeight w:val="234"/>
        </w:trPr>
        <w:tc>
          <w:tcPr>
            <w:tcW w:w="560" w:type="dxa"/>
            <w:vAlign w:val="bottom"/>
          </w:tcPr>
          <w:p>
            <w:pPr>
              <w:spacing w:after="0"/>
              <w:rPr>
                <w:sz w:val="20"/>
                <w:szCs w:val="20"/>
                <w:color w:val="auto"/>
              </w:rPr>
            </w:pPr>
          </w:p>
        </w:tc>
        <w:tc>
          <w:tcPr>
            <w:tcW w:w="9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paid a royalty exceed $100 million</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9.</w:t>
            </w:r>
          </w:p>
        </w:tc>
        <w:tc>
          <w:tcPr>
            <w:tcW w:w="9360" w:type="dxa"/>
            <w:vAlign w:val="bottom"/>
            <w:gridSpan w:val="3"/>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First Calendar Year in which the cumulative aggregate Net Sales of all Licensed Products taken together on which Gemini</w:t>
            </w: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5,000,000</w:t>
            </w:r>
          </w:p>
        </w:tc>
      </w:tr>
      <w:tr>
        <w:trPr>
          <w:trHeight w:val="234"/>
        </w:trPr>
        <w:tc>
          <w:tcPr>
            <w:tcW w:w="560" w:type="dxa"/>
            <w:vAlign w:val="bottom"/>
            <w:shd w:val="clear" w:color="auto" w:fill="CCEEFF"/>
          </w:tcPr>
          <w:p>
            <w:pPr>
              <w:spacing w:after="0"/>
              <w:rPr>
                <w:sz w:val="20"/>
                <w:szCs w:val="20"/>
                <w:color w:val="auto"/>
              </w:rPr>
            </w:pPr>
          </w:p>
        </w:tc>
        <w:tc>
          <w:tcPr>
            <w:tcW w:w="93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paid a royalty exceed $250 million</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w:t>
            </w:r>
          </w:p>
        </w:tc>
        <w:tc>
          <w:tcPr>
            <w:tcW w:w="9360" w:type="dxa"/>
            <w:vAlign w:val="bottom"/>
            <w:gridSpan w:val="3"/>
          </w:tcPr>
          <w:p>
            <w:pPr>
              <w:ind w:left="320"/>
              <w:spacing w:after="0" w:line="198" w:lineRule="exact"/>
              <w:rPr>
                <w:sz w:val="20"/>
                <w:szCs w:val="20"/>
                <w:color w:val="auto"/>
              </w:rPr>
            </w:pPr>
            <w:r>
              <w:rPr>
                <w:rFonts w:ascii="Times New Roman" w:cs="Times New Roman" w:eastAsia="Times New Roman" w:hAnsi="Times New Roman"/>
                <w:sz w:val="18"/>
                <w:szCs w:val="18"/>
                <w:color w:val="auto"/>
              </w:rPr>
              <w:t>First Calendar Year in which the cumulative aggregate Net Sales of all Licensed Products taken together on which Gemini</w:t>
            </w:r>
          </w:p>
        </w:tc>
        <w:tc>
          <w:tcPr>
            <w:tcW w:w="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10,000,000</w:t>
            </w:r>
          </w:p>
        </w:tc>
      </w:tr>
      <w:tr>
        <w:trPr>
          <w:trHeight w:val="234"/>
        </w:trPr>
        <w:tc>
          <w:tcPr>
            <w:tcW w:w="560" w:type="dxa"/>
            <w:vAlign w:val="bottom"/>
          </w:tcPr>
          <w:p>
            <w:pPr>
              <w:spacing w:after="0"/>
              <w:rPr>
                <w:sz w:val="20"/>
                <w:szCs w:val="20"/>
                <w:color w:val="auto"/>
              </w:rPr>
            </w:pPr>
          </w:p>
        </w:tc>
        <w:tc>
          <w:tcPr>
            <w:tcW w:w="9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paid a royalty exceed $500 million</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Each of the first six (6) milestone payments set forth in the table above are payable only one (1) time.</w:t>
      </w:r>
    </w:p>
    <w:p>
      <w:pPr>
        <w:spacing w:after="0" w:line="229" w:lineRule="exact"/>
        <w:rPr>
          <w:sz w:val="20"/>
          <w:szCs w:val="20"/>
          <w:color w:val="auto"/>
        </w:rPr>
      </w:pPr>
    </w:p>
    <w:p>
      <w:pPr>
        <w:jc w:val="both"/>
        <w:ind w:left="660" w:right="20" w:firstLine="648"/>
        <w:spacing w:after="0" w:line="225" w:lineRule="auto"/>
        <w:rPr>
          <w:sz w:val="20"/>
          <w:szCs w:val="20"/>
          <w:color w:val="auto"/>
        </w:rPr>
      </w:pPr>
      <w:r>
        <w:rPr>
          <w:rFonts w:ascii="Times New Roman" w:cs="Times New Roman" w:eastAsia="Times New Roman" w:hAnsi="Times New Roman"/>
          <w:sz w:val="18"/>
          <w:szCs w:val="18"/>
          <w:color w:val="auto"/>
        </w:rPr>
        <w:t>The seventh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milestone payment set forth in the table above is payable each time a Licensed Product achieves the relevant milestone event with respect to an additional indication, but is payable only one (1) time per each indication per Licensed Product, regardless of the number of countries in which such Licensed Product is approved for such indication.</w:t>
      </w:r>
    </w:p>
    <w:p>
      <w:pPr>
        <w:spacing w:after="0" w:line="204" w:lineRule="exact"/>
        <w:rPr>
          <w:sz w:val="20"/>
          <w:szCs w:val="20"/>
          <w:color w:val="auto"/>
        </w:rPr>
      </w:pPr>
    </w:p>
    <w:p>
      <w:pPr>
        <w:jc w:val="both"/>
        <w:ind w:left="660" w:firstLine="648"/>
        <w:spacing w:after="0" w:line="216" w:lineRule="auto"/>
        <w:rPr>
          <w:sz w:val="20"/>
          <w:szCs w:val="20"/>
          <w:color w:val="auto"/>
        </w:rPr>
      </w:pPr>
      <w:r>
        <w:rPr>
          <w:rFonts w:ascii="Times New Roman" w:cs="Times New Roman" w:eastAsia="Times New Roman" w:hAnsi="Times New Roman"/>
          <w:sz w:val="18"/>
          <w:szCs w:val="18"/>
          <w:color w:val="auto"/>
        </w:rPr>
        <w:t>The eighth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ninth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and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milestone payments set forth in the table above are payable only (1) time regardless of the number of times the relevant milestone event is achieved.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2" w:name="page553"/>
    <w:bookmarkEnd w:id="552"/>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ind w:left="660" w:right="20" w:firstLine="644"/>
        <w:spacing w:after="0" w:line="282" w:lineRule="auto"/>
        <w:tabs>
          <w:tab w:leader="none" w:pos="1563"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 Milestone Payments</w:t>
      </w:r>
      <w:r>
        <w:rPr>
          <w:rFonts w:ascii="Times New Roman" w:cs="Times New Roman" w:eastAsia="Times New Roman" w:hAnsi="Times New Roman"/>
          <w:sz w:val="18"/>
          <w:szCs w:val="18"/>
          <w:color w:val="auto"/>
        </w:rPr>
        <w:t>. Gemini will make a payment of two hundred fifty thousand U.S. dollars ($250,000) following the grant of the first patent of each patent family included in the Research Patent Rights during the Term. This is payable once per Patent Family.</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6"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Payment</w:t>
      </w:r>
      <w:r>
        <w:rPr>
          <w:rFonts w:ascii="Times New Roman" w:cs="Times New Roman" w:eastAsia="Times New Roman" w:hAnsi="Times New Roman"/>
          <w:sz w:val="18"/>
          <w:szCs w:val="18"/>
          <w:color w:val="auto"/>
        </w:rPr>
        <w:t>. Gemini will notify and pay to Sanquin the amounts set forth in Sections 4.3(a) and 4.3(b) within sixty (60) days after the achievement of the applicable milestone event by Gemini, or within sixty (60) days after Gemini has knowledge of the achievement of the applicable milestone event by an Affiliate or sublicensee. Each such payment will be made by wire transfer of immediately available funds into the account specified in Section 4.1(a).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Sublicense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4"/>
        <w:spacing w:after="0" w:line="282" w:lineRule="auto"/>
        <w:tabs>
          <w:tab w:leader="none" w:pos="1571"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will, in addition to royalties on Net Sales, pay Sanquin the percentage set forth below of Non-Royalty Sublicense Income received by Gemini in accordance with the following table:</w:t>
      </w:r>
    </w:p>
    <w:p>
      <w:pPr>
        <w:spacing w:after="0" w:line="157" w:lineRule="exact"/>
        <w:rPr>
          <w:rFonts w:ascii="Times New Roman" w:cs="Times New Roman" w:eastAsia="Times New Roman" w:hAnsi="Times New Roman"/>
          <w:sz w:val="18"/>
          <w:szCs w:val="18"/>
          <w:color w:val="auto"/>
        </w:rPr>
      </w:pPr>
    </w:p>
    <w:p>
      <w:pPr>
        <w:ind w:left="10220" w:right="320" w:hanging="95"/>
        <w:spacing w:after="0" w:line="278" w:lineRule="auto"/>
        <w:tabs>
          <w:tab w:leader="none" w:pos="10345" w:val="left"/>
        </w:tabs>
        <w:numPr>
          <w:ilvl w:val="1"/>
          <w:numId w:val="5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of Non-Royalty</w:t>
      </w:r>
    </w:p>
    <w:tbl>
      <w:tblPr>
        <w:tblLayout w:type="fixed"/>
        <w:tblInd w:w="0" w:type="dxa"/>
        <w:tblCellMar>
          <w:top w:w="0" w:type="dxa"/>
          <w:left w:w="0" w:type="dxa"/>
          <w:bottom w:w="0" w:type="dxa"/>
          <w:right w:w="0" w:type="dxa"/>
        </w:tblCellMar>
      </w:tblPr>
      <w:tr>
        <w:trPr>
          <w:trHeight w:val="195"/>
        </w:trPr>
        <w:tc>
          <w:tcPr>
            <w:tcW w:w="9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90"/>
              <w:spacing w:after="0" w:line="195" w:lineRule="exact"/>
              <w:rPr>
                <w:sz w:val="20"/>
                <w:szCs w:val="20"/>
                <w:color w:val="auto"/>
              </w:rPr>
            </w:pPr>
            <w:r>
              <w:rPr>
                <w:rFonts w:ascii="Times New Roman" w:cs="Times New Roman" w:eastAsia="Times New Roman" w:hAnsi="Times New Roman"/>
                <w:sz w:val="18"/>
                <w:szCs w:val="18"/>
                <w:b w:val="1"/>
                <w:bCs w:val="1"/>
                <w:color w:val="auto"/>
                <w:w w:val="98"/>
              </w:rPr>
              <w:t>Sublicense</w:t>
            </w:r>
          </w:p>
        </w:tc>
      </w:tr>
      <w:tr>
        <w:trPr>
          <w:trHeight w:val="216"/>
        </w:trPr>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Income</w:t>
            </w:r>
          </w:p>
        </w:tc>
      </w:tr>
      <w:tr>
        <w:trPr>
          <w:trHeight w:val="216"/>
        </w:trPr>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Payable to</w:t>
            </w:r>
          </w:p>
        </w:tc>
      </w:tr>
      <w:tr>
        <w:trPr>
          <w:trHeight w:val="216"/>
        </w:trPr>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Sanquin for</w:t>
            </w:r>
          </w:p>
        </w:tc>
      </w:tr>
      <w:tr>
        <w:trPr>
          <w:trHeight w:val="216"/>
        </w:trPr>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Such</w:t>
            </w:r>
          </w:p>
        </w:tc>
      </w:tr>
      <w:tr>
        <w:trPr>
          <w:trHeight w:val="245"/>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Stage at which Sublicense is Granted by Gemini</w:t>
            </w: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Sublicense</w:t>
            </w:r>
          </w:p>
        </w:tc>
      </w:tr>
      <w:tr>
        <w:trPr>
          <w:trHeight w:val="216"/>
        </w:trPr>
        <w:tc>
          <w:tcPr>
            <w:tcW w:w="9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each sublicense granted prior to date of the first IND filing by Gemini or any of its Affiliates or sublicensees for a Licensed Product</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198"/>
        </w:trPr>
        <w:tc>
          <w:tcPr>
            <w:tcW w:w="9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For each sublicense granted on or after the date of the first IND filing by Gemini or any of its Affiliates or sublicensees for a Licensed</w:t>
            </w:r>
          </w:p>
        </w:tc>
        <w:tc>
          <w:tcPr>
            <w:tcW w:w="12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10%</w:t>
            </w:r>
          </w:p>
        </w:tc>
      </w:tr>
      <w:tr>
        <w:trPr>
          <w:trHeight w:val="23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8" w:lineRule="exact"/>
        <w:rPr>
          <w:sz w:val="20"/>
          <w:szCs w:val="20"/>
          <w:color w:val="auto"/>
        </w:rPr>
      </w:pPr>
    </w:p>
    <w:p>
      <w:pPr>
        <w:jc w:val="both"/>
        <w:ind w:left="660" w:firstLine="644"/>
        <w:spacing w:after="0" w:line="261" w:lineRule="auto"/>
        <w:tabs>
          <w:tab w:leader="none" w:pos="1563"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Payment</w:t>
      </w:r>
      <w:r>
        <w:rPr>
          <w:rFonts w:ascii="Times New Roman" w:cs="Times New Roman" w:eastAsia="Times New Roman" w:hAnsi="Times New Roman"/>
          <w:sz w:val="18"/>
          <w:szCs w:val="18"/>
          <w:color w:val="auto"/>
        </w:rPr>
        <w:t>. Gemini will notify Sanquin of the receipt of Non-Royalty Sublicense Income within sixty (60) days after the end of the Calendar Quarter in which Gemini receives such income and together therewith, pay to Sanquin the percentage of Non-Royalty Sublicense Income due to Sanquin pursuant to Section 4.4(a). Each such payment will be made by wire transfer of immediately available funds into the account specified in Section 4.1(a).</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52"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Offset</w:t>
      </w:r>
      <w:r>
        <w:rPr>
          <w:rFonts w:ascii="Times New Roman" w:cs="Times New Roman" w:eastAsia="Times New Roman" w:hAnsi="Times New Roman"/>
          <w:sz w:val="18"/>
          <w:szCs w:val="18"/>
          <w:color w:val="auto"/>
        </w:rPr>
        <w:t>. To the extent that patent rights, other intellectual property rights or other rights or obligations other than Sanquin Patent Rights or Research Program Patent Rights are licensed, sublicensed or granted by Gemini, that portion of the consideration received by Gemini and subject to Section 4.4(a) shall be equitably apportioned between the Sanquin Patent Rights and Research Program Patent Rights, as applicable, and those other rights and obligations, and such apportionment shall be reasonable and in accordance with customary standards in the industry. Gemini shall promptly deliver to Sanquin a written report setting forth such apportionment. In the event Sanquin disagrees with the determination made by Gemini, Sanquin shall so notify Gemini within thirty (30) days of receipt of Gemini’s report and the Parties shall meet to discuss and resolve such disagreement in good faith. If the Parties are unable to agree in good faith as to such fair market values within thirty (30) days, then (a) the matter shall be submitted in accordance with the dispute resolution process set forth in Article 12, and (b) Sanquin shall not be entitled to terminate this Agreement until such matter is fully determined by a court of competent jurisdiction.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3" w:name="page554"/>
    <w:bookmarkEnd w:id="553"/>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4.5 Royalties.</w:t>
      </w:r>
    </w:p>
    <w:p>
      <w:pPr>
        <w:spacing w:after="0" w:line="225" w:lineRule="exact"/>
        <w:rPr>
          <w:sz w:val="20"/>
          <w:szCs w:val="20"/>
          <w:color w:val="auto"/>
        </w:rPr>
      </w:pPr>
    </w:p>
    <w:p>
      <w:pPr>
        <w:ind w:left="660" w:firstLine="644"/>
        <w:spacing w:after="0" w:line="282" w:lineRule="auto"/>
        <w:tabs>
          <w:tab w:leader="none" w:pos="1552"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Royalties</w:t>
      </w:r>
      <w:r>
        <w:rPr>
          <w:rFonts w:ascii="Times New Roman" w:cs="Times New Roman" w:eastAsia="Times New Roman" w:hAnsi="Times New Roman"/>
          <w:sz w:val="18"/>
          <w:szCs w:val="18"/>
          <w:color w:val="auto"/>
        </w:rPr>
        <w:t>. Subject to Section 4.6, Gemini will pay to Sanquin royalties on Net Sales of Licensed Products, on a Licensed Product-by-Licensed Product and country-by-country basis on annual worldwide Net Sales of such Licensed Product in accordance with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Royalty Rate</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Royalty Rate</w:t>
            </w:r>
          </w:p>
        </w:tc>
        <w:tc>
          <w:tcPr>
            <w:tcW w:w="12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as a</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as a</w:t>
            </w: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2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Net Sales of</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Net Sales of</w:t>
            </w: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Licensed</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Licensed</w:t>
            </w:r>
          </w:p>
        </w:tc>
        <w:tc>
          <w:tcPr>
            <w:tcW w:w="12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Product</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Product in the</w:t>
            </w: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outside of the</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European</w:t>
            </w: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European</w:t>
            </w:r>
          </w:p>
        </w:tc>
      </w:tr>
      <w:tr>
        <w:trPr>
          <w:trHeight w:val="2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 of Licensed Product</w:t>
            </w:r>
          </w:p>
        </w:tc>
        <w:tc>
          <w:tcPr>
            <w:tcW w:w="13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Union</w:t>
            </w: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Union</w:t>
            </w:r>
          </w:p>
        </w:tc>
      </w:tr>
      <w:tr>
        <w:trPr>
          <w:trHeight w:val="198"/>
        </w:trPr>
        <w:tc>
          <w:tcPr>
            <w:tcW w:w="84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Sale of a Licensed Product, the sale or use of which infringes a Valid Claim of the Sanquin Patent Rights or Research</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top w:val="single" w:sz="8" w:color="CCEEFF"/>
            </w:tcBorders>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CCEEFF"/>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 Patent Rights in such country of sale</w:t>
            </w: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8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a Licensed Product during the seven (7) years following the First Commercial Sale of such Licensed Product</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if at the time of the First Commercial Sale, the sale or use of such Licensed Product in such country infringed a Valid</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Claim of the Sanquin Patent Rights or Research Program Patent Rights</w:t>
            </w: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8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a Licensed Product during Market Exclusivity for such Licensed Product if at the time of the First</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Sale of such Licensed Product during such Market Exclusivity in such country the sale or use of such</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Product in such country infringed a Valid Claim of the Sanquin Patent Rights or Research Program Patent</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w:t>
            </w: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7"/>
        </w:trPr>
        <w:tc>
          <w:tcPr>
            <w:tcW w:w="8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4" w:name="page555"/>
    <w:bookmarkEnd w:id="554"/>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Royalty Rate</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Royalty Rate</w:t>
            </w:r>
          </w:p>
        </w:tc>
        <w:tc>
          <w:tcPr>
            <w:tcW w:w="12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as a</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as a</w:t>
            </w: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2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Net Sales of</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Net Sales of</w:t>
            </w: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Licensed</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Licensed</w:t>
            </w:r>
          </w:p>
        </w:tc>
        <w:tc>
          <w:tcPr>
            <w:tcW w:w="12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Product</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Product in the</w:t>
            </w: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outside of the</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European</w:t>
            </w: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European</w:t>
            </w:r>
          </w:p>
        </w:tc>
      </w:tr>
      <w:tr>
        <w:trPr>
          <w:trHeight w:val="2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 of Licensed Product</w:t>
            </w:r>
          </w:p>
        </w:tc>
        <w:tc>
          <w:tcPr>
            <w:tcW w:w="13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Union</w:t>
            </w: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Union</w:t>
            </w:r>
          </w:p>
        </w:tc>
      </w:tr>
      <w:tr>
        <w:trPr>
          <w:trHeight w:val="198"/>
        </w:trPr>
        <w:tc>
          <w:tcPr>
            <w:tcW w:w="84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a Licensed Product during the seven (7) years following the First Commercial Sale of such Licensed Product</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1.75</w:t>
            </w:r>
          </w:p>
        </w:tc>
        <w:tc>
          <w:tcPr>
            <w:tcW w:w="280" w:type="dxa"/>
            <w:vAlign w:val="bottom"/>
            <w:tcBorders>
              <w:top w:val="single" w:sz="8" w:color="CCEEFF"/>
            </w:tcBorders>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top w:val="single" w:sz="8" w:color="CCEEFF"/>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such country IF the sale or use of which does not infringe a Valid Claim of the Sanquin Patent Rights or Research</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41"/>
        </w:trPr>
        <w:tc>
          <w:tcPr>
            <w:tcW w:w="8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 Patent Rights in such country at the time of First Commercial Sale</w:t>
            </w:r>
          </w:p>
        </w:tc>
        <w:tc>
          <w:tcPr>
            <w:tcW w:w="1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8"/>
        </w:trPr>
        <w:tc>
          <w:tcPr>
            <w:tcW w:w="8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a Licensed Product during Market Exclusivity for such Licensed Product in such country IF the sale or use of</w:t>
            </w:r>
          </w:p>
        </w:tc>
        <w:tc>
          <w:tcPr>
            <w:tcW w:w="1380" w:type="dxa"/>
            <w:vAlign w:val="bottom"/>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1.75%</w:t>
            </w:r>
          </w:p>
        </w:tc>
        <w:tc>
          <w:tcPr>
            <w:tcW w:w="12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1.25%</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which does not infringe a Valid Claim of the Sanquin Patent Rights or Research Program Patent Rights in such</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 at the time of First Commercial Sale</w:t>
            </w: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7"/>
        </w:trPr>
        <w:tc>
          <w:tcPr>
            <w:tcW w:w="8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left="660" w:firstLine="644"/>
        <w:spacing w:after="0" w:line="255" w:lineRule="auto"/>
        <w:tabs>
          <w:tab w:leader="none" w:pos="1576"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Royalty Payments and Reports</w:t>
      </w:r>
      <w:r>
        <w:rPr>
          <w:rFonts w:ascii="Times New Roman" w:cs="Times New Roman" w:eastAsia="Times New Roman" w:hAnsi="Times New Roman"/>
          <w:sz w:val="18"/>
          <w:szCs w:val="18"/>
          <w:color w:val="auto"/>
        </w:rPr>
        <w:t>. In no event will multiple royalties be due with respect to the sale of a Licensed Product. Without limiting the foregoing, (i) if the use or sale of any Licensed Product is covered by more than one of the Sanquin Patent Rights or Research Program Patent Rights, multiple royalties shall not be due and (ii) if a Licensed Product is subject to Market Exclusivity during the first seven (7) years after the First Commercial Sale thereof in a particular country, multiple royalties shall not be due. For as long as royalties are due hereunder, within sixty (60) days after the end of each Calendar Quarter, Gemini will provide to Sanquin a royalty report on a Licensed Product-by-Licensed Product basis and together therewith, subject to Section 4.6, pay to Sanquin the royalties owed for such Calendar Quarter. Each such payment will be made by wire transfer of immediately available funds into the account specified in Section 4.l(a).</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5" w:name="page556"/>
    <w:bookmarkEnd w:id="555"/>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Stacking</w:t>
      </w:r>
      <w:r>
        <w:rPr>
          <w:rFonts w:ascii="Times New Roman" w:cs="Times New Roman" w:eastAsia="Times New Roman" w:hAnsi="Times New Roman"/>
          <w:sz w:val="18"/>
          <w:szCs w:val="18"/>
          <w:color w:val="auto"/>
        </w:rPr>
        <w:t xml:space="preserve">. If, during the Term, Gemini or its Affiliates are required to pay royalties to third parties for any licenses from such third parties (“Third Party License(s)”) relating to the licensing of intellectual property rights of a third party necessary to exploit any Licensed Product or in order to avoid infringement of the patent rights of such third party in connection with use of the Sanquin Intellectual Property in the exploitation of Licensed Products, as determined in Gemini, the royalties payable by Gemini under this Agreement on Net Sales shall be calculated according to the following formula: a x (a/b), where </w:t>
      </w:r>
      <w:r>
        <w:rPr>
          <w:rFonts w:ascii="Times New Roman" w:cs="Times New Roman" w:eastAsia="Times New Roman" w:hAnsi="Times New Roman"/>
          <w:sz w:val="18"/>
          <w:szCs w:val="18"/>
          <w:i w:val="1"/>
          <w:iCs w:val="1"/>
          <w:color w:val="auto"/>
        </w:rPr>
        <w:t>a =</w:t>
      </w:r>
      <w:r>
        <w:rPr>
          <w:rFonts w:ascii="Times New Roman" w:cs="Times New Roman" w:eastAsia="Times New Roman" w:hAnsi="Times New Roman"/>
          <w:sz w:val="18"/>
          <w:szCs w:val="18"/>
          <w:color w:val="auto"/>
        </w:rPr>
        <w:t xml:space="preserve"> sum of royalties due to Sanquin under this Agreement;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 sum of all royalties due to Sanquin and under the Third Party License(s). The following serves as a calculation example: if the royalty to a third party is 1%, the royalty payable to Sanquin will be as follows: 2.5 times (2.5/3.5) = 1.7% and provided that the amount of royalty payable by Gemini to Sanquin in any calendar year shall not be reduced by more than 50% of the amount which would have been payable in the absence of this Article 4.6 nor below the annual minimum royalty set out in Section 4.7 hereof (and with any excess reductions carried forward into future payment periods if excluded by such fifty percent (50%) floor).</w:t>
      </w:r>
    </w:p>
    <w:p>
      <w:pPr>
        <w:spacing w:after="0" w:line="19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Minimum Royalty</w:t>
      </w:r>
      <w:r>
        <w:rPr>
          <w:rFonts w:ascii="Times New Roman" w:cs="Times New Roman" w:eastAsia="Times New Roman" w:hAnsi="Times New Roman"/>
          <w:sz w:val="18"/>
          <w:szCs w:val="18"/>
          <w:color w:val="auto"/>
        </w:rPr>
        <w:t>. Gemini will pay to Sanquin a minimum royalty of fifty thousand US Dollars ($50,000.00) on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anniversaries of the Effective Date, subject to the reduction as set forth below. On the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Effective Date, and each subsequent anniversary of the Effective Date during the Term, Gemini will pay Sanquin a minimum royalty of one hundred thousand US Dollars ($100,000.00), multiplied by an index of 1.05, subject to reduction as set forth below. The minimum royalty set forth in this Section 4.7 shall be reduced by the following: all (i) royalties paid, or to be paid, under this Agreement for Net Sales during the year immediately prior to the anniversary on which a minimum royalty is due, and (ii) amounts paid, or to be paid, under this Agreement or any other Agreement between the Parties for research in the field of Factor H potentiating antibodies in the year immediately prior to the anniversary on which a minimum royalty is due. In the event that this Agreement is in effect for only a portion of any calendar year, the minimum royalty payments set forth in this Section 4.7 will be prorated for such portion. The minimum royalty for a given year will be due at the time payments are due for the last Calendar Quarter in which such anniversary occurs; provided, that, upon termination or expiration of this Agreement, any minimum royalties owed for a partial year will be due within thirty (30) days of such termination or expiration.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Withholdings/VAT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5" w:lineRule="auto"/>
        <w:tabs>
          <w:tab w:leader="none" w:pos="1553"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withhold from payments due to Sanquin amounts for payment of any withholding tax that is required by law to be paid to any taxing authority with respect to such payments. Gemini will provide Sanquin all relevant documents and correspondence, and will also provide to Sanquin any other cooperation or assistance on a reasonable basis as may be necessary to enable Sanquin to claim exemption from such withholding taxes and to receive a refund of such withholding tax or claim a foreign tax credit. Gemini will give proper evidence from time to time as to the payment of any such tax. The Parties will cooperate with each other in seeking deductions under any double taxation or other similar treaty or agreement from time to time in force. Such cooperation may include Gemini making payments from a single source in the U.S., where possible.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6" w:name="page557"/>
    <w:bookmarkEnd w:id="556"/>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jc w:val="both"/>
        <w:ind w:left="660" w:firstLine="644"/>
        <w:spacing w:after="0" w:line="261" w:lineRule="auto"/>
        <w:tabs>
          <w:tab w:leader="none" w:pos="1581"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Apart from any such permitted withholding and those deductions expressly included in the definition of Net Sales, the amounts payable hereunder will not be reduced on account of any taxes, charges, duties or other levies. In the event that Sanquin is obliged to charge value added taxes (VAT), all research and milestone payments shall be increased with the applicable VAT amount and Sanquin shall pay the respective VAT amounts to the competent tax authorities.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46"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due under this Agreement shall be payable in United States dollars. Conversion of foreign currency to U.S. dollars shall be made at the conversation rate existing in the United States (as reported in the Wall Street Journal) on the last working day of the Calendar Quarter of the applicable reporting period.</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Records and Audit</w:t>
      </w:r>
      <w:r>
        <w:rPr>
          <w:rFonts w:ascii="Times New Roman" w:cs="Times New Roman" w:eastAsia="Times New Roman" w:hAnsi="Times New Roman"/>
          <w:sz w:val="18"/>
          <w:szCs w:val="18"/>
          <w:color w:val="auto"/>
        </w:rPr>
        <w:t>. Each Party will keep complete, true and accurate books and records in accordance with its Accounting Standards in relation to this Agreement, including in relation to expenses incurred, Net Sales and royalties, as applicable. Each Party will keep such books and records for at least five (5) years following the Calendar Year to which they pertain. Each Party (the “Auditing Party”) may, upon written request, cause an internationally-recognized independent accounting firm (the “Auditor”), which is reasonably acceptable to the other Party (the “Audited Party”), to inspect the relevant records of such Audited Party and, where the Audited Party is Gemini, Gemini’s Affiliates, to verify the payments made by the Audited Party and the related reports, statements and books of accounts, as applicable. Before beginning its audit, the Auditor will execute an undertaking acceptable to the Audited Party by which the Auditor agrees to keep confidential all information reviewed during the audit. The Auditor will have the right to disclose to the Auditing Party only its conclusions regarding any payments owed under this Agreement. Each Party and, with respect to Gemini, its Affiliates, will make their records available for inspection by the Auditor during regular business hours at such place or places where such records are customarily kept, upon receipt of reasonable advance notice from the Auditing Party. The records will be reviewed solely to verify the accuracy of the Audited Party’s expenses and payment obligations, as applicable, and compliance with the financial terms of this Agreement. Such inspection right will not be exercised more than once in any Calendar Year and not more frequently than once with respect to records covering any specific period of time and request for inspection will be given to the other Party at least 30 days before desired day of inspection. Date of inspection will then be agreed upon in mutual consent of both Parties. In addition, the Auditing Party will only be entitled to audit the books and records of the Audited Party from the five (5) Calendar Years prior to the Calendar Year in which the audit request is made. The Auditing Party agrees to hold in strict confidence all information received and all information learned in the course of any audit or inspection, except to the extent necessary to enforce its rights under this Agreement or to the extent required to comply with any law, regulation or judicial order. The Auditor will provide its audit report and basis for any determination to the Audited Party at the time such report is provided to the Auditing Party before it is considered final. In the event that the final result of the inspection reveals an undisputed underpayment or overpayment by either Party, the underpaid or overpaid amount will be settled promptly. The Auditing Party will pay for such inspections, as well as its expenses associated with enforcing its rights with respect to any payments hereunder. In addition, if an underpayment of more than five percent (5%) of the total payments due hereunder for the applicable year is discovered, the fees and expenses charged by the Auditor will be paid by the Audited Party.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7" w:name="page558"/>
    <w:bookmarkEnd w:id="557"/>
    <w:p>
      <w:pPr>
        <w:ind w:left="698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RESEARCH PROGRAM RECORDS AND REPORTS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Sanquin will maintain records of the results of the Research Program in sufficient detail and in good scientific manner appropriate for patent purposes to properly reflect all work done and results achieved. Sanquin will provide task-based, scientific reports of the progress and results of the Research Program on the schedule specified in the Research Plan or on another schedule to be agreed upon by the Parties, and oral reports on Gemini’s reasonable request. Within 30 days after the conclusion of each year of the Research Program, Sanquin will provide Gemini with a final written report setting forth the research conducted and results obtained in sufficient detail to allow reproduction thereof by Gemini.</w:t>
      </w:r>
    </w:p>
    <w:p>
      <w:pPr>
        <w:spacing w:after="0" w:line="179" w:lineRule="exact"/>
        <w:rPr>
          <w:sz w:val="20"/>
          <w:szCs w:val="20"/>
          <w:color w:val="auto"/>
        </w:rPr>
      </w:pPr>
    </w:p>
    <w:p>
      <w:pPr>
        <w:ind w:left="660" w:right="7080" w:hanging="652"/>
        <w:spacing w:after="0" w:line="503" w:lineRule="auto"/>
        <w:tabs>
          <w:tab w:leader="none" w:pos="192" w:val="left"/>
        </w:tabs>
        <w:numPr>
          <w:ilvl w:val="0"/>
          <w:numId w:val="5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DEVELOPMENT AND COMMERCIALIZATION </w:t>
      </w: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Development</w:t>
      </w:r>
      <w:r>
        <w:rPr>
          <w:rFonts w:ascii="Times New Roman" w:cs="Times New Roman" w:eastAsia="Times New Roman" w:hAnsi="Times New Roman"/>
          <w:sz w:val="18"/>
          <w:szCs w:val="18"/>
          <w:color w:val="auto"/>
        </w:rPr>
        <w:t>.</w:t>
      </w:r>
    </w:p>
    <w:p>
      <w:pPr>
        <w:jc w:val="both"/>
        <w:ind w:left="660" w:firstLine="644"/>
        <w:spacing w:after="0" w:line="254" w:lineRule="auto"/>
        <w:tabs>
          <w:tab w:leader="none" w:pos="1581"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end of the Research Term, subject to complying with the remainder of this Section 6.l(a), Gemini will have sole responsibility for and sole decision-making over (and shall bear the costs of) the development of the Licensed Products within the Field. Sanquin will be Gemini’s preferred partner for services relating to non-GLP pre-clinical characterization, testing and development work with respect to Factor H potentiating antibodies during the Term. In the event that Gemini wishes to engage a third party for the performance of such services, it will first discuss such services with Sanquin. If Sanquin has the ability to conduct such services, the Parties shall negotiate in good faith for a reasonable period of time, the terms and conditions (consistent with market prevailing terms and conditions) under which Sanquin will provide such services to Gemini. Gemini may work with third parties if Sanquin is not willing or not able to offer such work or if the Parties are unable to negotiate an agreement therefor after a reasonable period of time.</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76"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Gemini will use Commercially Reasonable Efforts to conduct development and commercialization activities in accordance with the Development Plan, attached as Attachment D, and the other terms and conditions of this Agreement, at Gemini’s sole cost and expense. The Parties acknowledge that research and development of therapeutics is inherently uncertain and that Gemini may reasonably decide to deviate from the Development Plan. A deviation from the Development Plan or failure to achieve any goals or other outcomes set forth in the Development Plan will not be grounds for a presumption that Gemini failed to use Commercially Reasonable Efforts as required by this Section 6.l(b). In the event of a cessation or delay (i) for a continuous period of one (1) year or longer or (ii) two (2) continuous periods of seven (7) months or longer in a rolling twenty-four (24) month period of no practical activity, to advance the development or commercialization of all Licensed Products, even if for technical, safety or regulatory reasons that are reasonably outside of Gemini’s control, the Parties shall meet to discuss such cessation or delay. For the avoidance of doubt, the foregoing sentence will apply only if Gemini has ceased or delayed development or commercialization of each Licensed Product and will not apply if Gemini has continued development or commercialization of one or more Licensed Products. After such meeting, Gemini will have one hundred twenty (120) days (the “Renewed Efforts Period”) to begin or resume development or commercialization of one or more Licensed Products, including pursuant to a revised plan therefor agreed upon by the Parties. If Gemini does not begin or resume development or commercialization of one or more Licensed Products during the Renewed Efforts Period, and the Parties are unable to agree on a revised plan for the development or commercialization of one or more Licensed Products, then Sanquin shall have the right to terminate the Agreement according to Section 10(d). For the avoidance of doubt, the Development Plan is not part of the Research Plan. Gemini shall provide Sanquin at least once per year with an update regarding the development of Licensed Products,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notice of meeting a milestone event set forth in Section 4.3(a) shall constitute such required update. All such information is Confidential Information of Gemini. For the avoidance of doubt, failure to use Commercially Reasonable Efforts to conduct development and commercialization activities with respect to one or more Licensed Products shall be a material breach of this Agreement.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8" w:name="page559"/>
    <w:bookmarkEnd w:id="558"/>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Regulatory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4" w:lineRule="auto"/>
        <w:tabs>
          <w:tab w:leader="none" w:pos="1571"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Gemini will have sole responsibility for and sole decision-making over (and will bear the costs of) all regulatory activities for the Licensed Products in the Territory. Gemini will have the sole right to conduct all communications with regulatory authorities, including all meetings, conferences and discussions (including advisory committee meetings), with regard to Licensed Products in the Territory. Gemini will lead and have sole control over preparing and submitting all regulatory filings related to the Licensed Products, including all applications for regulatory approval. Gemini will own solely any and all applications for regulatory approvals (including INDs), regulatory approvals, and other regulatory filings related to the Licensed Product which will be held in the name of Gemini or its designees. Gemini shall provide Sanquin at least once per year with an update regarding the regulatory status of Licensed Products;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notice of meeting a milestone event set forth in Section 4.3(a) shall constitute such required update. All such information is Confidential Information of Gemini.</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0"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Sanquin will cooperate with any reasonable request from Gemini with respect to obtaining any regulatory approval for a Licensed Product in the Territory including (i) making its faculty, employees, consultants and other staff available to assist Gemini upon reasonable notice,</w:t>
      </w:r>
    </w:p>
    <w:p>
      <w:pPr>
        <w:ind w:left="660" w:hanging="4"/>
        <w:spacing w:after="0" w:line="260" w:lineRule="auto"/>
        <w:tabs>
          <w:tab w:leader="none" w:pos="943"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questions raised by Gemini, and (iii) making available to Gemini, in the form requested by Gemini, any and all information related to the Licensed Products that is necessary or desirable to prepare, file, obtain and maintain any regulatory approval.</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Except as otherwise provided in the Development Plan, Gemini will have sole responsibility for and sole decision-making authority over and will bear the costs of all manufacturing activities and associated costs for the clinical development (including GMP manufacturing for clinical trials) and commercialization of the Licensed Products in the Field.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Gemini will have sole responsibility for and sole decision-making over all commercialization activities of the Licensed Products in the Field, and will be solely responsible for the associated costs of such commercialization activities.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9" w:name="page560"/>
    <w:bookmarkEnd w:id="559"/>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27" w:lineRule="exact"/>
        <w:rPr>
          <w:sz w:val="20"/>
          <w:szCs w:val="20"/>
          <w:color w:val="auto"/>
        </w:rPr>
      </w:pPr>
    </w:p>
    <w:p>
      <w:pPr>
        <w:ind w:left="660" w:right="8600" w:hanging="652"/>
        <w:spacing w:after="0" w:line="532" w:lineRule="auto"/>
        <w:tabs>
          <w:tab w:leader="none" w:pos="192" w:val="left"/>
        </w:tabs>
        <w:numPr>
          <w:ilvl w:val="0"/>
          <w:numId w:val="5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INTELLECTUAL PROPERTY </w:t>
      </w: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Prosecution</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b w:val="1"/>
          <w:bCs w:val="1"/>
          <w:color w:val="auto"/>
        </w:rPr>
      </w:pPr>
    </w:p>
    <w:p>
      <w:pPr>
        <w:jc w:val="both"/>
        <w:ind w:left="660" w:firstLine="644"/>
        <w:spacing w:after="0" w:line="254" w:lineRule="auto"/>
        <w:tabs>
          <w:tab w:leader="none" w:pos="1582"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Sanquin will have the first right (but not the obligation) to prepare, file, prosecute and maintain the Sanquin Patent Rights and Research Program Patent Rights and shall use counsel reasonably acceptable to Gemini for such activities. Sanquin will provide to Gemini all patent office papers promptly upon receipt, and drafts of responses to office actions from and other substantive filings with any patent office regarding the Sanquin Patent Rights or Research Program Patent Rights sufficiently in advance before their submission to enable review and comment by Gemini, and Sanquin will consider in good faith all comments made by Gemini. Upon Gemini’s request, Sanquin shall prepare, file, prosecute and maintain one or more patent applications claiming one or more Licensed Products. Sanquin will use reasonable efforts to not allow any Sanquin Patent Right or Research Program Patent Right to lapse or become abandoned without Gemini’s written authorization under this Agreement, except for filing of continuations, divisionals, or the like that substitute for the lapsed application.</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3"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Section 7.l(a), Sanquin will provide Gemini a complete written disclosure of any Research Program Patent Rights reasonably considered material or patentable within sixty (60) days following creation or discovery of such Research Program Patent Rights. Gemini will advise Sanquin in writing, no later than sixty (60) days after receipt of such disclosure, whether it requests Sanquin to file and prosecute patent applications related to such Research Program Patent Rights. If Gemini requests that Sanquin undertake such filing and prosecution, Sanquin will do so promptly utilizing counsel reasonably acceptable to Gemini. Notwithstanding the foregoing, if Gemini does not request Sanquin to file and prosecute such patent applications, Sanquin may proceed with such preparation and prosecution at its own cost and expense. If Sanquin chooses not to file and prosecute patent applications related to certain Sanquin Patent Rights or Research Program Patent Rights, Sanquin will notify Gemini of such decision at least ninety (90) days before any such application would become forfeited or abandoned and Gemini will have the right (but not the obligation) to file and prosecute patent applications related to such Sanquin Patent Rights or Research Program Patent Rights, as applicable.</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4"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surrender its licenses under any of the Sanquin Patent Rights or Research Program Patent Rights in any country of the Territory by giving ninety (90) days advance written notice to Sanquin. If Gemini so surrenders its rights, it will remain responsible for all patent-related expenses incurred by Sanquin during the applicable notice period. Thereafter, Gemini will have no further obligation to pay any patent expenses for the patents or patent applications that it surrendered and such patents and patent applications will no longer be Sanquin Patent Rights or Research Program Patent Rights, as applicable, for purposes of this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0" w:name="page561"/>
    <w:bookmarkEnd w:id="560"/>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jc w:val="both"/>
        <w:ind w:left="660" w:firstLine="644"/>
        <w:spacing w:after="0" w:line="254" w:lineRule="auto"/>
        <w:tabs>
          <w:tab w:leader="none" w:pos="158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Gemini will reimburse Sanquin for all documented out-of-pocket patent expenses incurred by Sanquin on or after the Effective Date for filing, prosecution, and maintenance of the Sanquin Patent Rights and Research Program Patent Rights in accordance with Section 7.1 (“Patent Costs”) within forty-five (45) days after receipt of a reasonably detailed invoice therefor from Sanquin and (ii) within forty-five (45) days after the Effective Date, Gemini will reimburse Sanquin up to twenty-five thousand U.S. dollars ($25,000) of costs associated with the filing, prosecution and maintenance of any Sanquin Patent Rights incurred prior to the Effective Date plus the Patent Costs incurred by Sanquin between December 2016 and prior to the Effective Date pursuant to an agreement between the Parties (“Reimbursed Costs”). For clarity, the Reimbursed Costs are expected to be approximately fifty-five thousand U.S. dollars ($55,000). In the event that Sanquin desires to license the Sanquin Patent Rights or Research Program Patent Rights in a field separate from the Field to a third party, the Parties will negotiate in a good faith a mechanism pursuant to which such third party will reimburse a pro-rata portion of the relevant Patent Costs or Reimbursed Costs, as applicable.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Patent Term Extensions</w:t>
      </w:r>
      <w:r>
        <w:rPr>
          <w:rFonts w:ascii="Times New Roman" w:cs="Times New Roman" w:eastAsia="Times New Roman" w:hAnsi="Times New Roman"/>
          <w:sz w:val="18"/>
          <w:szCs w:val="18"/>
          <w:color w:val="auto"/>
        </w:rPr>
        <w:t>. The Party controlling the prosecution and maintenance of the Sanquin Patent Rights or Research Program Patent Rights, as applicable, under Section 7.1 will have the right to elect and file for patent term restoration or extension, supplemental protection certificate or any of their equivalents with respect to such Sanquin Patent Rights or Research Program Patent Rights with respect to any Licensed Product in the Territory. The Parties will cooperate and take the other Party’s reasonable input into account in determining whether to obtain such patent term restoration, extension, supplemental protection certificate or equivalent thereof. Upon the request by a Party, such other Party will reasonably cooperate in the implementation of such requesting Party’s decisions made in a manner with this Section 7.2.</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7.3 Enforcement.</w:t>
      </w:r>
    </w:p>
    <w:p>
      <w:pPr>
        <w:spacing w:after="0" w:line="225" w:lineRule="exact"/>
        <w:rPr>
          <w:sz w:val="20"/>
          <w:szCs w:val="20"/>
          <w:color w:val="auto"/>
        </w:rPr>
      </w:pPr>
    </w:p>
    <w:p>
      <w:pPr>
        <w:ind w:left="660" w:right="20" w:firstLine="644"/>
        <w:spacing w:after="0" w:line="282" w:lineRule="auto"/>
        <w:tabs>
          <w:tab w:leader="none" w:pos="1566"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Infringement</w:t>
      </w:r>
      <w:r>
        <w:rPr>
          <w:rFonts w:ascii="Times New Roman" w:cs="Times New Roman" w:eastAsia="Times New Roman" w:hAnsi="Times New Roman"/>
          <w:sz w:val="18"/>
          <w:szCs w:val="18"/>
          <w:color w:val="auto"/>
        </w:rPr>
        <w:t>. Each Party agrees to provide written notice to the other Party promptly after becoming aware of any infringement of the Sanquin Patent Rights or Research Program Patent Rights.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Prosecute Infringements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176"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Gemini Right to Prosecute</w:t>
      </w:r>
      <w:r>
        <w:rPr>
          <w:rFonts w:ascii="Times New Roman" w:cs="Times New Roman" w:eastAsia="Times New Roman" w:hAnsi="Times New Roman"/>
          <w:sz w:val="18"/>
          <w:szCs w:val="18"/>
          <w:color w:val="auto"/>
        </w:rPr>
        <w:t>. Gemini will have the first right (but not the obligation), under its sole control and at its sole expense, to prosecute any third party infringement of the Sanquin Patent Rights or Research Program Patent Rights in the Field in the Territory. If required by law, Sanquin will permit any action under this Section 7.3(b) to be brought in its name, including being joined as a party-plaintiff, provided that Gemini will reimburse Sanquin for its reasonable and documented out-of-pocket costs incurred in connection with such action.</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13"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Sanquin Right to Prosecute</w:t>
      </w:r>
      <w:r>
        <w:rPr>
          <w:rFonts w:ascii="Times New Roman" w:cs="Times New Roman" w:eastAsia="Times New Roman" w:hAnsi="Times New Roman"/>
          <w:sz w:val="18"/>
          <w:szCs w:val="18"/>
          <w:color w:val="auto"/>
        </w:rPr>
        <w:t>. In the event that Gemini is unsuccessful in persuading the alleged infringer to desist or fails to have initiated an infringement action within a reasonable time after Gemini first becomes aware of the basis for such action, Sanquin will have the right, at its sole discretion, to prosecute such infringement under its sole control and at its sole expense; provided that in no event will Sanquin enforce any Sanquin Patent Right or Research Program Patent Right in the Field pursuant to this Section 7.3(b)(ii) absent prior written consent from Licensee.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1" w:name="page562"/>
    <w:bookmarkEnd w:id="561"/>
    <w:p>
      <w:pPr>
        <w:ind w:left="698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jc w:val="both"/>
        <w:ind w:left="660" w:firstLine="644"/>
        <w:spacing w:after="0" w:line="256" w:lineRule="auto"/>
        <w:tabs>
          <w:tab w:leader="none" w:pos="1579"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Declaratory Judgment Actions</w:t>
      </w:r>
      <w:r>
        <w:rPr>
          <w:rFonts w:ascii="Times New Roman" w:cs="Times New Roman" w:eastAsia="Times New Roman" w:hAnsi="Times New Roman"/>
          <w:sz w:val="18"/>
          <w:szCs w:val="18"/>
          <w:color w:val="auto"/>
        </w:rPr>
        <w:t>. In the event that an interference, re-examination, review, opposition, or any similar proceeding alleging that any claim in the Sanquin Patent Rights or Research Program Patent Rights is invalid, unenforceable, or otherwise not patentable (a “Patent Challenge”) is brought against Sanquin or Gemini by a third party, Gemini, at its option, will have the right within twenty (20) business days after commencement of such action to take over the sole defense of the action at its own expense. If Gemini does not exercise this right, Sanquin may take over the sole defense of the action at its sole expense. In the event such a Patent Challenge results in the filing of an infringement counterclaim, then any recovery obtained from such a counterclaim will be treated in accordance with Section 7.3(d).</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76"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Recovery</w:t>
      </w:r>
      <w:r>
        <w:rPr>
          <w:rFonts w:ascii="Times New Roman" w:cs="Times New Roman" w:eastAsia="Times New Roman" w:hAnsi="Times New Roman"/>
          <w:sz w:val="18"/>
          <w:szCs w:val="18"/>
          <w:color w:val="auto"/>
        </w:rPr>
        <w:t>.If the Party bringing an enforcement action under Section 7.3(b) or defending a Patent Challenge under Section 7.3(c) recovers monetary damages from such action, such recovery will first be applied to all out-of-pocket costs incurred by the Parties in connection therewith, including attorneys’ fees. If such recovery is insufficient to cover all such costs and expenses of both Parties, it will be shared pro-rata in proportion to the relative amount of such costs and expenses incurred by each Party. If after such reimbursement any funds remain from such damages, such remaining funds will be shared as follows (i) if Gemini is the Party bringing or defending such action, such remaining funds will be treated as Net Sales of Licensed Product, and (b) if Sanquin is the Party bringing or defending such action, such remaining funds will be retained by Sanquin.</w:t>
      </w:r>
    </w:p>
    <w:p>
      <w:pPr>
        <w:spacing w:after="0" w:line="188"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Party agrees to cooperate in any action under this Section</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7.3 which is controlled by the other Party, provided that the controlling Party reimburses the cooperating Party promptly for any costs and expenses incurred by the cooperating Party in connection with providing such assistance.</w:t>
      </w:r>
    </w:p>
    <w:p>
      <w:pPr>
        <w:spacing w:after="0" w:line="162" w:lineRule="exact"/>
        <w:rPr>
          <w:sz w:val="20"/>
          <w:szCs w:val="20"/>
          <w:color w:val="auto"/>
        </w:rPr>
      </w:pPr>
    </w:p>
    <w:p>
      <w:pPr>
        <w:jc w:val="both"/>
        <w:ind w:left="660" w:firstLine="644"/>
        <w:spacing w:after="0" w:line="261" w:lineRule="auto"/>
        <w:tabs>
          <w:tab w:leader="none" w:pos="1546" w:val="left"/>
        </w:tabs>
        <w:numPr>
          <w:ilvl w:val="1"/>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settlement</w:t>
      </w:r>
      <w:r>
        <w:rPr>
          <w:rFonts w:ascii="Times New Roman" w:cs="Times New Roman" w:eastAsia="Times New Roman" w:hAnsi="Times New Roman"/>
          <w:sz w:val="18"/>
          <w:szCs w:val="18"/>
          <w:color w:val="auto"/>
        </w:rPr>
        <w:t>. No Party shall enter into a settlement, consent judgment, or other voluntary final disposition regarding the Sanquin Patent Rights or Research Program Patent Rights which imposes obligations on the other Party beyond those set forth herein, or which invalidates or restricts the Sanquin Patent Rights or Research Program Patent Rights, without such other Party’s prior written consent, not to be unreasonably withheld, conditioned or delayed.</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LICENSES; EXCLUSIVITY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xml:space="preserve"> Sanquin hereby grants to Gemini and its Affiliates (a) an exclusive (even as to Sanquin), royalty-bearing license, with the right to sublicense tln·ough multiple tiers, under the Sanquin Patent Rights, Research Program Patent Rights, and Research Program Know-How and (b) a non-exclusive license, with the right to sublicense through multiple tiers, under the Sanquin Background Know-How and Sanquin Materials, in each case of(a) and (b), to research, develop, commercialize, make, use, sell, offer for sale and import and otherwise exploit (and have others do any of the foregoing) Licensed Products in the Field in the Territory.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2" w:name="page563"/>
    <w:bookmarkEnd w:id="562"/>
    <w:p>
      <w:pPr>
        <w:ind w:left="698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Sublicensing Terms</w:t>
      </w:r>
      <w:r>
        <w:rPr>
          <w:rFonts w:ascii="Times New Roman" w:cs="Times New Roman" w:eastAsia="Times New Roman" w:hAnsi="Times New Roman"/>
          <w:sz w:val="18"/>
          <w:szCs w:val="18"/>
          <w:color w:val="auto"/>
        </w:rPr>
        <w:t>. Gemini and its Affiliates will have the right to sublicense any of the rights granted under Section 8.1 to any of their Affiliates or to any third party (which sublicensed rights may be further sublicenseable through multiple tiers) subject to the requirements of this Section 8.2.</w:t>
      </w:r>
    </w:p>
    <w:p>
      <w:pPr>
        <w:spacing w:after="0" w:line="176" w:lineRule="exact"/>
        <w:rPr>
          <w:sz w:val="20"/>
          <w:szCs w:val="20"/>
          <w:color w:val="auto"/>
        </w:rPr>
      </w:pPr>
    </w:p>
    <w:p>
      <w:pPr>
        <w:jc w:val="both"/>
        <w:ind w:left="660" w:firstLine="644"/>
        <w:spacing w:after="0" w:line="253" w:lineRule="auto"/>
        <w:tabs>
          <w:tab w:leader="none" w:pos="1569"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sublicense granted pursuant to this Section 8.2 will be subject and subordinate to this Agreement and will contain provisions consistent with the terms and conditions of this Agreement. Gemini will have the right to sublicense any of the rights granted under Section 8.1 without the prior consent of Sanquin. Gemini will as soon as reasonably practicable thereafter, provide Sanquin with a copy of any executed sublicense agreement covering a sublicense granted hereunder within thirty (30) days of entering into such agreement (which copy may be redacted to remove all provisions which are not necessary to monitor compliance with this Agreement and other highly sensitive information), such copies will be the Confidential Information of Gemini, subject to Section 9. Gemini may, but is not required to, seek Sanquin’s approval of a sublicense agreement prior to execution thereof. If Gemini so seeks Sanquin’s approval, Sanquin shall expressly approve or disapprove of the relevant sublicense agreement within thirty (30) days following Gemini’s request for such approval, such approval not to be unreasonable withheld, conditioned or delayed, and Sanquin’s failure to so respond within such time period shall be deemed approval of the relevant sublicense agreement.</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89"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termination of this Agreement, if and to the extent that prior to such termination Gemini had granted any sublicense, provided (1) such sublicensee is then in good standing under the applicable sublicense agreement, (2) the terms of the sublicense are consistent with the terms of this Agreement, (3) do not expand any obligations or limit any rights of Sanquin and (4) Sanquin has given its approval (express or deemed) in accordance with Section 8.2(a) prior to the execution of such sublicense agreement, then Sanquin will grant (and hereby does grant) a direct license to such sublicensee of the same field and scope and under the same intellectual property rights as the sublicense by Gemini, and the payment terms for such direct license will be the same as what Gemini would have paid for the sublicensee’s activities had the original sublicense remained in effect. At the written request of such sublicensee (or Gemini on behalf of such sublicensee), Sanquin and such sublicensee will memorialize such direct license by license agreement in a manner consistent with this Agreement and otherwise on a reasonable basis.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xml:space="preserve"> Sanquin will not grant to any third party the right to use the Sanquin Patent Rights or Research Program Patent Rights in the Field and will not disclose the Research Program Know-How until the same is available in the public domain in compliance with Section 9.</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Retained Rights</w:t>
      </w:r>
      <w:r>
        <w:rPr>
          <w:rFonts w:ascii="Times New Roman" w:cs="Times New Roman" w:eastAsia="Times New Roman" w:hAnsi="Times New Roman"/>
          <w:sz w:val="18"/>
          <w:szCs w:val="18"/>
          <w:color w:val="auto"/>
        </w:rPr>
        <w:t>. Any license granted to Gemini pursuant to Section 8.1 hereof will be subject to Sanquin’s right to use and permit other non-profit research institutions to use Sanquin Patent Rights and Research Program Patent Rights within the Field for educational and non clinical research purposes, provided that such third parties are not granted any rights to sell or commercialize the Sanquin Patent Rights or Research Program Patent Rights. In addition, Sanquin retains the rights under the Sanquin Patent Rights and the Research Program Patent Rights for any and all purposes outside of the Field.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No Implied Rights</w:t>
      </w:r>
      <w:r>
        <w:rPr>
          <w:rFonts w:ascii="Times New Roman" w:cs="Times New Roman" w:eastAsia="Times New Roman" w:hAnsi="Times New Roman"/>
          <w:sz w:val="18"/>
          <w:szCs w:val="18"/>
          <w:color w:val="auto"/>
        </w:rPr>
        <w:t>. Except as otherwise expressly provided in this Agreement, under no circumstances will a Party, nor any of its Affiliates, as a result of this Agreement, obtain any ownership interest, license or other right in or to any Know-How, patent rights or other intellectual property rights of the other Party.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3" w:name="page564"/>
    <w:bookmarkEnd w:id="563"/>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CONFIDENTIALITY, PUBLICATION, USE OF NAME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9.1 Sanquin and Gemini may disclose to each other confidential information considered pertinent to the Research Program, or other confidential information. Any such confidential information will be in writing and clearly marked by the disclosing Party as “Confidential” or, if disclosed orally, written notice will be provided within thirty (30) days of disclosure (“Confidential Information”). The receiving Party will protect Confidential Information received from the disclosing Party with the same degree of care as it uses to protect its own confidential information. The receiving Party’s obligations of confidentiality will exist during the performance of this Agreement and for five (5) years following termination or expiration of this Agreement, unless disclosure is required by law or regulation, the order of a court of competent jurisdiction, or the rules of the U.S. Securities and Exchange Commission (including by reason of any securities offering by Gemini), any stock exchange or listing entity, in which case the Party required to make such disclosure will provide prompt written notice and take all reasonable steps to limit the extent of the disclosure and obtain confidential treatment for any remaining required disclosure.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confidentiality obligations contained herein will not apply to Confidential Infonnation that is:</w:t>
      </w:r>
    </w:p>
    <w:p>
      <w:pPr>
        <w:spacing w:after="0" w:line="225" w:lineRule="exact"/>
        <w:rPr>
          <w:sz w:val="20"/>
          <w:szCs w:val="20"/>
          <w:color w:val="auto"/>
        </w:rPr>
      </w:pPr>
    </w:p>
    <w:p>
      <w:pPr>
        <w:ind w:left="2160" w:hanging="208"/>
        <w:spacing w:after="0"/>
        <w:tabs>
          <w:tab w:leader="none" w:pos="216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by the receiving Party without restriction prior to disclosure under this Agreement;</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to the receiving Party by a third party without an obligation of confidentiality;</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to the public not through a breach of this Agreement by the receiving Party;</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77"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developed by the receiving Party without knowledge or use of Confidential Infonnation disclosed by the disclosing Party under this Agreement; or</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or disclosed in accordance with or as pennitted under the terms of this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9.2 Notwithstanding anything contained in Section 9.1, in order to preserve the patentability of the Research Program Know-How, during the Research Term and for a period of five (5) years thereafter, Sanquin and Gemini will maintain the Research Program Know-How and information provided pursuant to Section 7.1 (whether oral or written) as confidential and will not disclose such information to any third party until the publication of such information by a Party in accordance with Section 9.4 or until Sanquin provides Gemini with written verification, reasonably satisfactory to Gemini, that all desirable patentable inventions have been protected, whichever occurs sooner.</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9.3 Notwithstanding Sections 9.1 and 9.2, either Party may disclose Confidential Information of the other Party to (a) its Affiliates, and to its and their directors, employees, consultants, agents, licensees, sublicensees, collaborators, subcontractors, potential or actual investors, acquirers or merger partners in each case who have a need to !mow such Confidential Information and are bound by c01mnercially reasonable obligations of confidentiality, or</w:t>
      </w:r>
    </w:p>
    <w:p>
      <w:pPr>
        <w:spacing w:after="0" w:line="1" w:lineRule="exact"/>
        <w:rPr>
          <w:sz w:val="20"/>
          <w:szCs w:val="20"/>
          <w:color w:val="auto"/>
        </w:rPr>
      </w:pPr>
    </w:p>
    <w:p>
      <w:pPr>
        <w:ind w:firstLine="8"/>
        <w:spacing w:after="0" w:line="260" w:lineRule="auto"/>
        <w:tabs>
          <w:tab w:leader="none" w:pos="267"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disclosure is required to file or prosecute patent applications, prosecute or defend litigation or otherwise establish rights or enforce obligations under this Agreement, or to submit regulatory filings.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4" w:name="page565"/>
    <w:bookmarkEnd w:id="564"/>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9.4 Notwithstanding Section 9.l and 9.2, Sanquin will be free to publish, present or othe1wise disclose Research Program Know-How for any purpose subject to this Section 9.4. Sanquin will furnish Gemini with a copy of any proposed publication, presentation or other public disclosure (“Publication”) at least thirty (30) days in advance of the submission of said proposed Publication in order for Gemini to review said proposed Publication for patentable inventions and Gemini Confidential Information. Gemini will have the right to require that any Gemini Confidential Infonnation be removed or redacted from the proposed Publication. The JSC will have the right to require that any Research Program Know-How be removed from the proposed Publication; provided that if the JSC cannot reach a determination regarding the contested language, the contested language will be removed from the proposed Publication. Without limiting the foregoing, in the event that Gemini believes that the proposed Publication contains a patentable invention, and Gemini agrees to pay patent expenses as stipulated in Section 7.1(d), Sanquin agrees to delay such proposed Publication for a period of time needed to prepare and file a patent application, such period not to exceed 6 months.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9.5 Sanquin will not use Gemini’s name without Gemini’s prior written consent except that Sanquin may acknowledge Gemini’s funding of this Research Program and any scientific contributions in scientific publications and in listings of sponsored research projects. Gemini will not use Sanquin’s name, mark or symbol, or the name of any trustee, officer, faculty member, student or employee thereof, without Sanquin’s prior written consent, except that Gemini may acknowledge the existence and general nature of this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9.6 That term of certain Confidentiality Agreement, dated 28 October 2016, by and between the Parties (the “CDA”) is hereby terminated as of the Effective Date. The Parties hereby agree that all disclosures of confidential information pursuant to the CDA will be governed by the terms of this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TERMINATION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 In addition to the termination rights set forth elsewhere in this Agreement:</w:t>
      </w:r>
    </w:p>
    <w:p>
      <w:pPr>
        <w:spacing w:after="0" w:line="225" w:lineRule="exact"/>
        <w:rPr>
          <w:sz w:val="20"/>
          <w:szCs w:val="20"/>
          <w:color w:val="auto"/>
        </w:rPr>
      </w:pPr>
    </w:p>
    <w:p>
      <w:pPr>
        <w:ind w:left="660" w:right="20" w:firstLine="644"/>
        <w:spacing w:after="0" w:line="282" w:lineRule="auto"/>
        <w:tabs>
          <w:tab w:leader="none" w:pos="1553"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l0(d), subject to Section 12, either Party may terminate this Agreement if the other Party breaches any of the terms or conditions of this Agreement and fails to cure such breach within ninety (90) days after receiving written notice thereof;</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92"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Party files for protection under banlcruptcy laws, makes an assigmnent for the benefit of creditors, appoints or suffers appointment of a receiver or trustee over its property, files a petition under any banlcruptcy or insolvency act or has any such petition filed against it which is not discharged within ninety (90) days of the filing thereof, then the other Party may terminate this Agreement effective innnediately upon written notice to such Party;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5" w:name="page566"/>
    <w:bookmarkEnd w:id="565"/>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ind w:left="1540" w:hanging="236"/>
        <w:spacing w:after="0"/>
        <w:tabs>
          <w:tab w:leader="none" w:pos="1540"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terminate this Agreement, effective after ninety (90) days prior written notice to Sanquin;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0"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10.l(a), If following a meeting of the Parties as contemplated by Section 6.1(b), Gemini does not resume or begin development or commercialization of one or more Licensed Products during the Renewed Efforts Period, and the Parties are unable to agree on a revised plan for the development or commercialization of one or more Licensed Products, Sanquin may terminate this Agreement effective upon written notice to Gemini; provided that in no event may Sanquin terminate this Agreement pursuant to this Section 10.l(d) if Gemini is exercising Commercially Reasonable Efforts to with respect to the development or commercialization of any one Licensed Product.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10.2 In the event oftermination of this Agreement prior to its stated Tenn, whether for breach or for any other reason whatsoever, within ninety</w:t>
      </w:r>
    </w:p>
    <w:p>
      <w:pPr>
        <w:spacing w:after="0" w:line="27" w:lineRule="exact"/>
        <w:rPr>
          <w:sz w:val="20"/>
          <w:szCs w:val="20"/>
          <w:color w:val="auto"/>
        </w:rPr>
      </w:pPr>
    </w:p>
    <w:p>
      <w:pPr>
        <w:jc w:val="both"/>
        <w:ind w:firstLine="8"/>
        <w:spacing w:after="0" w:line="252" w:lineRule="auto"/>
        <w:tabs>
          <w:tab w:leader="none" w:pos="353"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effective termination date, Sanquin will submit a final report of all costs incurred and all funds received under this Agreement through the effective termination date (or allowable connnitrnents as described in this Section 10.2). The report will be accompanied by a check in the amount of any excess of funds advanced over costs and allowable cmmnitments incurred. In case of a deficit of funds, Gemini will pay Sanquin the amount needed to cover costs through the effective termination date per the then-current budget of the Research Program as well as all allowable cmmnitrnents (i.e., all costs or non-cancellable connnitments incurred prior to the receipt, or issuance, by Sanquin of the notice of termination, and the cost of each employee, student and faculty member supported under the Research Program through the end of such c01mnitments; and subject to Sanquin’s written notification to Gemini and Gemini’s acknowledgement of all costs and non-cancellable commitments as they arise) incurred by Sanquin under this Agreement.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10.3 In the event of termination by Gemini pursuant to Section lO(c) or by Sanquin pursuant to Section 10.l(a) or 10. l(b), Sanquin is - subject to Section 8.2(b) - entitled to pursue a program aimed at (further) development and commercialization of Licensed Products. For that purpose it is agreed that in such event Sanquin may, as owner, freely use the Research Program Know How, Sanquin Patent Rights and the Research Program Patent Rights. If within the three (3) months following termination of this Agreement Sanquin submits to Gemini a written proposal for a license to use the Ge1nini Materials, Gemini will consider such proposal in good faith, taking into account Gemini’s then-current business plans, the prevailing market conditions, the state of the art of the relevant technology, and the existence of any licenses previously granted with respect to the Gemini Materials.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10.4 Termination or expiration of this Agreement will not affect the rights and obligations of the Parties accrued prior to termination hereof. The provisions of Section 4.9 Section</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10.2 and this Section 10.4, Article 1, entitled Definitions; Article l, entitled Tenn of Agreement; Article </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entitled Intellectual Property; Article§., entitled Licenses, Exclusivity; Article 2, entitled Confidentiality, Publication, Use of Name; Article 11, entitled WatTanties, Indemnification; Article 12, entitled Dispute Resolution; and Article 13, entitled Additional Provisions will survive any such termination or expiration.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6" w:name="page567"/>
    <w:bookmarkEnd w:id="566"/>
    <w:p>
      <w:pPr>
        <w:ind w:left="698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WARRANTIES, INDEMNIFICATION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11.1 Sanquin hereby represents and wa1rnnts that (a) it has the power and authority to grant the licenses and rights provided for herein to Gemini, and that it has not earlier granted, or assumed any obligation to grant, any rights in the Sanquin Intellectual Property to any third party that would conflict with the rights granted to Gemini herein; and (b) this Agreement constitutes the legal, valid and binding obligation of Sanquin, enforceable against Sanquin in accordance with its terms.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11.2 EXCEPT AS MAY OTHERWISE BE EXPRESSLY SET FORTH IN THIS AGREEMENT, SANQUIN MAKES NO WARRANTIES, EXPRESS OR IMPLIED, AS TO ANY MATTER WHATSOEVER, INCLUDING, WITHOUT LIMITATION, WARRANTIES WITH RESPECT TO THE CONDUCT, COMPLETION, SUCCESS OR PARTICULAR RESULTS OF THE RESEARCH PROGRAM, OR THE CONDITION, OWNERSHIP, MERCHANTABILITY, OR FITNESS FOR AP ARTICULAR PURPOSE OF THE RESEARCH PROGRAM OR ANY SANQUIN INTELLECTUAL PROPERTY OR RESEARCH RESULTS OR THAT USE OF THE SANQUIN INTELLECTUAL PROPERTY OR RESEARCH RESULTS WILL NOT INFRINGE ANY PATENT, COPYRIGHT, TRADEMARK OR OTHER INTELLECTUAL PROPERTY RIGHT OF A THIRD PARTY.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11.3 NEITHER PARTY WILL BE LIABLE FOR ANY INDIRECT, CONSEQUENTIAL, PUNITNE OR OTHER DAMAGES SUFFERED BY THE OTHER PARTY OR ANY OTHER PERSON, INCLUDING DAMAGES SUFFERED BY THE OTHER PARTY OR ANY OTHER ECONOMIC LOSSES (INCLUDING LOST PROFITS), RESULTING FROM THE RESEARCH PROGRAM OR THE USE OF ANY SANQUIN INTELLECTUAL PROPERTY, ANY RESEARCH RESULTS OR ANY PRODUCTS RESULTING THEREFROM.</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11.4 Gemini will defend, indemnify and hold harmless Sanquin and any of Sanquin’s faculty, students, employees, trustees, officers, Affiliates and agents (hereinafter referred to collectively as the “Indemnified Persons”) from and against any and all liability, losses, damages, costs or expenses (including attorneys’ fees), which the Indemnified Persons may hereafter incur, or be required to pay, in connection with any third party claims or lawsuits to the extent resulting from (a) Gemini’s use of the results of Research Program or any Sanquin Intellectual Prope1iy or (b) any breach of this Agreement by Gemini or (c) any gross negligence or intentional misconduct of Gemini, its employees, Affiliates, contractors, licensees, sublicensees or transferees or agents as determined by a court of law of competent jurisdiction in a final opinion from which no appeal has or may be taken; provided, however, that Gemini will not have any responsibility hereunder for liability, claims, lawsuits, losses, damages, costs or expenses (including attorneys’ fees) to the extent based on the gross negligence or intentional misconduct of the Indemnified Persons as determined by a court oflaw of competent jurisdiction in a final opinion from which no appeal has or may be taken. Sanquin will notify Gemini upon learning of the Sanquin or threatened Sanquin of any such liability, claims, lawsuits, losses, damages, costs and expenses, and Sanquin will cooperate with Gemini in every proper way in the defense or settlement thereof at Gemini’s request and expense. Gemini will be entitled to control any litigation or potential litigation involving any such defense or settlement. Gemini will not dispose or settle any claim admitting liability on the part of the Sanquin without Sanquin’s prior written consent (such consent not to be unreasonably withheld, conditioned or delayed), unless the settlement involves only the payment of money.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7" w:name="page568"/>
    <w:bookmarkEnd w:id="567"/>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DISPUTE RESOLUTION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Except as otherwise expressly set forth in this Agreement, disputes of any nature arising under, relating to, or in connection with this Agreement (“Disputes”) will be resolved pursuant to this Section 12.</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Dispute Escalation</w:t>
      </w:r>
      <w:r>
        <w:rPr>
          <w:rFonts w:ascii="Times New Roman" w:cs="Times New Roman" w:eastAsia="Times New Roman" w:hAnsi="Times New Roman"/>
          <w:sz w:val="18"/>
          <w:szCs w:val="18"/>
          <w:color w:val="auto"/>
        </w:rPr>
        <w:t>. In the event of a Dispute between the Parties, the Parties will first attempt to resolve such Dispute by negotiation and consultation between themselves or at the JSC. In the event that such Dispute is not resolved on an infonnal basis within twenty (20) days from receipt of the written notice of a Dispute, either Party may, by written notice to the other, have such Dispute refened to the Chief Executive Officer of Gemini (or the designee of the Chief Executive Officer, which designee is required to have decision-making authority on behalf of Gemini), and a senior representative of Sanquin, who will attempt to resolve such Dispute by negotiation and consultation for a thirty (30) day period following receipt of such written notice.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In the event the Parties have not resolved such Dispute within thirty( 30) days of receipt of the written notice referring such Dispute pursuant to Section 12.2, either Party may at any time after such thirty (30) day period submit such Dispute to be finally settled by arbitration administered in accordance with the procedural rules of the International Chamber of Commerce (“ICC”) in effect at the time of submission, as modified by this Section 12.3. The arbitration will be governed by the Laws of The Netherlands. Notwithstanding the foregoing, any disputes arising hereunder with respect to the inventorship, validity, enforceability or other aspect of intellectual property rights shall be resolved by a comt of competent jurisdiction and not by arbitration. The arbitration will be heard and determined by three (3) arbitrators who are retired judges or attorneys with at least ten (10) years of relevant experience in the phannaceutical and biotechnology industry, each of whom will be impartial and independent. Each Party will appoint one (1) arbitrator and the third (3rd) arbitrator will be selected by the two (2) Party-appointed arbitrators, or, failing agreement within thirty (30) days following appoinhnent of the second arbitrator, by the ICC. Such arbitration will talce place in London, UK. The arbitration award so given will, absent manifest enor, be a final and binding determination of the Dispute, will be fully enforceable in any court of competent jurisdiction, and will not include any damages expressly prohibited by Section 11.3. Fees, costs and expenses of arbitration are to be divided by the Parties in the following manner: Sanquin will pay for the arbitrator it chooses, Gemini will pay for the arbitrator it chooses, and the Parties will share payment for the third arbitrator.</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Notwithstanding the foregoing, the Parties may disclose information about the arbitration to persons who have a need to know, such as directors, trustees, management employees, witnesses, experts, investors, attorneys, lenders, insurers, actual or potential collaborators or corporate paitners of Gemini, actual or potential acquirors of Gemini, and others who may be directly affected provided that such persons are bound to keep such information confidential. Further, either in the event a Party is required to make a disclosure under law or regulation (including the order of a court of competent jurisdiction, or the rules of the U.S. Securities and Exchange C01mnission (including by reason of any securities offering by Gemini), any stock exchange or listing entity), regarding the fact of the arbitt·ation, the dispute being arbitrated or the decision of the arbitrators, such Party shall provide prompt written notice thereof to the other Party and take all reasonable steps to limit the extent of the disclosure and obtain confidential treatment for any remaining required disclosure. Except in a proceeding to enforce the results of the arbitration or as otherwise required by law or regulation (including securities laws), neither Party nor any arbitrator may disclose the existence, content or results of any arbitration hereunder without the prior written consent of both Parties.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8" w:name="page569"/>
    <w:bookmarkEnd w:id="568"/>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Notwithstanding the dispute resolution procedures set forth in this Section 12, in the event of an actual or threatened breach of this Agreement, the aggrieved Party may seek provisional injunctive relief (including restraining orders, specific performance or other injunctive relief), without first submitting to any dispute resolution procedures hereunder.</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Tolling</w:t>
      </w:r>
      <w:r>
        <w:rPr>
          <w:rFonts w:ascii="Times New Roman" w:cs="Times New Roman" w:eastAsia="Times New Roman" w:hAnsi="Times New Roman"/>
          <w:sz w:val="18"/>
          <w:szCs w:val="18"/>
          <w:color w:val="auto"/>
        </w:rPr>
        <w:t xml:space="preserve">. The Parties agree that all applicable statutes of limitation and time-based defenses (such as </w:t>
      </w:r>
      <w:r>
        <w:rPr>
          <w:rFonts w:ascii="Times New Roman" w:cs="Times New Roman" w:eastAsia="Times New Roman" w:hAnsi="Times New Roman"/>
          <w:sz w:val="18"/>
          <w:szCs w:val="18"/>
          <w:i w:val="1"/>
          <w:iCs w:val="1"/>
          <w:color w:val="auto"/>
        </w:rPr>
        <w:t>“ve,jaring”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“verval”),</w:t>
      </w:r>
      <w:r>
        <w:rPr>
          <w:rFonts w:ascii="Times New Roman" w:cs="Times New Roman" w:eastAsia="Times New Roman" w:hAnsi="Times New Roman"/>
          <w:sz w:val="18"/>
          <w:szCs w:val="18"/>
          <w:color w:val="auto"/>
        </w:rPr>
        <w:t xml:space="preserve"> as well as all time periods in which a Party must exercise rights or perfonn obligation hereunder, will be tolled once the dispute resolution procedures set forth in this Section 12 have been initiated and for so long as they are pending, and the Parties will cooperate in taking all actions reasonably necessary to achieve such a result. In addition, during the pendency of any Dispute under this Agreement initiated before the end of any applicable cure period, including under Section 10.l(a), (a) this Agreement will remain in full force and effect, (b) the provisions of this Agreement relating to termination for material breach with respect to such Dispute will not be effective, (c) the time period for cure under Section 10.l(a) as to any termination notice given prior to the initiation of arbitration will be tolled, (d) any time periods to exercise rights or perform obligations will be tolled; and (e) neither Party will issue a notice of termination pursuant to this Agreement based on the subject matter of the arbitration, until the arbitral tribunal has confirmed the material breach and the existence of the facts claimed by a Party to be the basis for the asserted material breach; provided, that if such breach can be cured by (i) the payment of money, the defaulting Party will have an additional ten (10) days within its receipt of the arbitral tribunal’s decision to pay such amount or (ii) the taking of specific remedial actions, the defaulting Party will have a reasonably necessary period to diligently undertake and complete such remedial actions within such reasonably necessary period or any specific timefrarne established by such arbitral tribunal’s decision before any such notice of termination can be issued. Further, with respect to any time periods that have run during the pendency of the dispute, the applicable Party will have a reasonable period of time or any specific timeframe established by such arbitral tribunal’s decision to exercise any rights or perfmm any obligations affected by the running of such time periods.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ADDITIONAL PROVISIONS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13.1 The rights and obligations of Sanquin and Gemini hereunder will inure to the benefit of and will be binding upon, their respective successors and assigns. Neither Party may assign this Agreement, directly or by merger or other operation oflaw, without the express written consent of the other Party, which consent will not be unreasonably withheld, conditioned or delayed; provided, however, that Gemini may assign this Agreement to any Affiliate of Gemini or to any entity with which Gemini may merge or consolidate, or to which it may sell or transfer all of its stock or all or substantially all of its assets to which this Agreement relates (“Permitted Assignment”). Any prohibited assigrnnent of this Agreement or the rights hereunder will be null and void. No assigmnent will relieve a Party of responsibility for the performance of any accrued obligations, which it has prior to such assignment.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9" w:name="page570"/>
    <w:bookmarkEnd w:id="569"/>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13.2 A waiver by either Party of a breach or violation of any provision oftbis Agreement will not constitute or be constrned as a waiver of any subsequent breach or violation of that provision or as a waiver of any breach or violation of any other provision of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13.3 Nothing herein will be deemed to establish a relationship of principal and agent between Sanquin and Gemini, nor any of their agents or employees, nor will this Agreement be construed as creating any fonn of legal association or an-angement which would impose liability upon one Party for the act or failure to act of the other Party. Nothing in this Agreement, express or implied, is intended to confer on any person other than the Parties hereto or their permitted assigns, any benefits, rights or remedies.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13.4 Notices, statements, reports and other communications under this Agreement will be in writing and will be deemed to have been received one business day following the date dispatched if sent by public overnight courier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Federal Express) and addressed as follows:</w:t>
      </w:r>
    </w:p>
    <w:p>
      <w:pPr>
        <w:sectPr>
          <w:pgSz w:w="11900" w:h="16838" w:orient="portrait"/>
          <w:cols w:equalWidth="0" w:num="1">
            <w:col w:w="11240"/>
          </w:cols>
          <w:pgMar w:left="320" w:top="220" w:right="339" w:bottom="1440" w:gutter="0" w:footer="0" w:header="0"/>
        </w:sectPr>
      </w:pP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Sanquin: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Sanquin, Leiding Research, Plesmanlaan 125, 1066</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CX Amsterdam, the Netherlands</w:t>
      </w:r>
    </w:p>
    <w:p>
      <w:pPr>
        <w:spacing w:after="0" w:line="200" w:lineRule="exact"/>
        <w:rPr>
          <w:sz w:val="20"/>
          <w:szCs w:val="20"/>
          <w:color w:val="auto"/>
        </w:rPr>
      </w:pPr>
    </w:p>
    <w:p>
      <w:pPr>
        <w:sectPr>
          <w:pgSz w:w="11900" w:h="16838" w:orient="portrait"/>
          <w:cols w:equalWidth="0" w:num="2">
            <w:col w:w="3400" w:space="720"/>
            <w:col w:w="7120"/>
          </w:cols>
          <w:pgMar w:left="320" w:top="220" w:right="33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If to Gemini: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Gemini Therapeutics,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Technology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CEO</w:t>
      </w:r>
    </w:p>
    <w:p>
      <w:pPr>
        <w:spacing w:after="0" w:line="200" w:lineRule="exact"/>
        <w:rPr>
          <w:sz w:val="20"/>
          <w:szCs w:val="20"/>
          <w:color w:val="auto"/>
        </w:rPr>
      </w:pPr>
    </w:p>
    <w:p>
      <w:pPr>
        <w:sectPr>
          <w:pgSz w:w="11900" w:h="16838" w:orient="portrait"/>
          <w:cols w:equalWidth="0" w:num="2">
            <w:col w:w="3400" w:space="720"/>
            <w:col w:w="7120"/>
          </w:cols>
          <w:pgMar w:left="320" w:top="220" w:right="339" w:bottom="1440" w:gutter="0" w:footer="0" w:header="0"/>
          <w:type w:val="continuous"/>
        </w:sectPr>
      </w:pPr>
    </w:p>
    <w:p>
      <w:pPr>
        <w:spacing w:after="0" w:line="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13.5 This Agreement will be constrned and governed in accordance witb tbe laws of The Netherlands, without giving effect to conflict oflaw provisions. Except as required by Section 12, the Parties hereby submit to the exclusive jurisdiction of the district court of Amsterdam, The Netherlands with respect to any and all disputes concerning the subject of this Agreement, except that questions affecting the construction and effect of any patent rights shall be determined by the law of the country in which the patent rights have been filed, granted or issued.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13.6 Neither Party will be liable for any failure to perform as required by this Agreement to the extent such failure to perfonn is due to circumstances reasonably beyond such Party’s control, including, without limitation, labor disturbances or labor disputes of any kind, accidents, failure of any governmental approval required for full performance, civil disorders or commotions, terrorism, acts of aggression, acts of God, energy or other conservation measures imposed by law or regulation, explosions, failure of utilities, or other such occun-ences.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13.7 Gemini and Sanquin will comply with all laws, regulations and other legal requirements applicable to such Party in connection with this Agreement, including any legal requirements applicable to the conduct of the Research Program or the use of the results of the Research Program or any Sanquin Intellectual Property and laws contr·olling the export of technical data, computer software, laboratory prototypes, and all other export controlled c01mnodities.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13.8 This Agreement embodies the entire understanding between the Parties relating to the subject matter hereof and supersedes all prior understandings and agreements, whether written or oral. This Agreement may not be varied except by a written document signed by duly authorized representatives of both Parties.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570" w:name="page571"/>
    <w:bookmarkEnd w:id="570"/>
    <w:p>
      <w:pPr>
        <w:jc w:val="right"/>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31" w:lineRule="exact"/>
        <w:rPr>
          <w:sz w:val="20"/>
          <w:szCs w:val="20"/>
          <w:color w:val="auto"/>
        </w:rPr>
      </w:pPr>
    </w:p>
    <w:p>
      <w:pPr>
        <w:jc w:val="both"/>
        <w:ind w:firstLine="633"/>
        <w:spacing w:after="0" w:line="254" w:lineRule="auto"/>
        <w:rPr>
          <w:sz w:val="20"/>
          <w:szCs w:val="20"/>
          <w:color w:val="auto"/>
        </w:rPr>
      </w:pPr>
      <w:r>
        <w:rPr>
          <w:rFonts w:ascii="Times New Roman" w:cs="Times New Roman" w:eastAsia="Times New Roman" w:hAnsi="Times New Roman"/>
          <w:sz w:val="18"/>
          <w:szCs w:val="18"/>
          <w:color w:val="auto"/>
        </w:rPr>
        <w:t>13.9 Whenever any provision of this Agreement uses the term “including” (or “includes”), such term will be deemed to mean “including without limitation” (or “includes without limitations”). “Herein,” “hereby,” “hereunder,” “hereof” and other equivalent words refer to this Agreement as an entirety and not solely to the particular portion of this Agreement in which any such word is used. The term “or” means “and/or” hereunder. All definitions set forth herein will be deemed applicable whether the words defined are used herein in the singular or the plural. Unless otherwise provided, all references to Sections and Attachments in this Agreement are to Sections and Attachments of this Agreement. References to any Sections include Sections and subsections that are part of the related Section (e.g., a section numbered “Section 3.2” would be part of “Section 3”, and references to “Section 3.2” would also refer to material contained in the subsection described as “Section 3.2(a)”). Unless otherwise stated,.dollar amounts set forth in this Agreement are U.S. dollars.</w:t>
      </w:r>
    </w:p>
    <w:p>
      <w:pPr>
        <w:spacing w:after="0" w:line="192"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8"/>
          <w:szCs w:val="18"/>
          <w:color w:val="auto"/>
        </w:rPr>
        <w:t>13.10 If any one or more of the provisions of this Agreement is held to be invalid or unenforceable by an arbitrator or by any court of competent jurisdiction from which no appeal can be or is taken, the provision will be considered severed from this Agreement and will not serve to invalidate any remaining provisions hereof. The Parties will make a good faith effort to replace any invalid or unenforceable provision with a valid and enforceable one such that the objectives contemplated by the Parties when entering into this Agreement may be realized.</w:t>
      </w:r>
    </w:p>
    <w:p>
      <w:pPr>
        <w:spacing w:after="0" w:line="180" w:lineRule="exact"/>
        <w:rPr>
          <w:sz w:val="20"/>
          <w:szCs w:val="20"/>
          <w:color w:val="auto"/>
        </w:rPr>
      </w:pPr>
    </w:p>
    <w:p>
      <w:pPr>
        <w:jc w:val="both"/>
        <w:ind w:firstLine="605"/>
        <w:spacing w:after="0" w:line="282" w:lineRule="auto"/>
        <w:rPr>
          <w:sz w:val="20"/>
          <w:szCs w:val="20"/>
          <w:color w:val="auto"/>
        </w:rPr>
      </w:pPr>
      <w:r>
        <w:rPr>
          <w:rFonts w:ascii="Times New Roman" w:cs="Times New Roman" w:eastAsia="Times New Roman" w:hAnsi="Times New Roman"/>
          <w:sz w:val="18"/>
          <w:szCs w:val="18"/>
          <w:color w:val="auto"/>
        </w:rPr>
        <w:t>13.11 This Agreement may be executed in one (1) or more counterparts, each of which will be deemed an original, but all of which together will constitute one and the same instrument.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71" w:name="page572"/>
    <w:bookmarkEnd w:id="571"/>
    <w:p>
      <w:pPr>
        <w:ind w:left="620"/>
        <w:spacing w:after="0"/>
        <w:rPr>
          <w:sz w:val="20"/>
          <w:szCs w:val="20"/>
          <w:color w:val="auto"/>
        </w:rPr>
      </w:pPr>
      <w:r>
        <w:rPr>
          <w:rFonts w:ascii="Times New Roman" w:cs="Times New Roman" w:eastAsia="Times New Roman" w:hAnsi="Times New Roman"/>
          <w:sz w:val="18"/>
          <w:szCs w:val="18"/>
          <w:color w:val="auto"/>
        </w:rPr>
        <w:t>IN WITNESS WHEREOF, the duly authorized representatives of the Parties hereby execute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SANQUIN BLOOD SUPPLY FOUNDATION</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GEMINI THERAPEUTICS, INC.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René van Lier</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MCLAUGHLIN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René van Lier</w:t>
            </w: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JAMES MCLAUGHLIN</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Member Executive Board</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CEO</w:t>
            </w:r>
          </w:p>
        </w:tc>
      </w:tr>
      <w:tr>
        <w:trPr>
          <w:trHeight w:val="398"/>
        </w:trPr>
        <w:tc>
          <w:tcPr>
            <w:tcW w:w="58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Sanquin Blood Supply Foundation</w:t>
            </w:r>
          </w:p>
        </w:tc>
        <w:tc>
          <w:tcPr>
            <w:tcW w:w="28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MARCH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2017</w:t>
            </w:r>
          </w:p>
        </w:tc>
      </w:tr>
      <w:tr>
        <w:trPr>
          <w:trHeight w:val="559"/>
        </w:trPr>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72" w:name="page573"/>
    <w:bookmarkEnd w:id="572"/>
    <w:p>
      <w:pPr>
        <w:ind w:left="4900"/>
        <w:spacing w:after="0"/>
        <w:rPr>
          <w:sz w:val="20"/>
          <w:szCs w:val="20"/>
          <w:color w:val="auto"/>
        </w:rPr>
      </w:pPr>
      <w:r>
        <w:rPr>
          <w:rFonts w:ascii="Times New Roman" w:cs="Times New Roman" w:eastAsia="Times New Roman" w:hAnsi="Times New Roman"/>
          <w:sz w:val="18"/>
          <w:szCs w:val="18"/>
          <w:b w:val="1"/>
          <w:bCs w:val="1"/>
          <w:color w:val="auto"/>
        </w:rPr>
        <w:t>ATTACHMENT A</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RESEARCH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31" w:lineRule="exact"/>
        <w:rPr>
          <w:sz w:val="20"/>
          <w:szCs w:val="20"/>
          <w:color w:val="auto"/>
        </w:rPr>
      </w:pPr>
    </w:p>
    <w:p>
      <w:pPr>
        <w:jc w:val="both"/>
        <w:ind w:left="660" w:hanging="328"/>
        <w:spacing w:after="0" w:line="255" w:lineRule="auto"/>
        <w:tabs>
          <w:tab w:leader="none" w:pos="660"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summary includes near-term research activities contemplated by the parties as part of the Research Program,. Modifications to the plan (including but not limited to the addition of future experiments) are expected and will be managed by the Joint Steering Committee (JSC) in accordance with Section 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and Goals to be completed by Sanquin:</w:t>
      </w:r>
    </w:p>
    <w:p>
      <w:pPr>
        <w:spacing w:after="0" w:line="221" w:lineRule="exact"/>
        <w:rPr>
          <w:sz w:val="20"/>
          <w:szCs w:val="20"/>
          <w:color w:val="auto"/>
        </w:rPr>
      </w:pPr>
    </w:p>
    <w:p>
      <w:pPr>
        <w:ind w:left="660" w:hanging="328"/>
        <w:spacing w:after="0"/>
        <w:tabs>
          <w:tab w:leader="none" w:pos="660" w:val="left"/>
        </w:tabs>
        <w:numPr>
          <w:ilvl w:val="0"/>
          <w:numId w:val="5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Activity 1: Further Characterization of FH.07:</w:t>
      </w:r>
    </w:p>
    <w:p>
      <w:pPr>
        <w:spacing w:after="0" w:line="31" w:lineRule="exact"/>
        <w:rPr>
          <w:sz w:val="20"/>
          <w:szCs w:val="20"/>
          <w:color w:val="auto"/>
        </w:rPr>
      </w:pPr>
    </w:p>
    <w:p>
      <w:pPr>
        <w:jc w:val="both"/>
        <w:ind w:left="1300" w:hanging="320"/>
        <w:spacing w:after="0" w:line="255" w:lineRule="auto"/>
        <w:tabs>
          <w:tab w:leader="none" w:pos="130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assays for measuring the activity of FH.07 or derivatives of FH.07 in conjunction with wild-type full-length FH will be performed. This will include study in the SPR-based decay acceleration assay (DAA), as well as additional assays (e.g. other hemolysis designs) as directed by the JSC.</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Activity 2: Effects of FH.07 on human cell surfaces:</w:t>
      </w:r>
    </w:p>
    <w:p>
      <w:pPr>
        <w:spacing w:after="0" w:line="31" w:lineRule="exact"/>
        <w:rPr>
          <w:rFonts w:ascii="Times New Roman" w:cs="Times New Roman" w:eastAsia="Times New Roman" w:hAnsi="Times New Roman"/>
          <w:sz w:val="18"/>
          <w:szCs w:val="18"/>
          <w:b w:val="1"/>
          <w:bCs w:val="1"/>
          <w:color w:val="auto"/>
        </w:rPr>
      </w:pPr>
    </w:p>
    <w:p>
      <w:pPr>
        <w:jc w:val="both"/>
        <w:ind w:left="1300" w:hanging="320"/>
        <w:spacing w:after="0" w:line="253" w:lineRule="auto"/>
        <w:tabs>
          <w:tab w:leader="none" w:pos="130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vitro or ex vivo tests will assess the effect of FI-I.07 on human cell surfaces. This may include the human microvascular endothelial cell line (HMEC-1), in an assay adapted from Noris et al (Blood 2014) using both artificial aHUS serum and donated aHUS serum to measure the effect of FH.07 on C3b deposition. In addition, we will test the effect of anti-FH.07 on PNH red blood cell lysis . Additional designs relevant to ocular applications like age-related macular degeneration (AMD), evaluating the effect of FH.07 on complement regulation on retinal pigment epithelial (RPE) cell surface will be considered by the JSC.</w:t>
      </w:r>
    </w:p>
    <w:p>
      <w:pPr>
        <w:spacing w:after="0" w:line="1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Activity 3: Epitope mapping of FH.07 on FH</w:t>
      </w:r>
    </w:p>
    <w:p>
      <w:pPr>
        <w:spacing w:after="0" w:line="31" w:lineRule="exact"/>
        <w:rPr>
          <w:rFonts w:ascii="Times New Roman" w:cs="Times New Roman" w:eastAsia="Times New Roman" w:hAnsi="Times New Roman"/>
          <w:sz w:val="18"/>
          <w:szCs w:val="18"/>
          <w:b w:val="1"/>
          <w:bCs w:val="1"/>
          <w:color w:val="auto"/>
        </w:rPr>
      </w:pPr>
    </w:p>
    <w:p>
      <w:pPr>
        <w:jc w:val="both"/>
        <w:ind w:left="1300" w:hanging="320"/>
        <w:spacing w:after="0" w:line="255" w:lineRule="auto"/>
        <w:tabs>
          <w:tab w:leader="none" w:pos="130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HDX will be used to identify the epitope of anti-FH.07 on SCR 18 of the FH molecule. Recombinant fragments containing SCR 18 will be used to conduct the analysis. Afterwards, based on the HDX results we will introduce point mutations in FH SCR 18 by site directed mutagenesis to more precisely define the critical residues for interaction.</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Activity 4: The effect of FH.07 on mutated FH</w:t>
      </w:r>
    </w:p>
    <w:p>
      <w:pPr>
        <w:spacing w:after="0" w:line="31" w:lineRule="exact"/>
        <w:rPr>
          <w:rFonts w:ascii="Times New Roman" w:cs="Times New Roman" w:eastAsia="Times New Roman" w:hAnsi="Times New Roman"/>
          <w:sz w:val="18"/>
          <w:szCs w:val="18"/>
          <w:b w:val="1"/>
          <w:bCs w:val="1"/>
          <w:color w:val="auto"/>
        </w:rPr>
      </w:pPr>
    </w:p>
    <w:p>
      <w:pPr>
        <w:jc w:val="both"/>
        <w:ind w:left="1300" w:hanging="320"/>
        <w:spacing w:after="0" w:line="253" w:lineRule="auto"/>
        <w:tabs>
          <w:tab w:leader="none" w:pos="130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FH.07 on various types of mutated FH associated with human disease will be tested. The work may involve at-risk variants prioritized by the JSC associated with al-lUS, AMD, MPGNII or other indications. Mutated FI-I will be produced recombinantly. Characterization may include evaluation in the DAA, hemolysis, co-factor and C3b/C3d binding or additional assays as directed by the JSC.</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Activity 5: Assays to support assessments of agonistic FH antibodies in the non-human primate (NHP)</w:t>
      </w:r>
    </w:p>
    <w:p>
      <w:pPr>
        <w:spacing w:after="0" w:line="31" w:lineRule="exact"/>
        <w:rPr>
          <w:rFonts w:ascii="Times New Roman" w:cs="Times New Roman" w:eastAsia="Times New Roman" w:hAnsi="Times New Roman"/>
          <w:sz w:val="18"/>
          <w:szCs w:val="18"/>
          <w:b w:val="1"/>
          <w:bCs w:val="1"/>
          <w:color w:val="auto"/>
        </w:rPr>
      </w:pPr>
    </w:p>
    <w:p>
      <w:pPr>
        <w:jc w:val="both"/>
        <w:ind w:left="1300" w:hanging="320"/>
        <w:spacing w:after="0" w:line="255" w:lineRule="auto"/>
        <w:tabs>
          <w:tab w:leader="none" w:pos="130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directed by the JSC, Sanquin will develop assays for diagnostic use in animal studies, including NHP studies. These assays may include anti-drug antibody (ADA) assay(s) and assays (e.g. ELISA) for measurement of FH.07, FH.07 complexed with FH or other FH.07 derivatives in NHP tissue and serum.</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Activity 6: Mechanism of action of FH.07:</w:t>
      </w:r>
    </w:p>
    <w:p>
      <w:pPr>
        <w:spacing w:after="0" w:line="31" w:lineRule="exact"/>
        <w:rPr>
          <w:rFonts w:ascii="Times New Roman" w:cs="Times New Roman" w:eastAsia="Times New Roman" w:hAnsi="Times New Roman"/>
          <w:sz w:val="18"/>
          <w:szCs w:val="18"/>
          <w:b w:val="1"/>
          <w:bCs w:val="1"/>
          <w:color w:val="auto"/>
        </w:rPr>
      </w:pPr>
    </w:p>
    <w:p>
      <w:pPr>
        <w:ind w:left="1300" w:right="20" w:hanging="320"/>
        <w:spacing w:after="0" w:line="260" w:lineRule="auto"/>
        <w:tabs>
          <w:tab w:leader="none" w:pos="130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collaboration with P. Gros at Utrecht University, the effect of FH.07 on the conformation of full-length FH will be assessed. These experiments will be described in greater detail for JSC review prior to initiation.</w:t>
      </w:r>
    </w:p>
    <w:p>
      <w:pPr>
        <w:spacing w:after="0" w:line="17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Activity 7: Evaluation of other agonistic antibodies provided by Gemini</w:t>
      </w:r>
    </w:p>
    <w:p>
      <w:pPr>
        <w:spacing w:after="0" w:line="3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antibodies provided by Gemini will be screened for agonistic activity by Sanquin using relevant in vitro or ex vivo assays.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Activity 8: Evaluation of FH.07 in specialty renal mouse models:</w:t>
      </w:r>
    </w:p>
    <w:p>
      <w:pPr>
        <w:spacing w:after="0" w:line="31" w:lineRule="exact"/>
        <w:rPr>
          <w:rFonts w:ascii="Times New Roman" w:cs="Times New Roman" w:eastAsia="Times New Roman" w:hAnsi="Times New Roman"/>
          <w:sz w:val="18"/>
          <w:szCs w:val="18"/>
          <w:b w:val="1"/>
          <w:bCs w:val="1"/>
          <w:color w:val="auto"/>
        </w:rPr>
      </w:pPr>
    </w:p>
    <w:p>
      <w:pPr>
        <w:ind w:left="1300" w:right="20" w:hanging="320"/>
        <w:spacing w:after="0" w:line="260" w:lineRule="auto"/>
        <w:tabs>
          <w:tab w:leader="none" w:pos="130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Enhancement of exogenous human FH by anti-FH.07 in a </w:t>
      </w:r>
      <w:r>
        <w:rPr>
          <w:rFonts w:ascii="Times New Roman" w:cs="Times New Roman" w:eastAsia="Times New Roman" w:hAnsi="Times New Roman"/>
          <w:sz w:val="18"/>
          <w:szCs w:val="18"/>
          <w:i w:val="1"/>
          <w:iCs w:val="1"/>
          <w:color w:val="auto"/>
        </w:rPr>
        <w:t>Cfh</w:t>
      </w:r>
      <w:r>
        <w:rPr>
          <w:rFonts w:ascii="Times New Roman" w:cs="Times New Roman" w:eastAsia="Times New Roman" w:hAnsi="Times New Roman"/>
          <w:sz w:val="18"/>
          <w:szCs w:val="18"/>
          <w:color w:val="auto"/>
        </w:rPr>
        <w:t xml:space="preserve">-deficient mouse model (in collaboration with Prof. Dr. M. Pickering (Imperial College, London, UK), who has previously published this mouse model (Fakhouri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2010) will be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3" w:name="page574"/>
    <w:bookmarkEnd w:id="573"/>
    <w:p>
      <w:pPr>
        <w:jc w:val="center"/>
        <w:spacing w:after="0"/>
        <w:rPr>
          <w:sz w:val="20"/>
          <w:szCs w:val="20"/>
          <w:color w:val="auto"/>
        </w:rPr>
      </w:pPr>
      <w:r>
        <w:rPr>
          <w:rFonts w:ascii="Times New Roman" w:cs="Times New Roman" w:eastAsia="Times New Roman" w:hAnsi="Times New Roman"/>
          <w:sz w:val="18"/>
          <w:szCs w:val="18"/>
          <w:b w:val="1"/>
          <w:bCs w:val="1"/>
          <w:color w:val="auto"/>
        </w:rPr>
        <w:t>ATTACHMENT 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BUDGET</w:t>
      </w:r>
    </w:p>
    <w:p>
      <w:pPr>
        <w:spacing w:after="0" w:line="207" w:lineRule="exact"/>
        <w:rPr>
          <w:sz w:val="20"/>
          <w:szCs w:val="20"/>
          <w:color w:val="auto"/>
        </w:rPr>
      </w:pPr>
    </w:p>
    <w:p>
      <w:pPr>
        <w:ind w:firstLine="4"/>
        <w:spacing w:after="0" w:line="282" w:lineRule="auto"/>
        <w:rPr>
          <w:sz w:val="20"/>
          <w:szCs w:val="20"/>
          <w:color w:val="auto"/>
        </w:rPr>
      </w:pPr>
      <w:r>
        <w:rPr>
          <w:rFonts w:ascii="Times New Roman" w:cs="Times New Roman" w:eastAsia="Times New Roman" w:hAnsi="Times New Roman"/>
          <w:sz w:val="18"/>
          <w:szCs w:val="18"/>
          <w:color w:val="auto"/>
        </w:rPr>
        <w:t>[The budget for the first year of the Research Term shall be three hundred thousand U.S. dollars ($300,000) excl. VAT based on 1.5 fte, payable in accordance with Attachment 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for costs incurred by Sanquin for in vivo work performed by subcontractors of Sanquin shall be passed through to Gemini, without mark-up.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Budgets for work involving subcontractors should be authorized by the JSC before work is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4" w:name="page575"/>
    <w:bookmarkEnd w:id="574"/>
    <w:p>
      <w:pPr>
        <w:jc w:val="center"/>
        <w:spacing w:after="0"/>
        <w:rPr>
          <w:sz w:val="20"/>
          <w:szCs w:val="20"/>
          <w:color w:val="auto"/>
        </w:rPr>
      </w:pPr>
      <w:r>
        <w:rPr>
          <w:rFonts w:ascii="Times New Roman" w:cs="Times New Roman" w:eastAsia="Times New Roman" w:hAnsi="Times New Roman"/>
          <w:sz w:val="18"/>
          <w:szCs w:val="18"/>
          <w:b w:val="1"/>
          <w:bCs w:val="1"/>
          <w:color w:val="auto"/>
        </w:rPr>
        <w:t>ATTACHMENT 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INVOICE AND PAYMENT PROCEDURE</w:t>
      </w:r>
    </w:p>
    <w:p>
      <w:pPr>
        <w:spacing w:after="0" w:line="207" w:lineRule="exact"/>
        <w:rPr>
          <w:sz w:val="20"/>
          <w:szCs w:val="20"/>
          <w:color w:val="auto"/>
        </w:rPr>
      </w:pPr>
    </w:p>
    <w:p>
      <w:pPr>
        <w:ind w:left="340" w:hanging="332"/>
        <w:spacing w:after="0"/>
        <w:tabs>
          <w:tab w:leader="none" w:pos="34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will pay $150,000 for one year of full-time support for R. Pouw PhD within 30 days upon execution of the agreement.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Sanquin will invoice Gemini $75,000 six months after the Effective Date of the agreement and $75,000 after year 1 of the Research Term Payments shall be made in accordance with Section 4a.</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Activity can be amended by the JSC at any time; the JSC may also add or remove an Activity in accordance with Section 2.2 and budgets can be adjusted accordingly in mutual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5" w:name="page576"/>
    <w:bookmarkEnd w:id="57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ATTACHMENT 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DEVELOPMENT PLAN</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Gemini plans to develop agonistic antibodies to FH CCP18 for therapeutic use.</w:t>
      </w:r>
    </w:p>
    <w:p>
      <w:pPr>
        <w:spacing w:after="0" w:line="225" w:lineRule="exact"/>
        <w:rPr>
          <w:sz w:val="20"/>
          <w:szCs w:val="20"/>
          <w:color w:val="auto"/>
        </w:rPr>
      </w:pPr>
    </w:p>
    <w:p>
      <w:pPr>
        <w:ind w:left="660" w:right="3300" w:hanging="652"/>
        <w:spacing w:after="0" w:line="261" w:lineRule="auto"/>
        <w:tabs>
          <w:tab w:leader="none" w:pos="336"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humanized version of the FH.07 antibody discovered by Sanquin is a likely candidate for development. o To determine suitability of this approach, we plan to:</w:t>
      </w:r>
    </w:p>
    <w:p>
      <w:pPr>
        <w:ind w:left="1620" w:hanging="316"/>
        <w:spacing w:after="0"/>
        <w:tabs>
          <w:tab w:leader="none" w:pos="1620"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the CDR sequences of the FH.07 antibody</w:t>
      </w:r>
    </w:p>
    <w:p>
      <w:pPr>
        <w:spacing w:after="0" w:line="9" w:lineRule="exact"/>
        <w:rPr>
          <w:rFonts w:ascii="Times New Roman" w:cs="Times New Roman" w:eastAsia="Times New Roman" w:hAnsi="Times New Roman"/>
          <w:sz w:val="18"/>
          <w:szCs w:val="18"/>
          <w:color w:val="auto"/>
        </w:rPr>
      </w:pPr>
    </w:p>
    <w:p>
      <w:pPr>
        <w:ind w:left="1620" w:hanging="316"/>
        <w:spacing w:after="0" w:line="250" w:lineRule="auto"/>
        <w:tabs>
          <w:tab w:leader="none" w:pos="1620"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Humanize FH.07, working to identify a sequence which retains FH07 affinity and activity, but reduces the immunogenic potential of the antibody and limits CMC liabilities</w:t>
      </w:r>
    </w:p>
    <w:p>
      <w:pPr>
        <w:ind w:left="1620" w:right="20" w:hanging="316"/>
        <w:spacing w:after="0" w:line="260" w:lineRule="auto"/>
        <w:tabs>
          <w:tab w:leader="none" w:pos="1620"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fate of the antibody and the complex formed by the antibody bound to FH in vivo in a relevant species (like in the primate)</w:t>
      </w:r>
    </w:p>
    <w:p>
      <w:pPr>
        <w:spacing w:after="0" w:line="18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also search for other antibodies which bind to FH CCPl8 and have similar agonistic properties to FH.07 using a variety of methods.</w:t>
      </w:r>
    </w:p>
    <w:p>
      <w:pPr>
        <w:spacing w:after="0" w:line="225"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an agonistic FH antibody with appropriate characteristics for development has been identified, produced and characterized, we will initiate formal IND enabling studies. Development may include, but will not be limited to:</w:t>
      </w:r>
    </w:p>
    <w:p>
      <w:pPr>
        <w:spacing w:after="0" w:line="162" w:lineRule="exact"/>
        <w:rPr>
          <w:sz w:val="20"/>
          <w:szCs w:val="20"/>
          <w:color w:val="auto"/>
        </w:rPr>
      </w:pPr>
    </w:p>
    <w:p>
      <w:pPr>
        <w:ind w:left="980" w:hanging="324"/>
        <w:spacing w:after="0"/>
        <w:tabs>
          <w:tab w:leader="none" w:pos="980"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development and manufacturing:</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 line development may be pursued in parallel with process and formulation development.</w:t>
      </w:r>
    </w:p>
    <w:p>
      <w:pPr>
        <w:spacing w:after="0" w:line="9" w:lineRule="exact"/>
        <w:rPr>
          <w:rFonts w:ascii="Times New Roman" w:cs="Times New Roman" w:eastAsia="Times New Roman" w:hAnsi="Times New Roman"/>
          <w:sz w:val="18"/>
          <w:szCs w:val="18"/>
          <w:color w:val="auto"/>
        </w:rPr>
      </w:pPr>
    </w:p>
    <w:p>
      <w:pPr>
        <w:jc w:val="both"/>
        <w:ind w:left="1620" w:hanging="316"/>
        <w:spacing w:after="0" w:line="250" w:lineRule="auto"/>
        <w:tabs>
          <w:tab w:leader="none" w:pos="1620" w:val="left"/>
        </w:tabs>
        <w:numPr>
          <w:ilvl w:val="2"/>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engineering lots will be made at different scales. After process lock, representative material will be made for IND enabling toxicology studies. Afterwards, cGMP material will be made for use in the clinic. Release testing and stability testing will be performed for tox and clinical lots.</w:t>
      </w:r>
    </w:p>
    <w:p>
      <w:pPr>
        <w:spacing w:after="0" w:line="1" w:lineRule="exact"/>
        <w:rPr>
          <w:rFonts w:ascii="Times New Roman" w:cs="Times New Roman" w:eastAsia="Times New Roman" w:hAnsi="Times New Roman"/>
          <w:sz w:val="18"/>
          <w:szCs w:val="18"/>
          <w:color w:val="auto"/>
        </w:rPr>
      </w:pPr>
    </w:p>
    <w:p>
      <w:pPr>
        <w:ind w:left="980" w:right="420" w:hanging="324"/>
        <w:spacing w:after="0" w:line="250" w:lineRule="auto"/>
        <w:tabs>
          <w:tab w:leader="none" w:pos="980"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Non-GLP PK/PD and toxicology studies may be conducted to assess the feasibility of different routes of administration (e.g. intravitreal, intravenous etc).</w:t>
      </w:r>
    </w:p>
    <w:p>
      <w:pPr>
        <w:ind w:left="980" w:right="40" w:hanging="324"/>
        <w:spacing w:after="0" w:line="250" w:lineRule="auto"/>
        <w:tabs>
          <w:tab w:leader="none" w:pos="980"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GLP Toxicology studies will be conducted using material representative of our clinical lot, using a route, dose and design tailored for our first clinical application.</w:t>
      </w:r>
    </w:p>
    <w:p>
      <w:pPr>
        <w:ind w:left="980" w:right="60" w:hanging="324"/>
        <w:spacing w:after="0" w:line="250" w:lineRule="auto"/>
        <w:tabs>
          <w:tab w:leader="none" w:pos="980"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will vary depending on the first indication we pursue. A multiple ascending dose design may be used in phase I clinical studies with primary endpoints assessing the safety and tolerability of the test article. Phase II designs will vary depending on indication and route, but will assess both the safety and the effective dose of the test article. Phase III studies will be designed with feedback from regulatory authorities using approvable endpoints.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will (either itself or with partners) commercialize products which receive regulatory approval in approved territories</w:t>
      </w:r>
    </w:p>
    <w:p>
      <w:pPr>
        <w:spacing w:after="0" w:line="2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clinical and preclinical results, the company may develop more than one antibody, and may pursue more than one clinical indication</w:t>
      </w:r>
    </w:p>
    <w:p>
      <w:pPr>
        <w:spacing w:after="0" w:line="225" w:lineRule="exact"/>
        <w:rPr>
          <w:sz w:val="20"/>
          <w:szCs w:val="20"/>
          <w:color w:val="auto"/>
        </w:rPr>
      </w:pPr>
    </w:p>
    <w:p>
      <w:pPr>
        <w:ind w:right="680" w:firstLine="2"/>
        <w:spacing w:after="0" w:line="282" w:lineRule="auto"/>
        <w:rPr>
          <w:sz w:val="20"/>
          <w:szCs w:val="20"/>
          <w:color w:val="auto"/>
        </w:rPr>
      </w:pPr>
      <w:r>
        <w:rPr>
          <w:rFonts w:ascii="Times New Roman" w:cs="Times New Roman" w:eastAsia="Times New Roman" w:hAnsi="Times New Roman"/>
          <w:sz w:val="18"/>
          <w:szCs w:val="18"/>
          <w:color w:val="auto"/>
        </w:rPr>
        <w:t>Development Timelines will vary depending on data under the Research Plan, the route and indication for development and other parameters. This development plan will be updated as development begins and these parameters are defined.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anticipate timelines will be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840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Year after the date of execution of this agreement</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Lead identification</w:t>
            </w: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Year 1</w:t>
            </w:r>
          </w:p>
        </w:tc>
        <w:tc>
          <w:tcPr>
            <w:tcW w:w="7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 (12-18 months)</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 filing</w:t>
            </w:r>
          </w:p>
        </w:tc>
        <w:tc>
          <w:tcPr>
            <w:tcW w:w="84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Year 2-2.5</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First Patient Dosed in Phase I</w:t>
            </w:r>
          </w:p>
        </w:tc>
        <w:tc>
          <w:tcPr>
            <w:tcW w:w="84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Year 3-3.5</w:t>
            </w:r>
          </w:p>
        </w:tc>
      </w:tr>
      <w:tr>
        <w:trPr>
          <w:trHeight w:val="191"/>
        </w:trPr>
        <w:tc>
          <w:tcPr>
            <w:tcW w:w="28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First Patient Dosed in a</w:t>
            </w:r>
          </w:p>
        </w:tc>
        <w:tc>
          <w:tcPr>
            <w:tcW w:w="840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Year 4-4.5</w:t>
            </w:r>
          </w:p>
        </w:tc>
      </w:tr>
      <w:tr>
        <w:trPr>
          <w:trHeight w:val="216"/>
        </w:trPr>
        <w:tc>
          <w:tcPr>
            <w:tcW w:w="2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Phase II (a or b) dose</w:t>
            </w:r>
          </w:p>
        </w:tc>
        <w:tc>
          <w:tcPr>
            <w:tcW w:w="580" w:type="dxa"/>
            <w:vAlign w:val="bottom"/>
          </w:tcPr>
          <w:p>
            <w:pPr>
              <w:spacing w:after="0"/>
              <w:rPr>
                <w:sz w:val="18"/>
                <w:szCs w:val="18"/>
                <w:color w:val="auto"/>
              </w:rPr>
            </w:pPr>
          </w:p>
        </w:tc>
        <w:tc>
          <w:tcPr>
            <w:tcW w:w="7820" w:type="dxa"/>
            <w:vAlign w:val="bottom"/>
            <w:tcBorders>
              <w:right w:val="single" w:sz="8" w:color="auto"/>
            </w:tcBorders>
          </w:tcPr>
          <w:p>
            <w:pPr>
              <w:spacing w:after="0"/>
              <w:rPr>
                <w:sz w:val="18"/>
                <w:szCs w:val="18"/>
                <w:color w:val="auto"/>
              </w:rPr>
            </w:pPr>
          </w:p>
        </w:tc>
      </w:tr>
      <w:tr>
        <w:trPr>
          <w:trHeight w:val="234"/>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ranging study</w:t>
            </w:r>
          </w:p>
        </w:tc>
        <w:tc>
          <w:tcPr>
            <w:tcW w:w="580" w:type="dxa"/>
            <w:vAlign w:val="bottom"/>
            <w:tcBorders>
              <w:bottom w:val="single" w:sz="8" w:color="auto"/>
            </w:tcBorders>
          </w:tcPr>
          <w:p>
            <w:pPr>
              <w:spacing w:after="0"/>
              <w:rPr>
                <w:sz w:val="20"/>
                <w:szCs w:val="20"/>
                <w:color w:val="auto"/>
              </w:rPr>
            </w:pPr>
          </w:p>
        </w:tc>
        <w:tc>
          <w:tcPr>
            <w:tcW w:w="7820" w:type="dxa"/>
            <w:vAlign w:val="bottom"/>
            <w:tcBorders>
              <w:bottom w:val="single" w:sz="8" w:color="auto"/>
              <w:right w:val="single" w:sz="8" w:color="auto"/>
            </w:tcBorders>
          </w:tcPr>
          <w:p>
            <w:pPr>
              <w:spacing w:after="0"/>
              <w:rPr>
                <w:sz w:val="20"/>
                <w:szCs w:val="20"/>
                <w:color w:val="auto"/>
              </w:rPr>
            </w:pPr>
          </w:p>
        </w:tc>
      </w:tr>
      <w:tr>
        <w:trPr>
          <w:trHeight w:val="191"/>
        </w:trPr>
        <w:tc>
          <w:tcPr>
            <w:tcW w:w="28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First Patient Dosed in a</w:t>
            </w:r>
          </w:p>
        </w:tc>
        <w:tc>
          <w:tcPr>
            <w:tcW w:w="840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Year 6-6.6</w:t>
            </w:r>
          </w:p>
        </w:tc>
      </w:tr>
      <w:tr>
        <w:trPr>
          <w:trHeight w:val="234"/>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Phase III study</w:t>
            </w:r>
          </w:p>
        </w:tc>
        <w:tc>
          <w:tcPr>
            <w:tcW w:w="580" w:type="dxa"/>
            <w:vAlign w:val="bottom"/>
            <w:tcBorders>
              <w:bottom w:val="single" w:sz="8" w:color="auto"/>
            </w:tcBorders>
          </w:tcPr>
          <w:p>
            <w:pPr>
              <w:spacing w:after="0"/>
              <w:rPr>
                <w:sz w:val="20"/>
                <w:szCs w:val="20"/>
                <w:color w:val="auto"/>
              </w:rPr>
            </w:pPr>
          </w:p>
        </w:tc>
        <w:tc>
          <w:tcPr>
            <w:tcW w:w="7820" w:type="dxa"/>
            <w:vAlign w:val="bottom"/>
            <w:tcBorders>
              <w:bottom w:val="single" w:sz="8" w:color="auto"/>
              <w:right w:val="single" w:sz="8" w:color="auto"/>
            </w:tcBorders>
          </w:tcPr>
          <w:p>
            <w:pPr>
              <w:spacing w:after="0"/>
              <w:rPr>
                <w:sz w:val="20"/>
                <w:szCs w:val="20"/>
                <w:color w:val="auto"/>
              </w:rPr>
            </w:pP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First Regulatory Filing</w:t>
            </w: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Year 8</w:t>
            </w:r>
          </w:p>
        </w:tc>
        <w:tc>
          <w:tcPr>
            <w:tcW w:w="7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- 8.5</w:t>
            </w: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First Commercial Sale</w:t>
            </w: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Year 9</w:t>
            </w:r>
          </w:p>
        </w:tc>
        <w:tc>
          <w:tcPr>
            <w:tcW w:w="7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w:t>
            </w:r>
          </w:p>
        </w:tc>
      </w:tr>
      <w:tr>
        <w:trPr>
          <w:trHeight w:val="648"/>
        </w:trPr>
        <w:tc>
          <w:tcPr>
            <w:tcW w:w="2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76" w:name="page577"/>
    <w:bookmarkEnd w:id="57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use in this Amendment No.1 to the Registration Statement on Form S-4 (File No. 333-249785), of our report dated August 11, 2020, relating to the balance sheet of FS Development Corp. as of June 30, 2020, and the related statements of operations, changes in stockholder’s equity and cash flows for the period from June 25, 2020 (inception) through June 30, 2020, and to the reference to our Firm under the caption “Experts” in the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7, 2020</w:t>
      </w:r>
    </w:p>
    <w:p>
      <w:pPr>
        <w:sectPr>
          <w:pgSz w:w="11900" w:h="16838" w:orient="portrait"/>
          <w:cols w:equalWidth="0" w:num="1">
            <w:col w:w="11240"/>
          </w:cols>
          <w:pgMar w:left="320" w:top="117" w:right="339" w:bottom="1440" w:gutter="0" w:footer="0" w:header="0"/>
        </w:sectPr>
      </w:pPr>
    </w:p>
    <w:bookmarkStart w:id="577" w:name="page578"/>
    <w:bookmarkEnd w:id="577"/>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October 30, 2020 with respect to the financial statements of Gemini Therapeutics, Inc. included in the Proxy Statement of FS Development Corp. that is made a part of the Registration Statement (Form S-4) and Prospectus of FS Development Corp. for the registration of 21,500,000 shares of its common stock.</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7, 2020</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15DA3"/>
    <w:multiLevelType w:val="hybridMultilevel"/>
    <w:lvl w:ilvl="0">
      <w:lvlJc w:val="left"/>
      <w:lvlText w:val="(%1)"/>
      <w:numFmt w:val="decimal"/>
      <w:start w:val="1"/>
    </w:lvl>
  </w:abstractNum>
  <w:abstractNum w:abstractNumId="1">
    <w:nsid w:val="5204A191"/>
    <w:multiLevelType w:val="hybridMultilevel"/>
    <w:lvl w:ilvl="0">
      <w:lvlJc w:val="left"/>
      <w:lvlText w:val="."/>
      <w:numFmt w:val="bullet"/>
      <w:start w:val="1"/>
    </w:lvl>
  </w:abstractNum>
  <w:abstractNum w:abstractNumId="2">
    <w:nsid w:val="4C73A9C6"/>
    <w:multiLevelType w:val="hybridMultilevel"/>
    <w:lvl w:ilvl="0">
      <w:lvlJc w:val="left"/>
      <w:lvlText w:val="(%1)"/>
      <w:numFmt w:val="decimal"/>
      <w:start w:val="1"/>
    </w:lvl>
  </w:abstractNum>
  <w:abstractNum w:abstractNumId="3">
    <w:nsid w:val="1C7E3C01"/>
    <w:multiLevelType w:val="hybridMultilevel"/>
    <w:lvl w:ilvl="0">
      <w:lvlJc w:val="left"/>
      <w:lvlText w:val="(%1)"/>
      <w:numFmt w:val="lowerLetter"/>
      <w:start w:val="1"/>
    </w:lvl>
  </w:abstractNum>
  <w:abstractNum w:abstractNumId="4">
    <w:nsid w:val="1C2201FF"/>
    <w:multiLevelType w:val="hybridMultilevel"/>
    <w:lvl w:ilvl="0">
      <w:lvlJc w:val="left"/>
      <w:lvlText w:val="(%1)"/>
      <w:numFmt w:val="lowerLetter"/>
      <w:start w:val="2"/>
    </w:lvl>
  </w:abstractNum>
  <w:abstractNum w:abstractNumId="5">
    <w:nsid w:val="50ABCEC9"/>
    <w:multiLevelType w:val="hybridMultilevel"/>
    <w:lvl w:ilvl="0">
      <w:lvlJc w:val="left"/>
      <w:lvlText w:val="%1"/>
      <w:numFmt w:val="decimal"/>
      <w:start w:val="1"/>
    </w:lvl>
    <w:lvl w:ilvl="1">
      <w:lvlJc w:val="left"/>
      <w:lvlText w:val="(%2)"/>
      <w:numFmt w:val="lowerLetter"/>
      <w:start w:val="3"/>
    </w:lvl>
  </w:abstractNum>
  <w:abstractNum w:abstractNumId="6">
    <w:nsid w:val="7635AA2A"/>
    <w:multiLevelType w:val="hybridMultilevel"/>
    <w:lvl w:ilvl="0">
      <w:lvlJc w:val="left"/>
      <w:lvlText w:val="(%1)"/>
      <w:numFmt w:val="decimal"/>
      <w:start w:val="5"/>
    </w:lvl>
    <w:lvl w:ilvl="1">
      <w:lvlJc w:val="left"/>
      <w:lvlText w:val="%2"/>
      <w:numFmt w:val="lowerLetter"/>
      <w:start w:val="1"/>
    </w:lvl>
  </w:abstractNum>
  <w:abstractNum w:abstractNumId="7">
    <w:nsid w:val="5E74C4D9"/>
    <w:multiLevelType w:val="hybridMultilevel"/>
    <w:lvl w:ilvl="0">
      <w:lvlJc w:val="left"/>
      <w:lvlText w:val="(%1)"/>
      <w:numFmt w:val="lowerRoman"/>
      <w:start w:val="1"/>
    </w:lvl>
  </w:abstractNum>
  <w:abstractNum w:abstractNumId="8">
    <w:nsid w:val="3B3EBE15"/>
    <w:multiLevelType w:val="hybridMultilevel"/>
    <w:lvl w:ilvl="0">
      <w:lvlJc w:val="left"/>
      <w:lvlText w:val="%1."/>
      <w:numFmt w:val="decimal"/>
      <w:start w:val="1"/>
    </w:lvl>
    <w:lvl w:ilvl="1">
      <w:lvlJc w:val="left"/>
      <w:lvlText w:val="(%2)"/>
      <w:numFmt w:val="lowerRoman"/>
      <w:start w:val="1"/>
    </w:lvl>
  </w:abstractNum>
  <w:abstractNum w:abstractNumId="9">
    <w:nsid w:val="3822CB01"/>
    <w:multiLevelType w:val="hybridMultilevel"/>
    <w:lvl w:ilvl="0">
      <w:lvlJc w:val="left"/>
      <w:lvlText w:val="%1."/>
      <w:numFmt w:val="decimal"/>
      <w:start w:val="2"/>
    </w:lvl>
  </w:abstractNum>
  <w:abstractNum w:abstractNumId="10">
    <w:nsid w:val="6CE00443"/>
    <w:multiLevelType w:val="hybridMultilevel"/>
    <w:lvl w:ilvl="0">
      <w:lvlJc w:val="left"/>
      <w:lvlText w:val="%1."/>
      <w:numFmt w:val="decimal"/>
      <w:start w:val="4"/>
    </w:lvl>
  </w:abstractNum>
  <w:abstractNum w:abstractNumId="11">
    <w:nsid w:val="79F0D62F"/>
    <w:multiLevelType w:val="hybridMultilevel"/>
    <w:lvl w:ilvl="0">
      <w:lvlJc w:val="left"/>
      <w:lvlText w:val="(%1)"/>
      <w:numFmt w:val="lowerLetter"/>
      <w:start w:val="1"/>
    </w:lvl>
  </w:abstractNum>
  <w:abstractNum w:abstractNumId="12">
    <w:nsid w:val="7975E8EE"/>
    <w:multiLevelType w:val="hybridMultilevel"/>
    <w:lvl w:ilvl="0">
      <w:lvlJc w:val="left"/>
      <w:lvlText w:val="%1"/>
      <w:numFmt w:val="decimal"/>
      <w:start w:val="1"/>
    </w:lvl>
    <w:lvl w:ilvl="1">
      <w:lvlJc w:val="left"/>
      <w:lvlText w:val="(%2)"/>
      <w:numFmt w:val="lowerLetter"/>
      <w:start w:val="2"/>
    </w:lvl>
  </w:abstractNum>
  <w:abstractNum w:abstractNumId="13">
    <w:nsid w:val="73154115"/>
    <w:multiLevelType w:val="hybridMultilevel"/>
    <w:lvl w:ilvl="0">
      <w:lvlJc w:val="left"/>
      <w:lvlText w:val="%1."/>
      <w:numFmt w:val="decimal"/>
      <w:start w:val="5"/>
    </w:lvl>
    <w:lvl w:ilvl="1">
      <w:lvlJc w:val="left"/>
      <w:lvlText w:val="%2"/>
      <w:numFmt w:val="lowerLetter"/>
      <w:start w:val="1"/>
    </w:lvl>
  </w:abstractNum>
  <w:abstractNum w:abstractNumId="14">
    <w:nsid w:val="622D8102"/>
    <w:multiLevelType w:val="hybridMultilevel"/>
    <w:lvl w:ilvl="0">
      <w:lvlJc w:val="left"/>
      <w:lvlText w:val="(%1)"/>
      <w:numFmt w:val="lowerLetter"/>
      <w:start w:val="2"/>
    </w:lvl>
  </w:abstractNum>
  <w:abstractNum w:abstractNumId="15">
    <w:nsid w:val="2AB26587"/>
    <w:multiLevelType w:val="hybridMultilevel"/>
    <w:lvl w:ilvl="0">
      <w:lvlJc w:val="left"/>
      <w:lvlText w:val="(%1)"/>
      <w:numFmt w:val="lowerLetter"/>
      <w:start w:val="4"/>
    </w:lvl>
  </w:abstractNum>
  <w:abstractNum w:abstractNumId="16">
    <w:nsid w:val="44B3FA61"/>
    <w:multiLevelType w:val="hybridMultilevel"/>
    <w:lvl w:ilvl="0">
      <w:lvlJc w:val="left"/>
      <w:lvlText w:val="%1."/>
      <w:numFmt w:val="upperLetter"/>
      <w:start w:val="17"/>
    </w:lvl>
  </w:abstractNum>
  <w:abstractNum w:abstractNumId="17">
    <w:nsid w:val="1C0CA67C"/>
    <w:multiLevelType w:val="hybridMultilevel"/>
    <w:lvl w:ilvl="0">
      <w:lvlJc w:val="left"/>
      <w:lvlText w:val="%1."/>
      <w:numFmt w:val="upperLetter"/>
      <w:start w:val="1"/>
    </w:lvl>
  </w:abstractNum>
  <w:abstractNum w:abstractNumId="18">
    <w:nsid w:val="3D206613"/>
    <w:multiLevelType w:val="hybridMultilevel"/>
    <w:lvl w:ilvl="0">
      <w:lvlJc w:val="left"/>
      <w:lvlText w:val="%1:"/>
      <w:numFmt w:val="upperLetter"/>
      <w:start w:val="17"/>
    </w:lvl>
  </w:abstractNum>
  <w:abstractNum w:abstractNumId="19">
    <w:nsid w:val="7993B662"/>
    <w:multiLevelType w:val="hybridMultilevel"/>
    <w:lvl w:ilvl="0">
      <w:lvlJc w:val="left"/>
      <w:lvlText w:val="%1:"/>
      <w:numFmt w:val="upperLetter"/>
      <w:start w:val="1"/>
    </w:lvl>
  </w:abstractNum>
  <w:abstractNum w:abstractNumId="20">
    <w:nsid w:val="3BAB699E"/>
    <w:multiLevelType w:val="hybridMultilevel"/>
    <w:lvl w:ilvl="0">
      <w:lvlJc w:val="left"/>
      <w:lvlText w:val="%1:"/>
      <w:numFmt w:val="upperLetter"/>
      <w:start w:val="17"/>
    </w:lvl>
  </w:abstractNum>
  <w:abstractNum w:abstractNumId="21">
    <w:nsid w:val="7131536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2">
    <w:nsid w:val="7BCFBAF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23">
    <w:nsid w:val="17859F72"/>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24">
    <w:nsid w:val="3AA10581"/>
    <w:multiLevelType w:val="hybridMultilevel"/>
    <w:lvl w:ilvl="0">
      <w:lvlJc w:val="left"/>
      <w:lvlText w:val="%1:"/>
      <w:numFmt w:val="upperLetter"/>
      <w:start w:val="17"/>
    </w:lvl>
    <w:lvl w:ilvl="1">
      <w:lvlJc w:val="left"/>
      <w:lvlText w:val="%2"/>
      <w:numFmt w:val="decimal"/>
      <w:start w:val="1"/>
    </w:lvl>
    <w:lvl w:ilvl="2">
      <w:lvlJc w:val="left"/>
      <w:lvlText w:val="%3"/>
      <w:numFmt w:val="lowerLetter"/>
      <w:start w:val="1"/>
    </w:lvl>
  </w:abstractNum>
  <w:abstractNum w:abstractNumId="25">
    <w:nsid w:val="63DE60CD"/>
    <w:multiLevelType w:val="hybridMultilevel"/>
    <w:lvl w:ilvl="0">
      <w:lvlJc w:val="left"/>
      <w:lvlText w:val="%1:"/>
      <w:numFmt w:val="upperLetter"/>
      <w:start w:val="17"/>
    </w:lvl>
  </w:abstractNum>
  <w:abstractNum w:abstractNumId="26">
    <w:nsid w:val="621AF471"/>
    <w:multiLevelType w:val="hybridMultilevel"/>
    <w:lvl w:ilvl="0">
      <w:lvlJc w:val="left"/>
      <w:lvlText w:val="%1:"/>
      <w:numFmt w:val="upperLetter"/>
      <w:start w:val="1"/>
    </w:lvl>
  </w:abstractNum>
  <w:abstractNum w:abstractNumId="27">
    <w:nsid w:val="73CFE165"/>
    <w:multiLevelType w:val="hybridMultilevel"/>
    <w:lvl w:ilvl="0">
      <w:lvlJc w:val="left"/>
      <w:lvlText w:val="%1:"/>
      <w:numFmt w:val="upperLetter"/>
      <w:start w:val="17"/>
    </w:lvl>
  </w:abstractNum>
  <w:abstractNum w:abstractNumId="28">
    <w:nsid w:val="20F88EA6"/>
    <w:multiLevelType w:val="hybridMultilevel"/>
    <w:lvl w:ilvl="0">
      <w:lvlJc w:val="left"/>
      <w:lvlText w:val="%1:"/>
      <w:numFmt w:val="upperLetter"/>
      <w:start w:val="1"/>
    </w:lvl>
  </w:abstractNum>
  <w:abstractNum w:abstractNumId="29">
    <w:nsid w:val="617C843E"/>
    <w:multiLevelType w:val="hybridMultilevel"/>
    <w:lvl w:ilvl="0">
      <w:lvlJc w:val="left"/>
      <w:lvlText w:val="%1:"/>
      <w:numFmt w:val="upperLetter"/>
      <w:start w:val="17"/>
    </w:lvl>
  </w:abstractNum>
  <w:abstractNum w:abstractNumId="30">
    <w:nsid w:val="7B541FAB"/>
    <w:multiLevelType w:val="hybridMultilevel"/>
    <w:lvl w:ilvl="0">
      <w:lvlJc w:val="left"/>
      <w:lvlText w:val="%1:"/>
      <w:numFmt w:val="upperLetter"/>
      <w:start w:val="1"/>
    </w:lvl>
  </w:abstractNum>
  <w:abstractNum w:abstractNumId="31">
    <w:nsid w:val="2A79EC49"/>
    <w:multiLevelType w:val="hybridMultilevel"/>
    <w:lvl w:ilvl="0">
      <w:lvlJc w:val="left"/>
      <w:lvlText w:val="%1:"/>
      <w:numFmt w:val="upperLetter"/>
      <w:start w:val="17"/>
    </w:lvl>
  </w:abstractNum>
  <w:abstractNum w:abstractNumId="32">
    <w:nsid w:val="338125CF"/>
    <w:multiLevelType w:val="hybridMultilevel"/>
    <w:lvl w:ilvl="0">
      <w:lvlJc w:val="left"/>
      <w:lvlText w:val="%1:"/>
      <w:numFmt w:val="upperLetter"/>
      <w:start w:val="1"/>
    </w:lvl>
  </w:abstractNum>
  <w:abstractNum w:abstractNumId="33">
    <w:nsid w:val="47C7C971"/>
    <w:multiLevelType w:val="hybridMultilevel"/>
    <w:lvl w:ilvl="0">
      <w:lvlJc w:val="left"/>
      <w:lvlText w:val="%1:"/>
      <w:numFmt w:val="upperLetter"/>
      <w:start w:val="17"/>
    </w:lvl>
  </w:abstractNum>
  <w:abstractNum w:abstractNumId="34">
    <w:nsid w:val="46F8284B"/>
    <w:multiLevelType w:val="hybridMultilevel"/>
    <w:lvl w:ilvl="0">
      <w:lvlJc w:val="left"/>
      <w:lvlText w:val="%1:"/>
      <w:numFmt w:val="upperLetter"/>
      <w:start w:val="1"/>
    </w:lvl>
  </w:abstractNum>
  <w:abstractNum w:abstractNumId="35">
    <w:nsid w:val="4FA327CE"/>
    <w:multiLevelType w:val="hybridMultilevel"/>
    <w:lvl w:ilvl="0">
      <w:lvlJc w:val="left"/>
      <w:lvlText w:val="%1:"/>
      <w:numFmt w:val="upperLetter"/>
      <w:start w:val="17"/>
    </w:lvl>
  </w:abstractNum>
  <w:abstractNum w:abstractNumId="36">
    <w:nsid w:val="1873983A"/>
    <w:multiLevelType w:val="hybridMultilevel"/>
    <w:lvl w:ilvl="0">
      <w:lvlJc w:val="left"/>
      <w:lvlText w:val="%1:"/>
      <w:numFmt w:val="upperLetter"/>
      <w:start w:val="1"/>
    </w:lvl>
    <w:lvl w:ilvl="1">
      <w:lvlJc w:val="left"/>
      <w:lvlText w:val="(%2)"/>
      <w:numFmt w:val="lowerRoman"/>
      <w:start w:val="5"/>
    </w:lvl>
  </w:abstractNum>
  <w:abstractNum w:abstractNumId="37">
    <w:nsid w:val="3D2DD275"/>
    <w:multiLevelType w:val="hybridMultilevel"/>
    <w:lvl w:ilvl="0">
      <w:lvlJc w:val="left"/>
      <w:lvlText w:val="%1:"/>
      <w:numFmt w:val="upperLetter"/>
      <w:start w:val="17"/>
    </w:lvl>
  </w:abstractNum>
  <w:abstractNum w:abstractNumId="38">
    <w:nsid w:val="2E17ECA7"/>
    <w:multiLevelType w:val="hybridMultilevel"/>
    <w:lvl w:ilvl="0">
      <w:lvlJc w:val="left"/>
      <w:lvlText w:val="%1:"/>
      <w:numFmt w:val="upperLetter"/>
      <w:start w:val="1"/>
    </w:lvl>
  </w:abstractNum>
  <w:abstractNum w:abstractNumId="39">
    <w:nsid w:val="53B2564F"/>
    <w:multiLevelType w:val="hybridMultilevel"/>
    <w:lvl w:ilvl="0">
      <w:lvlJc w:val="left"/>
      <w:lvlText w:val="%1."/>
      <w:numFmt w:val="upperLetter"/>
      <w:start w:val="17"/>
    </w:lvl>
  </w:abstractNum>
  <w:abstractNum w:abstractNumId="40">
    <w:nsid w:val="75509D76"/>
    <w:multiLevelType w:val="hybridMultilevel"/>
    <w:lvl w:ilvl="0">
      <w:lvlJc w:val="left"/>
      <w:lvlText w:val="%1."/>
      <w:numFmt w:val="upperLetter"/>
      <w:start w:val="1"/>
    </w:lvl>
  </w:abstractNum>
  <w:abstractNum w:abstractNumId="41">
    <w:nsid w:val="1AF7F0EA"/>
    <w:multiLevelType w:val="hybridMultilevel"/>
    <w:lvl w:ilvl="0">
      <w:lvlJc w:val="left"/>
      <w:lvlText w:val="%1:"/>
      <w:numFmt w:val="upperLetter"/>
      <w:start w:val="17"/>
    </w:lvl>
  </w:abstractNum>
  <w:abstractNum w:abstractNumId="42">
    <w:nsid w:val="4DA32C7E"/>
    <w:multiLevelType w:val="hybridMultilevel"/>
    <w:lvl w:ilvl="0">
      <w:lvlJc w:val="left"/>
      <w:lvlText w:val="%1:"/>
      <w:numFmt w:val="upperLetter"/>
      <w:start w:val="1"/>
    </w:lvl>
  </w:abstractNum>
  <w:abstractNum w:abstractNumId="43">
    <w:nsid w:val="6EC68664"/>
    <w:multiLevelType w:val="hybridMultilevel"/>
    <w:lvl w:ilvl="0">
      <w:lvlJc w:val="left"/>
      <w:lvlText w:val="%1:"/>
      <w:numFmt w:val="upperLetter"/>
      <w:start w:val="17"/>
    </w:lvl>
  </w:abstractNum>
  <w:abstractNum w:abstractNumId="44">
    <w:nsid w:val="E0D31FF"/>
    <w:multiLevelType w:val="hybridMultilevel"/>
    <w:lvl w:ilvl="0">
      <w:lvlJc w:val="left"/>
      <w:lvlText w:val="%1:"/>
      <w:numFmt w:val="upperLetter"/>
      <w:start w:val="1"/>
    </w:lvl>
  </w:abstractNum>
  <w:abstractNum w:abstractNumId="45">
    <w:nsid w:val="2FD0AD81"/>
    <w:multiLevelType w:val="hybridMultilevel"/>
    <w:lvl w:ilvl="0">
      <w:lvlJc w:val="left"/>
      <w:lvlText w:val="%1:"/>
      <w:numFmt w:val="upperLetter"/>
      <w:start w:val="17"/>
    </w:lvl>
  </w:abstractNum>
  <w:abstractNum w:abstractNumId="46">
    <w:nsid w:val="1978EBEB"/>
    <w:multiLevelType w:val="hybridMultilevel"/>
    <w:lvl w:ilvl="0">
      <w:lvlJc w:val="left"/>
      <w:lvlText w:val="%1:"/>
      <w:numFmt w:val="upperLetter"/>
      <w:start w:val="1"/>
    </w:lvl>
  </w:abstractNum>
  <w:abstractNum w:abstractNumId="47">
    <w:nsid w:val="52C12C61"/>
    <w:multiLevelType w:val="hybridMultilevel"/>
    <w:lvl w:ilvl="0">
      <w:lvlJc w:val="left"/>
      <w:lvlText w:val="%1:"/>
      <w:numFmt w:val="upperLetter"/>
      <w:start w:val="17"/>
    </w:lvl>
  </w:abstractNum>
  <w:abstractNum w:abstractNumId="48">
    <w:nsid w:val="4BDD53FD"/>
    <w:multiLevelType w:val="hybridMultilevel"/>
    <w:lvl w:ilvl="0">
      <w:lvlJc w:val="left"/>
      <w:lvlText w:val="%1:"/>
      <w:numFmt w:val="upperLetter"/>
      <w:start w:val="1"/>
    </w:lvl>
  </w:abstractNum>
  <w:abstractNum w:abstractNumId="49">
    <w:nsid w:val="569951FE"/>
    <w:multiLevelType w:val="hybridMultilevel"/>
    <w:lvl w:ilvl="0">
      <w:lvlJc w:val="left"/>
      <w:lvlText w:val="%1:"/>
      <w:numFmt w:val="upperLetter"/>
      <w:start w:val="17"/>
    </w:lvl>
  </w:abstractNum>
  <w:abstractNum w:abstractNumId="50">
    <w:nsid w:val="4C54E2C3"/>
    <w:multiLevelType w:val="hybridMultilevel"/>
    <w:lvl w:ilvl="0">
      <w:lvlJc w:val="left"/>
      <w:lvlText w:val="%1:"/>
      <w:numFmt w:val="upperLetter"/>
      <w:start w:val="1"/>
    </w:lvl>
  </w:abstractNum>
  <w:abstractNum w:abstractNumId="51">
    <w:nsid w:val="788BD9B"/>
    <w:multiLevelType w:val="hybridMultilevel"/>
    <w:lvl w:ilvl="0">
      <w:lvlJc w:val="left"/>
      <w:lvlText w:val="%1:"/>
      <w:numFmt w:val="upperLetter"/>
      <w:start w:val="17"/>
    </w:lvl>
  </w:abstractNum>
  <w:abstractNum w:abstractNumId="52">
    <w:nsid w:val="47CAA567"/>
    <w:multiLevelType w:val="hybridMultilevel"/>
    <w:lvl w:ilvl="0">
      <w:lvlJc w:val="left"/>
      <w:lvlText w:val="%1:"/>
      <w:numFmt w:val="upperLetter"/>
      <w:start w:val="1"/>
    </w:lvl>
  </w:abstractNum>
  <w:abstractNum w:abstractNumId="53">
    <w:nsid w:val="48249DBF"/>
    <w:multiLevelType w:val="hybridMultilevel"/>
    <w:lvl w:ilvl="0">
      <w:lvlJc w:val="left"/>
      <w:lvlText w:val="%1:"/>
      <w:numFmt w:val="upperLetter"/>
      <w:start w:val="17"/>
    </w:lvl>
  </w:abstractNum>
  <w:abstractNum w:abstractNumId="54">
    <w:nsid w:val="1F0E5D0D"/>
    <w:multiLevelType w:val="hybridMultilevel"/>
    <w:lvl w:ilvl="0">
      <w:lvlJc w:val="left"/>
      <w:lvlText w:val="%1:"/>
      <w:numFmt w:val="upperLetter"/>
      <w:start w:val="1"/>
    </w:lvl>
    <w:lvl w:ilvl="1">
      <w:lvlJc w:val="left"/>
      <w:lvlText w:val="•"/>
      <w:numFmt w:val="bullet"/>
      <w:start w:val="1"/>
    </w:lvl>
  </w:abstractNum>
  <w:abstractNum w:abstractNumId="55">
    <w:nsid w:val="26BAAE9"/>
    <w:multiLevelType w:val="hybridMultilevel"/>
    <w:lvl w:ilvl="0">
      <w:lvlJc w:val="left"/>
      <w:lvlText w:val="•"/>
      <w:numFmt w:val="bullet"/>
      <w:start w:val="1"/>
    </w:lvl>
  </w:abstractNum>
  <w:abstractNum w:abstractNumId="56">
    <w:nsid w:val="2C02FE8C"/>
    <w:multiLevelType w:val="hybridMultilevel"/>
    <w:lvl w:ilvl="0">
      <w:lvlJc w:val="left"/>
      <w:lvlText w:val="%1:"/>
      <w:numFmt w:val="upperLetter"/>
      <w:start w:val="17"/>
    </w:lvl>
  </w:abstractNum>
  <w:abstractNum w:abstractNumId="57">
    <w:nsid w:val="129517E"/>
    <w:multiLevelType w:val="hybridMultilevel"/>
    <w:lvl w:ilvl="0">
      <w:lvlJc w:val="left"/>
      <w:lvlText w:val="%1:"/>
      <w:numFmt w:val="upperLetter"/>
      <w:start w:val="1"/>
    </w:lvl>
  </w:abstractNum>
  <w:abstractNum w:abstractNumId="58">
    <w:nsid w:val="763B8C4E"/>
    <w:multiLevelType w:val="hybridMultilevel"/>
    <w:lvl w:ilvl="0">
      <w:lvlJc w:val="left"/>
      <w:lvlText w:val="%1:"/>
      <w:numFmt w:val="upperLetter"/>
      <w:start w:val="17"/>
    </w:lvl>
  </w:abstractNum>
  <w:abstractNum w:abstractNumId="59">
    <w:nsid w:val="4CFB8D32"/>
    <w:multiLevelType w:val="hybridMultilevel"/>
    <w:lvl w:ilvl="0">
      <w:lvlJc w:val="left"/>
      <w:lvlText w:val="%1:"/>
      <w:numFmt w:val="upperLetter"/>
      <w:start w:val="17"/>
    </w:lvl>
  </w:abstractNum>
  <w:abstractNum w:abstractNumId="60">
    <w:nsid w:val="62A5D5BD"/>
    <w:multiLevelType w:val="hybridMultilevel"/>
    <w:lvl w:ilvl="0">
      <w:lvlJc w:val="left"/>
      <w:lvlText w:val="%1:"/>
      <w:numFmt w:val="upperLetter"/>
      <w:start w:val="1"/>
    </w:lvl>
  </w:abstractNum>
  <w:abstractNum w:abstractNumId="61">
    <w:nsid w:val="718FABF9"/>
    <w:multiLevelType w:val="hybridMultilevel"/>
    <w:lvl w:ilvl="0">
      <w:lvlJc w:val="left"/>
      <w:lvlText w:val="%1:"/>
      <w:numFmt w:val="upperLetter"/>
      <w:start w:val="17"/>
    </w:lvl>
  </w:abstractNum>
  <w:abstractNum w:abstractNumId="62">
    <w:nsid w:val="7775797C"/>
    <w:multiLevelType w:val="hybridMultilevel"/>
    <w:lvl w:ilvl="0">
      <w:lvlJc w:val="left"/>
      <w:lvlText w:val="%1:"/>
      <w:numFmt w:val="upperLetter"/>
      <w:start w:val="1"/>
    </w:lvl>
  </w:abstractNum>
  <w:abstractNum w:abstractNumId="63">
    <w:nsid w:val="1626FB8C"/>
    <w:multiLevelType w:val="hybridMultilevel"/>
    <w:lvl w:ilvl="0">
      <w:lvlJc w:val="left"/>
      <w:lvlText w:val="%1:"/>
      <w:numFmt w:val="upperLetter"/>
      <w:start w:val="17"/>
    </w:lvl>
  </w:abstractNum>
  <w:abstractNum w:abstractNumId="64">
    <w:nsid w:val="3957756A"/>
    <w:multiLevelType w:val="hybridMultilevel"/>
    <w:lvl w:ilvl="0">
      <w:lvlJc w:val="left"/>
      <w:lvlText w:val="%1:"/>
      <w:numFmt w:val="upperLetter"/>
      <w:start w:val="17"/>
    </w:lvl>
  </w:abstractNum>
  <w:abstractNum w:abstractNumId="65">
    <w:nsid w:val="3E6DA1C7"/>
    <w:multiLevelType w:val="hybridMultilevel"/>
    <w:lvl w:ilvl="0">
      <w:lvlJc w:val="left"/>
      <w:lvlText w:val="%1:"/>
      <w:numFmt w:val="upperLetter"/>
      <w:start w:val="1"/>
    </w:lvl>
  </w:abstractNum>
  <w:abstractNum w:abstractNumId="66">
    <w:nsid w:val="65CA235B"/>
    <w:multiLevelType w:val="hybridMultilevel"/>
    <w:lvl w:ilvl="0">
      <w:lvlJc w:val="left"/>
      <w:lvlText w:val="%1:"/>
      <w:numFmt w:val="upperLetter"/>
      <w:start w:val="17"/>
    </w:lvl>
  </w:abstractNum>
  <w:abstractNum w:abstractNumId="67">
    <w:nsid w:val="51CB0DA4"/>
    <w:multiLevelType w:val="hybridMultilevel"/>
    <w:lvl w:ilvl="0">
      <w:lvlJc w:val="left"/>
      <w:lvlText w:val="%1:"/>
      <w:numFmt w:val="upperLetter"/>
      <w:start w:val="1"/>
    </w:lvl>
  </w:abstractNum>
  <w:abstractNum w:abstractNumId="68">
    <w:nsid w:val="7B9B743C"/>
    <w:multiLevelType w:val="hybridMultilevel"/>
    <w:lvl w:ilvl="0">
      <w:lvlJc w:val="left"/>
      <w:lvlText w:val="%1:"/>
      <w:numFmt w:val="upperLetter"/>
      <w:start w:val="17"/>
    </w:lvl>
  </w:abstractNum>
  <w:abstractNum w:abstractNumId="69">
    <w:nsid w:val="13E21002"/>
    <w:multiLevelType w:val="hybridMultilevel"/>
    <w:lvl w:ilvl="0">
      <w:lvlJc w:val="left"/>
      <w:lvlText w:val="%1:"/>
      <w:numFmt w:val="upperLetter"/>
      <w:start w:val="1"/>
    </w:lvl>
    <w:lvl w:ilvl="1">
      <w:lvlJc w:val="left"/>
      <w:lvlText w:val="•"/>
      <w:numFmt w:val="bullet"/>
      <w:start w:val="1"/>
    </w:lvl>
  </w:abstractNum>
  <w:abstractNum w:abstractNumId="70">
    <w:nsid w:val="257D63F4"/>
    <w:multiLevelType w:val="hybridMultilevel"/>
    <w:lvl w:ilvl="0">
      <w:lvlJc w:val="left"/>
      <w:lvlText w:val="%1:"/>
      <w:numFmt w:val="upperLetter"/>
      <w:start w:val="16"/>
    </w:lvl>
    <w:lvl w:ilvl="1">
      <w:lvlJc w:val="left"/>
      <w:lvlText w:val="•"/>
      <w:numFmt w:val="bullet"/>
      <w:start w:val="1"/>
    </w:lvl>
  </w:abstractNum>
  <w:abstractNum w:abstractNumId="71">
    <w:nsid w:val="70EC11B2"/>
    <w:multiLevelType w:val="hybridMultilevel"/>
    <w:lvl w:ilvl="0">
      <w:lvlJc w:val="left"/>
      <w:lvlText w:val="%1:"/>
      <w:numFmt w:val="upperLetter"/>
      <w:start w:val="1"/>
    </w:lvl>
  </w:abstractNum>
  <w:abstractNum w:abstractNumId="72">
    <w:nsid w:val="2EDA00ED"/>
    <w:multiLevelType w:val="hybridMultilevel"/>
    <w:lvl w:ilvl="0">
      <w:lvlJc w:val="left"/>
      <w:lvlText w:val="%1:"/>
      <w:numFmt w:val="upperLetter"/>
      <w:start w:val="17"/>
    </w:lvl>
  </w:abstractNum>
  <w:abstractNum w:abstractNumId="73">
    <w:nsid w:val="73209072"/>
    <w:multiLevelType w:val="hybridMultilevel"/>
    <w:lvl w:ilvl="0">
      <w:lvlJc w:val="left"/>
      <w:lvlText w:val="%1:"/>
      <w:numFmt w:val="upperLetter"/>
      <w:start w:val="1"/>
    </w:lvl>
  </w:abstractNum>
  <w:abstractNum w:abstractNumId="74">
    <w:nsid w:val="5FB29816"/>
    <w:multiLevelType w:val="hybridMultilevel"/>
    <w:lvl w:ilvl="0">
      <w:lvlJc w:val="left"/>
      <w:lvlText w:val="%1:"/>
      <w:numFmt w:val="upperLetter"/>
      <w:start w:val="17"/>
    </w:lvl>
  </w:abstractNum>
  <w:abstractNum w:abstractNumId="75">
    <w:nsid w:val="3CE732EC"/>
    <w:multiLevelType w:val="hybridMultilevel"/>
    <w:lvl w:ilvl="0">
      <w:lvlJc w:val="left"/>
      <w:lvlText w:val="%1:"/>
      <w:numFmt w:val="upperLetter"/>
      <w:start w:val="1"/>
    </w:lvl>
  </w:abstractNum>
  <w:abstractNum w:abstractNumId="76">
    <w:nsid w:val="22F13DF3"/>
    <w:multiLevelType w:val="hybridMultilevel"/>
    <w:lvl w:ilvl="0">
      <w:lvlJc w:val="left"/>
      <w:lvlText w:val="%1:"/>
      <w:numFmt w:val="upperLetter"/>
      <w:start w:val="17"/>
    </w:lvl>
  </w:abstractNum>
  <w:abstractNum w:abstractNumId="77">
    <w:nsid w:val="792B8401"/>
    <w:multiLevelType w:val="hybridMultilevel"/>
    <w:lvl w:ilvl="0">
      <w:lvlJc w:val="left"/>
      <w:lvlText w:val="%1:"/>
      <w:numFmt w:val="upperLetter"/>
      <w:start w:val="1"/>
    </w:lvl>
  </w:abstractNum>
  <w:abstractNum w:abstractNumId="78">
    <w:nsid w:val="FA85F4D"/>
    <w:multiLevelType w:val="hybridMultilevel"/>
    <w:lvl w:ilvl="0">
      <w:lvlJc w:val="left"/>
      <w:lvlText w:val="%1:"/>
      <w:numFmt w:val="upperLetter"/>
      <w:start w:val="17"/>
    </w:lvl>
  </w:abstractNum>
  <w:abstractNum w:abstractNumId="79">
    <w:nsid w:val="6ECE91F0"/>
    <w:multiLevelType w:val="hybridMultilevel"/>
    <w:lvl w:ilvl="0">
      <w:lvlJc w:val="left"/>
      <w:lvlText w:val="%1:"/>
      <w:numFmt w:val="upperLetter"/>
      <w:start w:val="1"/>
    </w:lvl>
  </w:abstractNum>
  <w:abstractNum w:abstractNumId="80">
    <w:nsid w:val="4FC4D600"/>
    <w:multiLevelType w:val="hybridMultilevel"/>
    <w:lvl w:ilvl="0">
      <w:lvlJc w:val="left"/>
      <w:lvlText w:val="%1."/>
      <w:numFmt w:val="upperLetter"/>
      <w:start w:val="17"/>
    </w:lvl>
  </w:abstractNum>
  <w:abstractNum w:abstractNumId="81">
    <w:nsid w:val="5BFD4210"/>
    <w:multiLevelType w:val="hybridMultilevel"/>
    <w:lvl w:ilvl="0">
      <w:lvlJc w:val="left"/>
      <w:lvlText w:val="%1:"/>
      <w:numFmt w:val="upperLetter"/>
      <w:start w:val="1"/>
    </w:lvl>
  </w:abstractNum>
  <w:abstractNum w:abstractNumId="82">
    <w:nsid w:val="76574F8B"/>
    <w:multiLevelType w:val="hybridMultilevel"/>
    <w:lvl w:ilvl="0">
      <w:lvlJc w:val="left"/>
      <w:lvlText w:val="%1:"/>
      <w:numFmt w:val="upperLetter"/>
      <w:start w:val="17"/>
    </w:lvl>
  </w:abstractNum>
  <w:abstractNum w:abstractNumId="83">
    <w:nsid w:val="178F7B67"/>
    <w:multiLevelType w:val="hybridMultilevel"/>
    <w:lvl w:ilvl="0">
      <w:lvlJc w:val="left"/>
      <w:lvlText w:val="%1:"/>
      <w:numFmt w:val="upperLetter"/>
      <w:start w:val="1"/>
    </w:lvl>
  </w:abstractNum>
  <w:abstractNum w:abstractNumId="84">
    <w:nsid w:val="2421DFCF"/>
    <w:multiLevelType w:val="hybridMultilevel"/>
    <w:lvl w:ilvl="0">
      <w:lvlJc w:val="left"/>
      <w:lvlText w:val="%1:"/>
      <w:numFmt w:val="upperLetter"/>
      <w:start w:val="17"/>
    </w:lvl>
  </w:abstractNum>
  <w:abstractNum w:abstractNumId="85">
    <w:nsid w:val="1565AC99"/>
    <w:multiLevelType w:val="hybridMultilevel"/>
    <w:lvl w:ilvl="0">
      <w:lvlJc w:val="left"/>
      <w:lvlText w:val="%1:"/>
      <w:numFmt w:val="upperLetter"/>
      <w:start w:val="1"/>
    </w:lvl>
    <w:lvl w:ilvl="1">
      <w:lvlJc w:val="left"/>
      <w:lvlText w:val="•"/>
      <w:numFmt w:val="bullet"/>
      <w:start w:val="1"/>
    </w:lvl>
  </w:abstractNum>
  <w:abstractNum w:abstractNumId="86">
    <w:nsid w:val="19FB2650"/>
    <w:multiLevelType w:val="hybridMultilevel"/>
    <w:lvl w:ilvl="0">
      <w:lvlJc w:val="left"/>
      <w:lvlText w:val="%1:"/>
      <w:numFmt w:val="upperLetter"/>
      <w:start w:val="17"/>
    </w:lvl>
  </w:abstractNum>
  <w:abstractNum w:abstractNumId="87">
    <w:nsid w:val="5024DE5B"/>
    <w:multiLevelType w:val="hybridMultilevel"/>
    <w:lvl w:ilvl="0">
      <w:lvlJc w:val="left"/>
      <w:lvlText w:val="%1:"/>
      <w:numFmt w:val="upperLetter"/>
      <w:start w:val="1"/>
    </w:lvl>
  </w:abstractNum>
  <w:abstractNum w:abstractNumId="88">
    <w:nsid w:val="168EFE17"/>
    <w:multiLevelType w:val="hybridMultilevel"/>
    <w:lvl w:ilvl="0">
      <w:lvlJc w:val="left"/>
      <w:lvlText w:val="%1:"/>
      <w:numFmt w:val="upperLetter"/>
      <w:start w:val="17"/>
    </w:lvl>
  </w:abstractNum>
  <w:abstractNum w:abstractNumId="89">
    <w:nsid w:val="1036B29F"/>
    <w:multiLevelType w:val="hybridMultilevel"/>
    <w:lvl w:ilvl="0">
      <w:lvlJc w:val="left"/>
      <w:lvlText w:val="%1:"/>
      <w:numFmt w:val="upperLetter"/>
      <w:start w:val="1"/>
    </w:lvl>
  </w:abstractNum>
  <w:abstractNum w:abstractNumId="90">
    <w:nsid w:val="1D206B8E"/>
    <w:multiLevelType w:val="hybridMultilevel"/>
    <w:lvl w:ilvl="0">
      <w:lvlJc w:val="left"/>
      <w:lvlText w:val="%1:"/>
      <w:numFmt w:val="upperLetter"/>
      <w:start w:val="17"/>
    </w:lvl>
  </w:abstractNum>
  <w:abstractNum w:abstractNumId="91">
    <w:nsid w:val="7934D3D4"/>
    <w:multiLevelType w:val="hybridMultilevel"/>
    <w:lvl w:ilvl="0">
      <w:lvlJc w:val="left"/>
      <w:lvlText w:val="%1:"/>
      <w:numFmt w:val="upperLetter"/>
      <w:start w:val="1"/>
    </w:lvl>
  </w:abstractNum>
  <w:abstractNum w:abstractNumId="92">
    <w:nsid w:val="1C65E98"/>
    <w:multiLevelType w:val="hybridMultilevel"/>
    <w:lvl w:ilvl="0">
      <w:lvlJc w:val="left"/>
      <w:lvlText w:val="%1:"/>
      <w:numFmt w:val="upperLetter"/>
      <w:start w:val="17"/>
    </w:lvl>
  </w:abstractNum>
  <w:abstractNum w:abstractNumId="93">
    <w:nsid w:val="1495E50A"/>
    <w:multiLevelType w:val="hybridMultilevel"/>
    <w:lvl w:ilvl="0">
      <w:lvlJc w:val="left"/>
      <w:lvlText w:val="%1:"/>
      <w:numFmt w:val="upperLetter"/>
      <w:start w:val="1"/>
    </w:lvl>
  </w:abstractNum>
  <w:abstractNum w:abstractNumId="94">
    <w:nsid w:val="F5BCF61"/>
    <w:multiLevelType w:val="hybridMultilevel"/>
    <w:lvl w:ilvl="0">
      <w:lvlJc w:val="left"/>
      <w:lvlText w:val="•"/>
      <w:numFmt w:val="bullet"/>
      <w:start w:val="1"/>
    </w:lvl>
  </w:abstractNum>
  <w:abstractNum w:abstractNumId="95">
    <w:nsid w:val="3B1DD403"/>
    <w:multiLevelType w:val="hybridMultilevel"/>
    <w:lvl w:ilvl="0">
      <w:lvlJc w:val="left"/>
      <w:lvlText w:val="•"/>
      <w:numFmt w:val="bullet"/>
      <w:start w:val="1"/>
    </w:lvl>
  </w:abstractNum>
  <w:abstractNum w:abstractNumId="96">
    <w:nsid w:val="530386D1"/>
    <w:multiLevelType w:val="hybridMultilevel"/>
    <w:lvl w:ilvl="0">
      <w:lvlJc w:val="left"/>
      <w:lvlText w:val="%1"/>
      <w:numFmt w:val="upperLetter"/>
      <w:start w:val="61"/>
    </w:lvl>
  </w:abstractNum>
  <w:abstractNum w:abstractNumId="97">
    <w:nsid w:val="7525F2BC"/>
    <w:multiLevelType w:val="hybridMultilevel"/>
    <w:lvl w:ilvl="0">
      <w:lvlJc w:val="left"/>
      <w:lvlText w:val="(%1)"/>
      <w:numFmt w:val="lowerLetter"/>
      <w:start w:val="1"/>
    </w:lvl>
  </w:abstractNum>
  <w:abstractNum w:abstractNumId="98">
    <w:nsid w:val="CE8E1A7"/>
    <w:multiLevelType w:val="hybridMultilevel"/>
    <w:lvl w:ilvl="0">
      <w:lvlJc w:val="left"/>
      <w:lvlText w:val="(%1)"/>
      <w:numFmt w:val="lowerLetter"/>
      <w:start w:val="4"/>
    </w:lvl>
  </w:abstractNum>
  <w:abstractNum w:abstractNumId="99">
    <w:nsid w:val="4E9EFB0D"/>
    <w:multiLevelType w:val="hybridMultilevel"/>
    <w:lvl w:ilvl="0">
      <w:lvlJc w:val="left"/>
      <w:lvlText w:val="•"/>
      <w:numFmt w:val="bullet"/>
      <w:start w:val="1"/>
    </w:lvl>
  </w:abstractNum>
  <w:abstractNum w:abstractNumId="100">
    <w:nsid w:val="90802BE"/>
    <w:multiLevelType w:val="hybridMultilevel"/>
    <w:lvl w:ilvl="0">
      <w:lvlJc w:val="left"/>
      <w:lvlText w:val="•"/>
      <w:numFmt w:val="bullet"/>
      <w:start w:val="1"/>
    </w:lvl>
  </w:abstractNum>
  <w:abstractNum w:abstractNumId="101">
    <w:nsid w:val="3266459B"/>
    <w:multiLevelType w:val="hybridMultilevel"/>
    <w:lvl w:ilvl="0">
      <w:lvlJc w:val="left"/>
      <w:lvlText w:val="•"/>
      <w:numFmt w:val="bullet"/>
      <w:start w:val="1"/>
    </w:lvl>
  </w:abstractNum>
  <w:abstractNum w:abstractNumId="102">
    <w:nsid w:val="3F8B0CBF"/>
    <w:multiLevelType w:val="hybridMultilevel"/>
    <w:lvl w:ilvl="0">
      <w:lvlJc w:val="left"/>
      <w:lvlText w:val="•"/>
      <w:numFmt w:val="bullet"/>
      <w:start w:val="1"/>
    </w:lvl>
  </w:abstractNum>
  <w:abstractNum w:abstractNumId="103">
    <w:nsid w:val="37E203AB"/>
    <w:multiLevelType w:val="hybridMultilevel"/>
    <w:lvl w:ilvl="0">
      <w:lvlJc w:val="left"/>
      <w:lvlText w:val="(%1)"/>
      <w:numFmt w:val="lowerRoman"/>
      <w:start w:val="1"/>
    </w:lvl>
  </w:abstractNum>
  <w:abstractNum w:abstractNumId="104">
    <w:nsid w:val="2586D60E"/>
    <w:multiLevelType w:val="hybridMultilevel"/>
    <w:lvl w:ilvl="0">
      <w:lvlJc w:val="left"/>
      <w:lvlText w:val="(%1)"/>
      <w:numFmt w:val="lowerLetter"/>
      <w:start w:val="1"/>
    </w:lvl>
  </w:abstractNum>
  <w:abstractNum w:abstractNumId="105">
    <w:nsid w:val="1F3DA4D5"/>
    <w:multiLevelType w:val="hybridMultilevel"/>
    <w:lvl w:ilvl="0">
      <w:lvlJc w:val="left"/>
      <w:lvlText w:val="•"/>
      <w:numFmt w:val="bullet"/>
      <w:start w:val="1"/>
    </w:lvl>
  </w:abstractNum>
  <w:abstractNum w:abstractNumId="106">
    <w:nsid w:val="74C93698"/>
    <w:multiLevelType w:val="hybridMultilevel"/>
    <w:lvl w:ilvl="0">
      <w:lvlJc w:val="left"/>
      <w:lvlText w:val="(%1)"/>
      <w:numFmt w:val="decimal"/>
      <w:start w:val="2"/>
    </w:lvl>
  </w:abstractNum>
  <w:abstractNum w:abstractNumId="107">
    <w:nsid w:val="48781401"/>
    <w:multiLevelType w:val="hybridMultilevel"/>
    <w:lvl w:ilvl="0">
      <w:lvlJc w:val="left"/>
      <w:lvlText w:val="(%1)"/>
      <w:numFmt w:val="decimal"/>
      <w:start w:val="1"/>
    </w:lvl>
  </w:abstractNum>
  <w:abstractNum w:abstractNumId="108">
    <w:nsid w:val="186928D6"/>
    <w:multiLevelType w:val="hybridMultilevel"/>
    <w:lvl w:ilvl="0">
      <w:lvlJc w:val="left"/>
      <w:lvlText w:val="•"/>
      <w:numFmt w:val="bullet"/>
      <w:start w:val="1"/>
    </w:lvl>
  </w:abstractNum>
  <w:abstractNum w:abstractNumId="109">
    <w:nsid w:val="47195E5"/>
    <w:multiLevelType w:val="hybridMultilevel"/>
    <w:lvl w:ilvl="0">
      <w:lvlJc w:val="left"/>
      <w:lvlText w:val="•"/>
      <w:numFmt w:val="bullet"/>
      <w:start w:val="1"/>
    </w:lvl>
  </w:abstractNum>
  <w:abstractNum w:abstractNumId="110">
    <w:nsid w:val="3746A5F2"/>
    <w:multiLevelType w:val="hybridMultilevel"/>
    <w:lvl w:ilvl="0">
      <w:lvlJc w:val="left"/>
      <w:lvlText w:val="•"/>
      <w:numFmt w:val="bullet"/>
      <w:start w:val="1"/>
    </w:lvl>
  </w:abstractNum>
  <w:abstractNum w:abstractNumId="111">
    <w:nsid w:val="682DFED6"/>
    <w:multiLevelType w:val="hybridMultilevel"/>
    <w:lvl w:ilvl="0">
      <w:lvlJc w:val="left"/>
      <w:lvlText w:val="•"/>
      <w:numFmt w:val="bullet"/>
      <w:start w:val="1"/>
    </w:lvl>
  </w:abstractNum>
  <w:abstractNum w:abstractNumId="112">
    <w:nsid w:val="606ED7F6"/>
    <w:multiLevelType w:val="hybridMultilevel"/>
    <w:lvl w:ilvl="0">
      <w:lvlJc w:val="left"/>
      <w:lvlText w:val="•"/>
      <w:numFmt w:val="bullet"/>
      <w:start w:val="1"/>
    </w:lvl>
  </w:abstractNum>
  <w:abstractNum w:abstractNumId="113">
    <w:nsid w:val="2D9DF57D"/>
    <w:multiLevelType w:val="hybridMultilevel"/>
    <w:lvl w:ilvl="0">
      <w:lvlJc w:val="left"/>
      <w:lvlText w:val="•"/>
      <w:numFmt w:val="bullet"/>
      <w:start w:val="1"/>
    </w:lvl>
  </w:abstractNum>
  <w:abstractNum w:abstractNumId="114">
    <w:nsid w:val="7FBD7A3E"/>
    <w:multiLevelType w:val="hybridMultilevel"/>
    <w:lvl w:ilvl="0">
      <w:lvlJc w:val="left"/>
      <w:lvlText w:val="•"/>
      <w:numFmt w:val="bullet"/>
      <w:start w:val="1"/>
    </w:lvl>
  </w:abstractNum>
  <w:abstractNum w:abstractNumId="115">
    <w:nsid w:val="490B7C5"/>
    <w:multiLevelType w:val="hybridMultilevel"/>
    <w:lvl w:ilvl="0">
      <w:lvlJc w:val="left"/>
      <w:lvlText w:val="•"/>
      <w:numFmt w:val="bullet"/>
      <w:start w:val="1"/>
    </w:lvl>
  </w:abstractNum>
  <w:abstractNum w:abstractNumId="116">
    <w:nsid w:val="4303A216"/>
    <w:multiLevelType w:val="hybridMultilevel"/>
    <w:lvl w:ilvl="0">
      <w:lvlJc w:val="left"/>
      <w:lvlText w:val="•"/>
      <w:numFmt w:val="bullet"/>
      <w:start w:val="1"/>
    </w:lvl>
  </w:abstractNum>
  <w:abstractNum w:abstractNumId="117">
    <w:nsid w:val="19B8A08E"/>
    <w:multiLevelType w:val="hybridMultilevel"/>
    <w:lvl w:ilvl="0">
      <w:lvlJc w:val="left"/>
      <w:lvlText w:val="•"/>
      <w:numFmt w:val="bullet"/>
      <w:start w:val="1"/>
    </w:lvl>
  </w:abstractNum>
  <w:abstractNum w:abstractNumId="118">
    <w:nsid w:val="54B59621"/>
    <w:multiLevelType w:val="hybridMultilevel"/>
    <w:lvl w:ilvl="0">
      <w:lvlJc w:val="left"/>
      <w:lvlText w:val="•"/>
      <w:numFmt w:val="bullet"/>
      <w:start w:val="1"/>
    </w:lvl>
  </w:abstractNum>
  <w:abstractNum w:abstractNumId="119">
    <w:nsid w:val="5992A02E"/>
    <w:multiLevelType w:val="hybridMultilevel"/>
    <w:lvl w:ilvl="0">
      <w:lvlJc w:val="left"/>
      <w:lvlText w:val="•"/>
      <w:numFmt w:val="bullet"/>
      <w:start w:val="1"/>
    </w:lvl>
  </w:abstractNum>
  <w:abstractNum w:abstractNumId="120">
    <w:nsid w:val="29EF532D"/>
    <w:multiLevelType w:val="hybridMultilevel"/>
    <w:lvl w:ilvl="0">
      <w:lvlJc w:val="left"/>
      <w:lvlText w:val="•"/>
      <w:numFmt w:val="bullet"/>
      <w:start w:val="1"/>
    </w:lvl>
  </w:abstractNum>
  <w:abstractNum w:abstractNumId="121">
    <w:nsid w:val="71D601AF"/>
    <w:multiLevelType w:val="hybridMultilevel"/>
    <w:lvl w:ilvl="0">
      <w:lvlJc w:val="left"/>
      <w:lvlText w:val="•"/>
      <w:numFmt w:val="bullet"/>
      <w:start w:val="1"/>
    </w:lvl>
  </w:abstractNum>
  <w:abstractNum w:abstractNumId="122">
    <w:nsid w:val="52C77402"/>
    <w:multiLevelType w:val="hybridMultilevel"/>
    <w:lvl w:ilvl="0">
      <w:lvlJc w:val="left"/>
      <w:lvlText w:val="•"/>
      <w:numFmt w:val="bullet"/>
      <w:start w:val="1"/>
    </w:lvl>
  </w:abstractNum>
  <w:abstractNum w:abstractNumId="123">
    <w:nsid w:val="2BB5B1C6"/>
    <w:multiLevelType w:val="hybridMultilevel"/>
    <w:lvl w:ilvl="0">
      <w:lvlJc w:val="left"/>
      <w:lvlText w:val="•"/>
      <w:numFmt w:val="bullet"/>
      <w:start w:val="1"/>
    </w:lvl>
  </w:abstractNum>
  <w:abstractNum w:abstractNumId="124">
    <w:nsid w:val="66BE6B9"/>
    <w:multiLevelType w:val="hybridMultilevel"/>
    <w:lvl w:ilvl="0">
      <w:lvlJc w:val="left"/>
      <w:lvlText w:val="•"/>
      <w:numFmt w:val="bullet"/>
      <w:start w:val="1"/>
    </w:lvl>
  </w:abstractNum>
  <w:abstractNum w:abstractNumId="125">
    <w:nsid w:val="62234363"/>
    <w:multiLevelType w:val="hybridMultilevel"/>
    <w:lvl w:ilvl="0">
      <w:lvlJc w:val="left"/>
      <w:lvlText w:val="•"/>
      <w:numFmt w:val="bullet"/>
      <w:start w:val="1"/>
    </w:lvl>
  </w:abstractNum>
  <w:abstractNum w:abstractNumId="126">
    <w:nsid w:val="66D385C9"/>
    <w:multiLevelType w:val="hybridMultilevel"/>
    <w:lvl w:ilvl="0">
      <w:lvlJc w:val="left"/>
      <w:lvlText w:val="•"/>
      <w:numFmt w:val="bullet"/>
      <w:start w:val="1"/>
    </w:lvl>
  </w:abstractNum>
  <w:abstractNum w:abstractNumId="127">
    <w:nsid w:val="596F6D8A"/>
    <w:multiLevelType w:val="hybridMultilevel"/>
    <w:lvl w:ilvl="0">
      <w:lvlJc w:val="left"/>
      <w:lvlText w:val="•"/>
      <w:numFmt w:val="bullet"/>
      <w:start w:val="1"/>
    </w:lvl>
  </w:abstractNum>
  <w:abstractNum w:abstractNumId="128">
    <w:nsid w:val="5749361F"/>
    <w:multiLevelType w:val="hybridMultilevel"/>
    <w:lvl w:ilvl="0">
      <w:lvlJc w:val="left"/>
      <w:lvlText w:val="•"/>
      <w:numFmt w:val="bullet"/>
      <w:start w:val="1"/>
    </w:lvl>
  </w:abstractNum>
  <w:abstractNum w:abstractNumId="129">
    <w:nsid w:val="73BC6770"/>
    <w:multiLevelType w:val="hybridMultilevel"/>
    <w:lvl w:ilvl="0">
      <w:lvlJc w:val="left"/>
      <w:lvlText w:val="•"/>
      <w:numFmt w:val="bullet"/>
      <w:start w:val="1"/>
    </w:lvl>
  </w:abstractNum>
  <w:abstractNum w:abstractNumId="130">
    <w:nsid w:val="280E6897"/>
    <w:multiLevelType w:val="hybridMultilevel"/>
    <w:lvl w:ilvl="0">
      <w:lvlJc w:val="left"/>
      <w:lvlText w:val="•"/>
      <w:numFmt w:val="bullet"/>
      <w:start w:val="1"/>
    </w:lvl>
  </w:abstractNum>
  <w:abstractNum w:abstractNumId="131">
    <w:nsid w:val="605138DE"/>
    <w:multiLevelType w:val="hybridMultilevel"/>
    <w:lvl w:ilvl="0">
      <w:lvlJc w:val="left"/>
      <w:lvlText w:val="•"/>
      <w:numFmt w:val="bullet"/>
      <w:start w:val="1"/>
    </w:lvl>
  </w:abstractNum>
  <w:abstractNum w:abstractNumId="132">
    <w:nsid w:val="2622AD0C"/>
    <w:multiLevelType w:val="hybridMultilevel"/>
    <w:lvl w:ilvl="0">
      <w:lvlJc w:val="left"/>
      <w:lvlText w:val="(%1)"/>
      <w:numFmt w:val="lowerRoman"/>
      <w:start w:val="2"/>
    </w:lvl>
  </w:abstractNum>
  <w:abstractNum w:abstractNumId="133">
    <w:nsid w:val="67997556"/>
    <w:multiLevelType w:val="hybridMultilevel"/>
    <w:lvl w:ilvl="0">
      <w:lvlJc w:val="left"/>
      <w:lvlText w:val="•"/>
      <w:numFmt w:val="bullet"/>
      <w:start w:val="1"/>
    </w:lvl>
  </w:abstractNum>
  <w:abstractNum w:abstractNumId="134">
    <w:nsid w:val="18333C89"/>
    <w:multiLevelType w:val="hybridMultilevel"/>
    <w:lvl w:ilvl="0">
      <w:lvlJc w:val="left"/>
      <w:lvlText w:val="•"/>
      <w:numFmt w:val="bullet"/>
      <w:start w:val="1"/>
    </w:lvl>
  </w:abstractNum>
  <w:abstractNum w:abstractNumId="135">
    <w:nsid w:val="4BA9831A"/>
    <w:multiLevelType w:val="hybridMultilevel"/>
    <w:lvl w:ilvl="0">
      <w:lvlJc w:val="left"/>
      <w:lvlText w:val="•"/>
      <w:numFmt w:val="bullet"/>
      <w:start w:val="1"/>
    </w:lvl>
  </w:abstractNum>
  <w:abstractNum w:abstractNumId="136">
    <w:nsid w:val="6D71A2B"/>
    <w:multiLevelType w:val="hybridMultilevel"/>
    <w:lvl w:ilvl="0">
      <w:lvlJc w:val="left"/>
      <w:lvlText w:val="•"/>
      <w:numFmt w:val="bullet"/>
      <w:start w:val="1"/>
    </w:lvl>
  </w:abstractNum>
  <w:abstractNum w:abstractNumId="137">
    <w:nsid w:val="CFC7321"/>
    <w:multiLevelType w:val="hybridMultilevel"/>
    <w:lvl w:ilvl="0">
      <w:lvlJc w:val="left"/>
      <w:lvlText w:val="•"/>
      <w:numFmt w:val="bullet"/>
      <w:start w:val="1"/>
    </w:lvl>
  </w:abstractNum>
  <w:abstractNum w:abstractNumId="138">
    <w:nsid w:val="1421971B"/>
    <w:multiLevelType w:val="hybridMultilevel"/>
    <w:lvl w:ilvl="0">
      <w:lvlJc w:val="left"/>
      <w:lvlText w:val="•"/>
      <w:numFmt w:val="bullet"/>
      <w:start w:val="1"/>
    </w:lvl>
  </w:abstractNum>
  <w:abstractNum w:abstractNumId="139">
    <w:nsid w:val="1F404301"/>
    <w:multiLevelType w:val="hybridMultilevel"/>
    <w:lvl w:ilvl="0">
      <w:lvlJc w:val="left"/>
      <w:lvlText w:val="•"/>
      <w:numFmt w:val="bullet"/>
      <w:start w:val="1"/>
    </w:lvl>
  </w:abstractNum>
  <w:abstractNum w:abstractNumId="140">
    <w:nsid w:val="116E0907"/>
    <w:multiLevelType w:val="hybridMultilevel"/>
    <w:lvl w:ilvl="0">
      <w:lvlJc w:val="left"/>
      <w:lvlText w:val="•"/>
      <w:numFmt w:val="bullet"/>
      <w:start w:val="1"/>
    </w:lvl>
  </w:abstractNum>
  <w:abstractNum w:abstractNumId="141">
    <w:nsid w:val="4B683D0D"/>
    <w:multiLevelType w:val="hybridMultilevel"/>
    <w:lvl w:ilvl="0">
      <w:lvlJc w:val="left"/>
      <w:lvlText w:val="•"/>
      <w:numFmt w:val="bullet"/>
      <w:start w:val="1"/>
    </w:lvl>
  </w:abstractNum>
  <w:abstractNum w:abstractNumId="142">
    <w:nsid w:val="76E41D8"/>
    <w:multiLevelType w:val="hybridMultilevel"/>
    <w:lvl w:ilvl="0">
      <w:lvlJc w:val="left"/>
      <w:lvlText w:val="•"/>
      <w:numFmt w:val="bullet"/>
      <w:start w:val="1"/>
    </w:lvl>
  </w:abstractNum>
  <w:abstractNum w:abstractNumId="143">
    <w:nsid w:val="71DCE0FD"/>
    <w:multiLevelType w:val="hybridMultilevel"/>
    <w:lvl w:ilvl="0">
      <w:lvlJc w:val="left"/>
      <w:lvlText w:val="•"/>
      <w:numFmt w:val="bullet"/>
      <w:start w:val="1"/>
    </w:lvl>
  </w:abstractNum>
  <w:abstractNum w:abstractNumId="144">
    <w:nsid w:val="7906328B"/>
    <w:multiLevelType w:val="hybridMultilevel"/>
    <w:lvl w:ilvl="0">
      <w:lvlJc w:val="left"/>
      <w:lvlText w:val="•"/>
      <w:numFmt w:val="bullet"/>
      <w:start w:val="1"/>
    </w:lvl>
  </w:abstractNum>
  <w:abstractNum w:abstractNumId="145">
    <w:nsid w:val="72BBC16"/>
    <w:multiLevelType w:val="hybridMultilevel"/>
    <w:lvl w:ilvl="0">
      <w:lvlJc w:val="left"/>
      <w:lvlText w:val="•"/>
      <w:numFmt w:val="bullet"/>
      <w:start w:val="1"/>
    </w:lvl>
  </w:abstractNum>
  <w:abstractNum w:abstractNumId="146">
    <w:nsid w:val="766D98C2"/>
    <w:multiLevelType w:val="hybridMultilevel"/>
    <w:lvl w:ilvl="0">
      <w:lvlJc w:val="left"/>
      <w:lvlText w:val="•"/>
      <w:numFmt w:val="bullet"/>
      <w:start w:val="1"/>
    </w:lvl>
  </w:abstractNum>
  <w:abstractNum w:abstractNumId="147">
    <w:nsid w:val="3C09D4A1"/>
    <w:multiLevelType w:val="hybridMultilevel"/>
    <w:lvl w:ilvl="0">
      <w:lvlJc w:val="left"/>
      <w:lvlText w:val="•"/>
      <w:numFmt w:val="bullet"/>
      <w:start w:val="1"/>
    </w:lvl>
  </w:abstractNum>
  <w:abstractNum w:abstractNumId="148">
    <w:nsid w:val="20E45CA4"/>
    <w:multiLevelType w:val="hybridMultilevel"/>
    <w:lvl w:ilvl="0">
      <w:lvlJc w:val="left"/>
      <w:lvlText w:val="(%1)"/>
      <w:numFmt w:val="lowerLetter"/>
      <w:start w:val="1"/>
    </w:lvl>
  </w:abstractNum>
  <w:abstractNum w:abstractNumId="149">
    <w:nsid w:val="4B232EE3"/>
    <w:multiLevelType w:val="hybridMultilevel"/>
    <w:lvl w:ilvl="0">
      <w:lvlJc w:val="left"/>
      <w:lvlText w:val="(%1)"/>
      <w:numFmt w:val="upperLetter"/>
      <w:start w:val="1"/>
    </w:lvl>
  </w:abstractNum>
  <w:abstractNum w:abstractNumId="150">
    <w:nsid w:val="159C74CF"/>
    <w:multiLevelType w:val="hybridMultilevel"/>
    <w:lvl w:ilvl="0">
      <w:lvlJc w:val="left"/>
      <w:lvlText w:val="•"/>
      <w:numFmt w:val="bullet"/>
      <w:start w:val="1"/>
    </w:lvl>
  </w:abstractNum>
  <w:abstractNum w:abstractNumId="151">
    <w:nsid w:val="4AD3AFD2"/>
    <w:multiLevelType w:val="hybridMultilevel"/>
    <w:lvl w:ilvl="0">
      <w:lvlJc w:val="left"/>
      <w:lvlText w:val="•"/>
      <w:numFmt w:val="bullet"/>
      <w:start w:val="1"/>
    </w:lvl>
  </w:abstractNum>
  <w:abstractNum w:abstractNumId="152">
    <w:nsid w:val="3CF93092"/>
    <w:multiLevelType w:val="hybridMultilevel"/>
    <w:lvl w:ilvl="0">
      <w:lvlJc w:val="left"/>
      <w:lvlText w:val="%1)"/>
      <w:numFmt w:val="lowerLetter"/>
      <w:start w:val="1"/>
    </w:lvl>
  </w:abstractNum>
  <w:abstractNum w:abstractNumId="153">
    <w:nsid w:val="6863E8D2"/>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54">
    <w:nsid w:val="76896198"/>
    <w:multiLevelType w:val="hybridMultilevel"/>
    <w:lvl w:ilvl="0">
      <w:lvlJc w:val="left"/>
      <w:lvlText w:val="%1)"/>
      <w:numFmt w:val="lowerLetter"/>
      <w:start w:val="4"/>
    </w:lvl>
  </w:abstractNum>
  <w:abstractNum w:abstractNumId="155">
    <w:nsid w:val="4365174B"/>
    <w:multiLevelType w:val="hybridMultilevel"/>
    <w:lvl w:ilvl="0">
      <w:lvlJc w:val="left"/>
      <w:lvlText w:val="%1)"/>
      <w:numFmt w:val="lowerLetter"/>
      <w:start w:val="5"/>
    </w:lvl>
  </w:abstractNum>
  <w:abstractNum w:abstractNumId="156">
    <w:nsid w:val="4A872C35"/>
    <w:multiLevelType w:val="hybridMultilevel"/>
    <w:lvl w:ilvl="0">
      <w:lvlJc w:val="left"/>
      <w:lvlText w:val="(%1)"/>
      <w:numFmt w:val="decimal"/>
      <w:start w:val="1"/>
    </w:lvl>
  </w:abstractNum>
  <w:abstractNum w:abstractNumId="157">
    <w:nsid w:val="5D5CE761"/>
    <w:multiLevelType w:val="hybridMultilevel"/>
    <w:lvl w:ilvl="0">
      <w:lvlJc w:val="left"/>
      <w:lvlText w:val="(%1)"/>
      <w:numFmt w:val="decimal"/>
      <w:start w:val="2"/>
    </w:lvl>
  </w:abstractNum>
  <w:abstractNum w:abstractNumId="158">
    <w:nsid w:val="1CD484D5"/>
    <w:multiLevelType w:val="hybridMultilevel"/>
    <w:lvl w:ilvl="0">
      <w:lvlJc w:val="left"/>
      <w:lvlText w:val="(%1)"/>
      <w:numFmt w:val="lowerRoman"/>
      <w:start w:val="2"/>
    </w:lvl>
  </w:abstractNum>
  <w:abstractNum w:abstractNumId="159">
    <w:nsid w:val="21D06255"/>
    <w:multiLevelType w:val="hybridMultilevel"/>
    <w:lvl w:ilvl="0">
      <w:lvlJc w:val="left"/>
      <w:lvlText w:val="•"/>
      <w:numFmt w:val="bullet"/>
      <w:start w:val="1"/>
    </w:lvl>
  </w:abstractNum>
  <w:abstractNum w:abstractNumId="160">
    <w:nsid w:val="51194ED1"/>
    <w:multiLevelType w:val="hybridMultilevel"/>
    <w:lvl w:ilvl="0">
      <w:lvlJc w:val="left"/>
      <w:lvlText w:val="•"/>
      <w:numFmt w:val="bullet"/>
      <w:start w:val="1"/>
    </w:lvl>
  </w:abstractNum>
  <w:abstractNum w:abstractNumId="161">
    <w:nsid w:val="44E2ED6C"/>
    <w:multiLevelType w:val="hybridMultilevel"/>
    <w:lvl w:ilvl="0">
      <w:lvlJc w:val="left"/>
      <w:lvlText w:val="•"/>
      <w:numFmt w:val="bullet"/>
      <w:start w:val="1"/>
    </w:lvl>
  </w:abstractNum>
  <w:abstractNum w:abstractNumId="162">
    <w:nsid w:val="2219B33"/>
    <w:multiLevelType w:val="hybridMultilevel"/>
    <w:lvl w:ilvl="0">
      <w:lvlJc w:val="left"/>
      <w:lvlText w:val="•"/>
      <w:numFmt w:val="bullet"/>
      <w:start w:val="1"/>
    </w:lvl>
  </w:abstractNum>
  <w:abstractNum w:abstractNumId="163">
    <w:nsid w:val="773BFBDD"/>
    <w:multiLevelType w:val="hybridMultilevel"/>
    <w:lvl w:ilvl="0">
      <w:lvlJc w:val="left"/>
      <w:lvlText w:val="•"/>
      <w:numFmt w:val="bullet"/>
      <w:start w:val="1"/>
    </w:lvl>
  </w:abstractNum>
  <w:abstractNum w:abstractNumId="164">
    <w:nsid w:val="2C7C62C2"/>
    <w:multiLevelType w:val="hybridMultilevel"/>
    <w:lvl w:ilvl="0">
      <w:lvlJc w:val="left"/>
      <w:lvlText w:val="•"/>
      <w:numFmt w:val="bullet"/>
      <w:start w:val="1"/>
    </w:lvl>
  </w:abstractNum>
  <w:abstractNum w:abstractNumId="165">
    <w:nsid w:val="1A54D7BC"/>
    <w:multiLevelType w:val="hybridMultilevel"/>
    <w:lvl w:ilvl="0">
      <w:lvlJc w:val="left"/>
      <w:lvlText w:val="•"/>
      <w:numFmt w:val="bullet"/>
      <w:start w:val="1"/>
    </w:lvl>
  </w:abstractNum>
  <w:abstractNum w:abstractNumId="166">
    <w:nsid w:val="42E57EF7"/>
    <w:multiLevelType w:val="hybridMultilevel"/>
    <w:lvl w:ilvl="0">
      <w:lvlJc w:val="left"/>
      <w:lvlText w:val="(%1)"/>
      <w:numFmt w:val="decimal"/>
      <w:start w:val="10"/>
    </w:lvl>
  </w:abstractNum>
  <w:abstractNum w:abstractNumId="167">
    <w:nsid w:val="33537CED"/>
    <w:multiLevelType w:val="hybridMultilevel"/>
    <w:lvl w:ilvl="0">
      <w:lvlJc w:val="left"/>
      <w:lvlText w:val="•"/>
      <w:numFmt w:val="bullet"/>
      <w:start w:val="1"/>
    </w:lvl>
  </w:abstractNum>
  <w:abstractNum w:abstractNumId="168">
    <w:nsid w:val="27514ADE"/>
    <w:multiLevelType w:val="hybridMultilevel"/>
    <w:lvl w:ilvl="0">
      <w:lvlJc w:val="left"/>
      <w:lvlText w:val="•"/>
      <w:numFmt w:val="bullet"/>
      <w:start w:val="1"/>
    </w:lvl>
  </w:abstractNum>
  <w:abstractNum w:abstractNumId="169">
    <w:nsid w:val="57071613"/>
    <w:multiLevelType w:val="hybridMultilevel"/>
    <w:lvl w:ilvl="0">
      <w:lvlJc w:val="left"/>
      <w:lvlText w:val="•"/>
      <w:numFmt w:val="bullet"/>
      <w:start w:val="1"/>
    </w:lvl>
  </w:abstractNum>
  <w:abstractNum w:abstractNumId="170">
    <w:nsid w:val="5293BFEF"/>
    <w:multiLevelType w:val="hybridMultilevel"/>
    <w:lvl w:ilvl="0">
      <w:lvlJc w:val="left"/>
      <w:lvlText w:val="(%1)"/>
      <w:numFmt w:val="lowerRoman"/>
      <w:start w:val="3"/>
    </w:lvl>
  </w:abstractNum>
  <w:abstractNum w:abstractNumId="171">
    <w:nsid w:val="38BF53E5"/>
    <w:multiLevelType w:val="hybridMultilevel"/>
    <w:lvl w:ilvl="0">
      <w:lvlJc w:val="left"/>
      <w:lvlText w:val="•"/>
      <w:numFmt w:val="bullet"/>
      <w:start w:val="1"/>
    </w:lvl>
  </w:abstractNum>
  <w:abstractNum w:abstractNumId="172">
    <w:nsid w:val="226F5320"/>
    <w:multiLevelType w:val="hybridMultilevel"/>
    <w:lvl w:ilvl="0">
      <w:lvlJc w:val="left"/>
      <w:lvlText w:val="•"/>
      <w:numFmt w:val="bullet"/>
      <w:start w:val="1"/>
    </w:lvl>
  </w:abstractNum>
  <w:abstractNum w:abstractNumId="173">
    <w:nsid w:val="5A0201C7"/>
    <w:multiLevelType w:val="hybridMultilevel"/>
    <w:lvl w:ilvl="0">
      <w:lvlJc w:val="left"/>
      <w:lvlText w:val="•"/>
      <w:numFmt w:val="bullet"/>
      <w:start w:val="1"/>
    </w:lvl>
  </w:abstractNum>
  <w:abstractNum w:abstractNumId="174">
    <w:nsid w:val="2A9C34E2"/>
    <w:multiLevelType w:val="hybridMultilevel"/>
    <w:lvl w:ilvl="0">
      <w:lvlJc w:val="left"/>
      <w:lvlText w:val="(%1)"/>
      <w:numFmt w:val="lowerRoman"/>
      <w:start w:val="2"/>
    </w:lvl>
  </w:abstractNum>
  <w:abstractNum w:abstractNumId="175">
    <w:nsid w:val="1B7585AB"/>
    <w:multiLevelType w:val="hybridMultilevel"/>
    <w:lvl w:ilvl="0">
      <w:lvlJc w:val="left"/>
      <w:lvlText w:val="•"/>
      <w:numFmt w:val="bullet"/>
      <w:start w:val="1"/>
    </w:lvl>
  </w:abstractNum>
  <w:abstractNum w:abstractNumId="176">
    <w:nsid w:val="612DBDDD"/>
    <w:multiLevelType w:val="hybridMultilevel"/>
    <w:lvl w:ilvl="0">
      <w:lvlJc w:val="left"/>
      <w:lvlText w:val="•"/>
      <w:numFmt w:val="bullet"/>
      <w:start w:val="1"/>
    </w:lvl>
  </w:abstractNum>
  <w:abstractNum w:abstractNumId="177">
    <w:nsid w:val="2109CDA4"/>
    <w:multiLevelType w:val="hybridMultilevel"/>
    <w:lvl w:ilvl="0">
      <w:lvlJc w:val="left"/>
      <w:lvlText w:val="•"/>
      <w:numFmt w:val="bullet"/>
      <w:start w:val="1"/>
    </w:lvl>
  </w:abstractNum>
  <w:abstractNum w:abstractNumId="178">
    <w:nsid w:val="577F5A4D"/>
    <w:multiLevelType w:val="hybridMultilevel"/>
    <w:lvl w:ilvl="0">
      <w:lvlJc w:val="left"/>
      <w:lvlText w:val="•"/>
      <w:numFmt w:val="bullet"/>
      <w:start w:val="1"/>
    </w:lvl>
  </w:abstractNum>
  <w:abstractNum w:abstractNumId="179">
    <w:nsid w:val="2121A81"/>
    <w:multiLevelType w:val="hybridMultilevel"/>
    <w:lvl w:ilvl="0">
      <w:lvlJc w:val="left"/>
      <w:lvlText w:val="(%1)"/>
      <w:numFmt w:val="lowerLetter"/>
      <w:start w:val="1"/>
    </w:lvl>
  </w:abstractNum>
  <w:abstractNum w:abstractNumId="180">
    <w:nsid w:val="6C2CFC88"/>
    <w:multiLevelType w:val="hybridMultilevel"/>
    <w:lvl w:ilvl="0">
      <w:lvlJc w:val="left"/>
      <w:lvlText w:val="•"/>
      <w:numFmt w:val="bullet"/>
      <w:start w:val="1"/>
    </w:lvl>
  </w:abstractNum>
  <w:abstractNum w:abstractNumId="181">
    <w:nsid w:val="6D1BCF1C"/>
    <w:multiLevelType w:val="hybridMultilevel"/>
    <w:lvl w:ilvl="0">
      <w:lvlJc w:val="left"/>
      <w:lvlText w:val="•"/>
      <w:numFmt w:val="bullet"/>
      <w:start w:val="1"/>
    </w:lvl>
  </w:abstractNum>
  <w:abstractNum w:abstractNumId="182">
    <w:nsid w:val="4CE5CA53"/>
    <w:multiLevelType w:val="hybridMultilevel"/>
    <w:lvl w:ilvl="0">
      <w:lvlJc w:val="left"/>
      <w:lvlText w:val="•"/>
      <w:numFmt w:val="bullet"/>
      <w:start w:val="1"/>
    </w:lvl>
  </w:abstractNum>
  <w:abstractNum w:abstractNumId="183">
    <w:nsid w:val="29262D1A"/>
    <w:multiLevelType w:val="hybridMultilevel"/>
    <w:lvl w:ilvl="0">
      <w:lvlJc w:val="left"/>
      <w:lvlText w:val="•"/>
      <w:numFmt w:val="bullet"/>
      <w:start w:val="1"/>
    </w:lvl>
  </w:abstractNum>
  <w:abstractNum w:abstractNumId="184">
    <w:nsid w:val="557FB7EE"/>
    <w:multiLevelType w:val="hybridMultilevel"/>
    <w:lvl w:ilvl="0">
      <w:lvlJc w:val="left"/>
      <w:lvlText w:val="•"/>
      <w:numFmt w:val="bullet"/>
      <w:start w:val="1"/>
    </w:lvl>
    <w:lvl w:ilvl="1">
      <w:lvlJc w:val="left"/>
      <w:lvlText w:val="(%2)"/>
      <w:numFmt w:val="lowerRoman"/>
      <w:start w:val="2"/>
    </w:lvl>
  </w:abstractNum>
  <w:abstractNum w:abstractNumId="185">
    <w:nsid w:val="436F2BEB"/>
    <w:multiLevelType w:val="hybridMultilevel"/>
    <w:lvl w:ilvl="0">
      <w:lvlJc w:val="left"/>
      <w:lvlText w:val="•"/>
      <w:numFmt w:val="bullet"/>
      <w:start w:val="1"/>
    </w:lvl>
  </w:abstractNum>
  <w:abstractNum w:abstractNumId="186">
    <w:nsid w:val="6C8B4466"/>
    <w:multiLevelType w:val="hybridMultilevel"/>
    <w:lvl w:ilvl="0">
      <w:lvlJc w:val="left"/>
      <w:lvlText w:val="•"/>
      <w:numFmt w:val="bullet"/>
      <w:start w:val="1"/>
    </w:lvl>
  </w:abstractNum>
  <w:abstractNum w:abstractNumId="187">
    <w:nsid w:val="2006E424"/>
    <w:multiLevelType w:val="hybridMultilevel"/>
    <w:lvl w:ilvl="0">
      <w:lvlJc w:val="left"/>
      <w:lvlText w:val="(%1)"/>
      <w:numFmt w:val="lowerRoman"/>
      <w:start w:val="2"/>
    </w:lvl>
  </w:abstractNum>
  <w:abstractNum w:abstractNumId="188">
    <w:nsid w:val="20CC134C"/>
    <w:multiLevelType w:val="hybridMultilevel"/>
    <w:lvl w:ilvl="0">
      <w:lvlJc w:val="left"/>
      <w:lvlText w:val="•"/>
      <w:numFmt w:val="bullet"/>
      <w:start w:val="1"/>
    </w:lvl>
  </w:abstractNum>
  <w:abstractNum w:abstractNumId="189">
    <w:nsid w:val="95FC93B"/>
    <w:multiLevelType w:val="hybridMultilevel"/>
    <w:lvl w:ilvl="0">
      <w:lvlJc w:val="left"/>
      <w:lvlText w:val="•"/>
      <w:numFmt w:val="bullet"/>
      <w:start w:val="1"/>
    </w:lvl>
  </w:abstractNum>
  <w:abstractNum w:abstractNumId="190">
    <w:nsid w:val="41D74679"/>
    <w:multiLevelType w:val="hybridMultilevel"/>
    <w:lvl w:ilvl="0">
      <w:lvlJc w:val="left"/>
      <w:lvlText w:val="•"/>
      <w:numFmt w:val="bullet"/>
      <w:start w:val="1"/>
    </w:lvl>
  </w:abstractNum>
  <w:abstractNum w:abstractNumId="191">
    <w:nsid w:val="71E5621E"/>
    <w:multiLevelType w:val="hybridMultilevel"/>
    <w:lvl w:ilvl="0">
      <w:lvlJc w:val="left"/>
      <w:lvlText w:val="(%1)"/>
      <w:numFmt w:val="decimal"/>
      <w:start w:val="1"/>
    </w:lvl>
  </w:abstractNum>
  <w:abstractNum w:abstractNumId="192">
    <w:nsid w:val="4E42B6A8"/>
    <w:multiLevelType w:val="hybridMultilevel"/>
    <w:lvl w:ilvl="0">
      <w:lvlJc w:val="left"/>
      <w:lvlText w:val="(%1)"/>
      <w:numFmt w:val="decimal"/>
      <w:start w:val="1"/>
    </w:lvl>
  </w:abstractNum>
  <w:abstractNum w:abstractNumId="193">
    <w:nsid w:val="43F8E1AC"/>
    <w:multiLevelType w:val="hybridMultilevel"/>
    <w:lvl w:ilvl="0">
      <w:lvlJc w:val="left"/>
      <w:lvlText w:val="(%1)"/>
      <w:numFmt w:val="decimal"/>
      <w:start w:val="1"/>
    </w:lvl>
  </w:abstractNum>
  <w:abstractNum w:abstractNumId="194">
    <w:nsid w:val="69215DFB"/>
    <w:multiLevelType w:val="hybridMultilevel"/>
    <w:lvl w:ilvl="0">
      <w:lvlJc w:val="left"/>
      <w:lvlText w:val="•"/>
      <w:numFmt w:val="bullet"/>
      <w:start w:val="1"/>
    </w:lvl>
  </w:abstractNum>
  <w:abstractNum w:abstractNumId="195">
    <w:nsid w:val="7ABF196A"/>
    <w:multiLevelType w:val="hybridMultilevel"/>
    <w:lvl w:ilvl="0">
      <w:lvlJc w:val="left"/>
      <w:lvlText w:val="•"/>
      <w:numFmt w:val="bullet"/>
      <w:start w:val="1"/>
    </w:lvl>
  </w:abstractNum>
  <w:abstractNum w:abstractNumId="196">
    <w:nsid w:val="5E4DB968"/>
    <w:multiLevelType w:val="hybridMultilevel"/>
    <w:lvl w:ilvl="0">
      <w:lvlJc w:val="left"/>
      <w:lvlText w:val="•"/>
      <w:numFmt w:val="bullet"/>
      <w:start w:val="1"/>
    </w:lvl>
  </w:abstractNum>
  <w:abstractNum w:abstractNumId="197">
    <w:nsid w:val="2C06DCF3"/>
    <w:multiLevelType w:val="hybridMultilevel"/>
    <w:lvl w:ilvl="0">
      <w:lvlJc w:val="left"/>
      <w:lvlText w:val="•"/>
      <w:numFmt w:val="bullet"/>
      <w:start w:val="1"/>
    </w:lvl>
  </w:abstractNum>
  <w:abstractNum w:abstractNumId="198">
    <w:nsid w:val="2E129658"/>
    <w:multiLevelType w:val="hybridMultilevel"/>
    <w:lvl w:ilvl="0">
      <w:lvlJc w:val="left"/>
      <w:lvlText w:val="•"/>
      <w:numFmt w:val="bullet"/>
      <w:start w:val="1"/>
    </w:lvl>
  </w:abstractNum>
  <w:abstractNum w:abstractNumId="199">
    <w:nsid w:val="59F0446"/>
    <w:multiLevelType w:val="hybridMultilevel"/>
    <w:lvl w:ilvl="0">
      <w:lvlJc w:val="left"/>
      <w:lvlText w:val="•"/>
      <w:numFmt w:val="bullet"/>
      <w:start w:val="1"/>
    </w:lvl>
  </w:abstractNum>
  <w:abstractNum w:abstractNumId="200">
    <w:nsid w:val="30DF306"/>
    <w:multiLevelType w:val="hybridMultilevel"/>
    <w:lvl w:ilvl="0">
      <w:lvlJc w:val="left"/>
      <w:lvlText w:val="•"/>
      <w:numFmt w:val="bullet"/>
      <w:start w:val="1"/>
    </w:lvl>
  </w:abstractNum>
  <w:abstractNum w:abstractNumId="201">
    <w:nsid w:val="A65647"/>
    <w:multiLevelType w:val="hybridMultilevel"/>
    <w:lvl w:ilvl="0">
      <w:lvlJc w:val="left"/>
      <w:lvlText w:val="•"/>
      <w:numFmt w:val="bullet"/>
      <w:start w:val="1"/>
    </w:lvl>
  </w:abstractNum>
  <w:abstractNum w:abstractNumId="202">
    <w:nsid w:val="3E5E582B"/>
    <w:multiLevelType w:val="hybridMultilevel"/>
    <w:lvl w:ilvl="0">
      <w:lvlJc w:val="left"/>
      <w:lvlText w:val="•"/>
      <w:numFmt w:val="bullet"/>
      <w:start w:val="1"/>
    </w:lvl>
  </w:abstractNum>
  <w:abstractNum w:abstractNumId="203">
    <w:nsid w:val="257D4626"/>
    <w:multiLevelType w:val="hybridMultilevel"/>
    <w:lvl w:ilvl="0">
      <w:lvlJc w:val="left"/>
      <w:lvlText w:val="•"/>
      <w:numFmt w:val="bullet"/>
      <w:start w:val="1"/>
    </w:lvl>
  </w:abstractNum>
  <w:abstractNum w:abstractNumId="204">
    <w:nsid w:val="5AA8580E"/>
    <w:multiLevelType w:val="hybridMultilevel"/>
    <w:lvl w:ilvl="0">
      <w:lvlJc w:val="left"/>
      <w:lvlText w:val="•"/>
      <w:numFmt w:val="bullet"/>
      <w:start w:val="1"/>
    </w:lvl>
  </w:abstractNum>
  <w:abstractNum w:abstractNumId="205">
    <w:nsid w:val="68FA8D0D"/>
    <w:multiLevelType w:val="hybridMultilevel"/>
    <w:lvl w:ilvl="0">
      <w:lvlJc w:val="left"/>
      <w:lvlText w:val="(%1)"/>
      <w:numFmt w:val="lowerRoman"/>
      <w:start w:val="1"/>
    </w:lvl>
  </w:abstractNum>
  <w:abstractNum w:abstractNumId="206">
    <w:nsid w:val="40F2CBD2"/>
    <w:multiLevelType w:val="hybridMultilevel"/>
    <w:lvl w:ilvl="0">
      <w:lvlJc w:val="left"/>
      <w:lvlText w:val="•"/>
      <w:numFmt w:val="bullet"/>
      <w:start w:val="1"/>
    </w:lvl>
  </w:abstractNum>
  <w:abstractNum w:abstractNumId="207">
    <w:nsid w:val="3BD615EB"/>
    <w:multiLevelType w:val="hybridMultilevel"/>
    <w:lvl w:ilvl="0">
      <w:lvlJc w:val="left"/>
      <w:lvlText w:val="•"/>
      <w:numFmt w:val="bullet"/>
      <w:start w:val="1"/>
    </w:lvl>
  </w:abstractNum>
  <w:abstractNum w:abstractNumId="208">
    <w:nsid w:val="A045AB2"/>
    <w:multiLevelType w:val="hybridMultilevel"/>
    <w:lvl w:ilvl="0">
      <w:lvlJc w:val="left"/>
      <w:lvlText w:val="•"/>
      <w:numFmt w:val="bullet"/>
      <w:start w:val="1"/>
    </w:lvl>
  </w:abstractNum>
  <w:abstractNum w:abstractNumId="209">
    <w:nsid w:val="1872261F"/>
    <w:multiLevelType w:val="hybridMultilevel"/>
    <w:lvl w:ilvl="0">
      <w:lvlJc w:val="left"/>
      <w:lvlText w:val="(%1)"/>
      <w:numFmt w:val="decimal"/>
      <w:start w:val="1"/>
    </w:lvl>
  </w:abstractNum>
  <w:abstractNum w:abstractNumId="210">
    <w:nsid w:val="3DE8306C"/>
    <w:multiLevelType w:val="hybridMultilevel"/>
    <w:lvl w:ilvl="0">
      <w:lvlJc w:val="left"/>
      <w:lvlText w:val="(%1)"/>
      <w:numFmt w:val="lowerRoman"/>
      <w:start w:val="1"/>
    </w:lvl>
  </w:abstractNum>
  <w:abstractNum w:abstractNumId="211">
    <w:nsid w:val="7631573A"/>
    <w:multiLevelType w:val="hybridMultilevel"/>
    <w:lvl w:ilvl="0">
      <w:lvlJc w:val="left"/>
      <w:lvlText w:val="(%1)"/>
      <w:numFmt w:val="lowerRoman"/>
      <w:start w:val="2"/>
    </w:lvl>
  </w:abstractNum>
  <w:abstractNum w:abstractNumId="212">
    <w:nsid w:val="58DF53B"/>
    <w:multiLevelType w:val="hybridMultilevel"/>
    <w:lvl w:ilvl="0">
      <w:lvlJc w:val="left"/>
      <w:lvlText w:val="•"/>
      <w:numFmt w:val="bullet"/>
      <w:start w:val="1"/>
    </w:lvl>
  </w:abstractNum>
  <w:abstractNum w:abstractNumId="213">
    <w:nsid w:val="ACDFAC0"/>
    <w:multiLevelType w:val="hybridMultilevel"/>
    <w:lvl w:ilvl="0">
      <w:lvlJc w:val="left"/>
      <w:lvlText w:val="•"/>
      <w:numFmt w:val="bullet"/>
      <w:start w:val="1"/>
    </w:lvl>
  </w:abstractNum>
  <w:abstractNum w:abstractNumId="214">
    <w:nsid w:val="1F578454"/>
    <w:multiLevelType w:val="hybridMultilevel"/>
    <w:lvl w:ilvl="0">
      <w:lvlJc w:val="left"/>
      <w:lvlText w:val="•"/>
      <w:numFmt w:val="bullet"/>
      <w:start w:val="1"/>
    </w:lvl>
  </w:abstractNum>
  <w:abstractNum w:abstractNumId="215">
    <w:nsid w:val="5B0DAD2A"/>
    <w:multiLevelType w:val="hybridMultilevel"/>
    <w:lvl w:ilvl="0">
      <w:lvlJc w:val="left"/>
      <w:lvlText w:val="•"/>
      <w:numFmt w:val="bullet"/>
      <w:start w:val="1"/>
    </w:lvl>
  </w:abstractNum>
  <w:abstractNum w:abstractNumId="216">
    <w:nsid w:val="4E3D26AB"/>
    <w:multiLevelType w:val="hybridMultilevel"/>
    <w:lvl w:ilvl="0">
      <w:lvlJc w:val="left"/>
      <w:lvlText w:val="(%1)"/>
      <w:numFmt w:val="lowerLetter"/>
      <w:start w:val="1"/>
    </w:lvl>
  </w:abstractNum>
  <w:abstractNum w:abstractNumId="217">
    <w:nsid w:val="BE2C8BA"/>
    <w:multiLevelType w:val="hybridMultilevel"/>
    <w:lvl w:ilvl="0">
      <w:lvlJc w:val="left"/>
      <w:lvlText w:val="(%1)"/>
      <w:numFmt w:val="lowerRoman"/>
      <w:start w:val="1"/>
    </w:lvl>
  </w:abstractNum>
  <w:abstractNum w:abstractNumId="218">
    <w:nsid w:val="7B14914E"/>
    <w:multiLevelType w:val="hybridMultilevel"/>
    <w:lvl w:ilvl="0">
      <w:lvlJc w:val="left"/>
      <w:lvlText w:val="(%1)"/>
      <w:numFmt w:val="lowerRoman"/>
      <w:start w:val="2"/>
    </w:lvl>
  </w:abstractNum>
  <w:abstractNum w:abstractNumId="219">
    <w:nsid w:val="6F0939F8"/>
    <w:multiLevelType w:val="hybridMultilevel"/>
    <w:lvl w:ilvl="0">
      <w:lvlJc w:val="left"/>
      <w:lvlText w:val="(%1)"/>
      <w:numFmt w:val="lowerRoman"/>
      <w:start w:val="2"/>
    </w:lvl>
  </w:abstractNum>
  <w:abstractNum w:abstractNumId="220">
    <w:nsid w:val="154291F6"/>
    <w:multiLevelType w:val="hybridMultilevel"/>
    <w:lvl w:ilvl="0">
      <w:lvlJc w:val="left"/>
      <w:lvlText w:val="$"/>
      <w:numFmt w:val="bullet"/>
      <w:start w:val="1"/>
    </w:lvl>
  </w:abstractNum>
  <w:abstractNum w:abstractNumId="221">
    <w:nsid w:val="3CEBD7C7"/>
    <w:multiLevelType w:val="hybridMultilevel"/>
    <w:lvl w:ilvl="0">
      <w:lvlJc w:val="left"/>
      <w:lvlText w:val="•"/>
      <w:numFmt w:val="bullet"/>
      <w:start w:val="1"/>
    </w:lvl>
  </w:abstractNum>
  <w:abstractNum w:abstractNumId="222">
    <w:nsid w:val="60EE9C16"/>
    <w:multiLevelType w:val="hybridMultilevel"/>
    <w:lvl w:ilvl="0">
      <w:lvlJc w:val="left"/>
      <w:lvlText w:val="*"/>
      <w:numFmt w:val="bullet"/>
      <w:start w:val="1"/>
    </w:lvl>
  </w:abstractNum>
  <w:abstractNum w:abstractNumId="223">
    <w:nsid w:val="6385489E"/>
    <w:multiLevelType w:val="hybridMultilevel"/>
    <w:lvl w:ilvl="0">
      <w:lvlJc w:val="left"/>
      <w:lvlText w:val="(%1)"/>
      <w:numFmt w:val="decimal"/>
      <w:start w:val="1"/>
    </w:lvl>
  </w:abstractNum>
  <w:abstractNum w:abstractNumId="224">
    <w:nsid w:val="E4B973"/>
    <w:multiLevelType w:val="hybridMultilevel"/>
    <w:lvl w:ilvl="0">
      <w:lvlJc w:val="left"/>
      <w:lvlText w:val="(%1)"/>
      <w:numFmt w:val="decimal"/>
      <w:start w:val="4"/>
    </w:lvl>
  </w:abstractNum>
  <w:abstractNum w:abstractNumId="225">
    <w:nsid w:val="4A0FFA11"/>
    <w:multiLevelType w:val="hybridMultilevel"/>
    <w:lvl w:ilvl="0">
      <w:lvlJc w:val="left"/>
      <w:lvlText w:val="•"/>
      <w:numFmt w:val="bullet"/>
      <w:start w:val="1"/>
    </w:lvl>
  </w:abstractNum>
  <w:abstractNum w:abstractNumId="226">
    <w:nsid w:val="5E446208"/>
    <w:multiLevelType w:val="hybridMultilevel"/>
    <w:lvl w:ilvl="0">
      <w:lvlJc w:val="left"/>
      <w:lvlText w:val="(%1)"/>
      <w:numFmt w:val="decimal"/>
      <w:start w:val="1"/>
    </w:lvl>
  </w:abstractNum>
  <w:abstractNum w:abstractNumId="227">
    <w:nsid w:val="5F3272DB"/>
    <w:multiLevelType w:val="hybridMultilevel"/>
    <w:lvl w:ilvl="0">
      <w:lvlJc w:val="left"/>
      <w:lvlText w:val="(%1)"/>
      <w:numFmt w:val="decimal"/>
      <w:start w:val="1"/>
    </w:lvl>
  </w:abstractNum>
  <w:abstractNum w:abstractNumId="228">
    <w:nsid w:val="7616D704"/>
    <w:multiLevelType w:val="hybridMultilevel"/>
    <w:lvl w:ilvl="0">
      <w:lvlJc w:val="left"/>
      <w:lvlText w:val="•"/>
      <w:numFmt w:val="bullet"/>
      <w:start w:val="1"/>
    </w:lvl>
  </w:abstractNum>
  <w:abstractNum w:abstractNumId="229">
    <w:nsid w:val="C56F860"/>
    <w:multiLevelType w:val="hybridMultilevel"/>
    <w:lvl w:ilvl="0">
      <w:lvlJc w:val="left"/>
      <w:lvlText w:val="(%1)"/>
      <w:numFmt w:val="lowerLetter"/>
      <w:start w:val="1"/>
    </w:lvl>
  </w:abstractNum>
  <w:abstractNum w:abstractNumId="230">
    <w:nsid w:val="64D17722"/>
    <w:multiLevelType w:val="hybridMultilevel"/>
    <w:lvl w:ilvl="0">
      <w:lvlJc w:val="left"/>
      <w:lvlText w:val="$"/>
      <w:numFmt w:val="bullet"/>
      <w:start w:val="1"/>
    </w:lvl>
  </w:abstractNum>
  <w:abstractNum w:abstractNumId="231">
    <w:nsid w:val="7924CA0A"/>
    <w:multiLevelType w:val="hybridMultilevel"/>
    <w:lvl w:ilvl="0">
      <w:lvlJc w:val="left"/>
      <w:lvlText w:val="(%1)"/>
      <w:numFmt w:val="lowerRoman"/>
      <w:start w:val="2"/>
    </w:lvl>
  </w:abstractNum>
  <w:abstractNum w:abstractNumId="232">
    <w:nsid w:val="CFD4EA7"/>
    <w:multiLevelType w:val="hybridMultilevel"/>
    <w:lvl w:ilvl="0">
      <w:lvlJc w:val="left"/>
      <w:lvlText w:val="•"/>
      <w:numFmt w:val="bullet"/>
      <w:start w:val="1"/>
    </w:lvl>
  </w:abstractNum>
  <w:abstractNum w:abstractNumId="233">
    <w:nsid w:val="232FCF4D"/>
    <w:multiLevelType w:val="hybridMultilevel"/>
    <w:lvl w:ilvl="0">
      <w:lvlJc w:val="left"/>
      <w:lvlText w:val="•"/>
      <w:numFmt w:val="bullet"/>
      <w:start w:val="1"/>
    </w:lvl>
  </w:abstractNum>
  <w:abstractNum w:abstractNumId="234">
    <w:nsid w:val="1EA21031"/>
    <w:multiLevelType w:val="hybridMultilevel"/>
    <w:lvl w:ilvl="0">
      <w:lvlJc w:val="left"/>
      <w:lvlText w:val="(%1)"/>
      <w:numFmt w:val="lowerRoman"/>
      <w:start w:val="5"/>
    </w:lvl>
  </w:abstractNum>
  <w:abstractNum w:abstractNumId="235">
    <w:nsid w:val="67A5A6B5"/>
    <w:multiLevelType w:val="hybridMultilevel"/>
    <w:lvl w:ilvl="0">
      <w:lvlJc w:val="left"/>
      <w:lvlText w:val="(%1)"/>
      <w:numFmt w:val="lowerRoman"/>
      <w:start w:val="3"/>
    </w:lvl>
  </w:abstractNum>
  <w:abstractNum w:abstractNumId="236">
    <w:nsid w:val="C2A5C5B"/>
    <w:multiLevelType w:val="hybridMultilevel"/>
    <w:lvl w:ilvl="0">
      <w:lvlJc w:val="left"/>
      <w:lvlText w:val="(%1)"/>
      <w:numFmt w:val="decimal"/>
      <w:start w:val="1"/>
    </w:lvl>
  </w:abstractNum>
  <w:abstractNum w:abstractNumId="237">
    <w:nsid w:val="5F94DC03"/>
    <w:multiLevelType w:val="hybridMultilevel"/>
    <w:lvl w:ilvl="0">
      <w:lvlJc w:val="left"/>
      <w:lvlText w:val="(%1)"/>
      <w:numFmt w:val="decimal"/>
      <w:start w:val="1"/>
    </w:lvl>
  </w:abstractNum>
  <w:abstractNum w:abstractNumId="238">
    <w:nsid w:val="237BBCA0"/>
    <w:multiLevelType w:val="hybridMultilevel"/>
    <w:lvl w:ilvl="0">
      <w:lvlJc w:val="left"/>
      <w:lvlText w:val="(%1)"/>
      <w:numFmt w:val="decimal"/>
      <w:start w:val="1"/>
    </w:lvl>
  </w:abstractNum>
  <w:abstractNum w:abstractNumId="239">
    <w:nsid w:val="162EB70D"/>
    <w:multiLevelType w:val="hybridMultilevel"/>
    <w:lvl w:ilvl="0">
      <w:lvlJc w:val="left"/>
      <w:lvlText w:val="$"/>
      <w:numFmt w:val="bullet"/>
      <w:start w:val="1"/>
    </w:lvl>
  </w:abstractNum>
  <w:abstractNum w:abstractNumId="240">
    <w:nsid w:val="78070222"/>
    <w:multiLevelType w:val="hybridMultilevel"/>
    <w:lvl w:ilvl="0">
      <w:lvlJc w:val="left"/>
      <w:lvlText w:val="(%1)"/>
      <w:numFmt w:val="lowerRoman"/>
      <w:start w:val="2"/>
    </w:lvl>
  </w:abstractNum>
  <w:abstractNum w:abstractNumId="241">
    <w:nsid w:val="6163ED0D"/>
    <w:multiLevelType w:val="hybridMultilevel"/>
    <w:lvl w:ilvl="0">
      <w:lvlJc w:val="left"/>
      <w:lvlText w:val="(%1)"/>
      <w:numFmt w:val="lowerRoman"/>
      <w:start w:val="2"/>
    </w:lvl>
  </w:abstractNum>
  <w:abstractNum w:abstractNumId="242">
    <w:nsid w:val="C600E47"/>
    <w:multiLevelType w:val="hybridMultilevel"/>
    <w:lvl w:ilvl="0">
      <w:lvlJc w:val="left"/>
      <w:lvlText w:val="(%1)"/>
      <w:numFmt w:val="lowerRoman"/>
      <w:start w:val="2"/>
    </w:lvl>
  </w:abstractNum>
  <w:abstractNum w:abstractNumId="243">
    <w:nsid w:val="7D94F75D"/>
    <w:multiLevelType w:val="hybridMultilevel"/>
    <w:lvl w:ilvl="0">
      <w:lvlJc w:val="left"/>
      <w:lvlText w:val="(%1)"/>
      <w:numFmt w:val="lowerRoman"/>
      <w:start w:val="2"/>
    </w:lvl>
  </w:abstractNum>
  <w:abstractNum w:abstractNumId="244">
    <w:nsid w:val="6C31E7CD"/>
    <w:multiLevelType w:val="hybridMultilevel"/>
    <w:lvl w:ilvl="0">
      <w:lvlJc w:val="left"/>
      <w:lvlText w:val="(%1)"/>
      <w:numFmt w:val="lowerRoman"/>
      <w:start w:val="2"/>
    </w:lvl>
  </w:abstractNum>
  <w:abstractNum w:abstractNumId="245">
    <w:nsid w:val="2BB7929B"/>
    <w:multiLevelType w:val="hybridMultilevel"/>
    <w:lvl w:ilvl="0">
      <w:lvlJc w:val="left"/>
      <w:lvlText w:val="(%1)"/>
      <w:numFmt w:val="lowerLetter"/>
      <w:start w:val="2"/>
    </w:lvl>
  </w:abstractNum>
  <w:abstractNum w:abstractNumId="246">
    <w:nsid w:val="58A2A487"/>
    <w:multiLevelType w:val="hybridMultilevel"/>
    <w:lvl w:ilvl="0">
      <w:lvlJc w:val="left"/>
      <w:lvlText w:val="(%1)"/>
      <w:numFmt w:val="lowerLetter"/>
      <w:start w:val="6"/>
    </w:lvl>
  </w:abstractNum>
  <w:abstractNum w:abstractNumId="247">
    <w:nsid w:val="3A6F0E78"/>
    <w:multiLevelType w:val="hybridMultilevel"/>
    <w:lvl w:ilvl="0">
      <w:lvlJc w:val="left"/>
      <w:lvlText w:val="(%1)"/>
      <w:numFmt w:val="lowerLetter"/>
      <w:start w:val="1"/>
    </w:lvl>
  </w:abstractNum>
  <w:abstractNum w:abstractNumId="248">
    <w:nsid w:val="379A5B56"/>
    <w:multiLevelType w:val="hybridMultilevel"/>
    <w:lvl w:ilvl="0">
      <w:lvlJc w:val="left"/>
      <w:lvlText w:val="(%1)"/>
      <w:numFmt w:val="lowerLetter"/>
      <w:start w:val="1"/>
    </w:lvl>
  </w:abstractNum>
  <w:abstractNum w:abstractNumId="249">
    <w:nsid w:val="53B735D5"/>
    <w:multiLevelType w:val="hybridMultilevel"/>
    <w:lvl w:ilvl="0">
      <w:lvlJc w:val="left"/>
      <w:lvlText w:val="%1"/>
      <w:numFmt w:val="upperLetter"/>
      <w:start w:val="1"/>
    </w:lvl>
    <w:lvl w:ilvl="1">
      <w:lvlJc w:val="left"/>
      <w:lvlText w:val="(%2)"/>
      <w:numFmt w:val="lowerLetter"/>
      <w:start w:val="1"/>
    </w:lvl>
  </w:abstractNum>
  <w:abstractNum w:abstractNumId="250">
    <w:nsid w:val="29784870"/>
    <w:multiLevelType w:val="hybridMultilevel"/>
    <w:lvl w:ilvl="0">
      <w:lvlJc w:val="left"/>
      <w:lvlText w:val="(%1)"/>
      <w:numFmt w:val="upperLetter"/>
      <w:start w:val="2"/>
    </w:lvl>
    <w:lvl w:ilvl="1">
      <w:lvlJc w:val="left"/>
      <w:lvlText w:val="(%2)"/>
      <w:numFmt w:val="lowerLetter"/>
      <w:start w:val="3"/>
    </w:lvl>
  </w:abstractNum>
  <w:abstractNum w:abstractNumId="251">
    <w:nsid w:val="4CDCED4C"/>
    <w:multiLevelType w:val="hybridMultilevel"/>
    <w:lvl w:ilvl="0">
      <w:lvlJc w:val="left"/>
      <w:lvlText w:val="(%1)"/>
      <w:numFmt w:val="lowerLetter"/>
      <w:start w:val="6"/>
    </w:lvl>
  </w:abstractNum>
  <w:abstractNum w:abstractNumId="252">
    <w:nsid w:val="10A30D9C"/>
    <w:multiLevelType w:val="hybridMultilevel"/>
    <w:lvl w:ilvl="0">
      <w:lvlJc w:val="left"/>
      <w:lvlText w:val="(%1)"/>
      <w:numFmt w:val="lowerLetter"/>
      <w:start w:val="1"/>
    </w:lvl>
  </w:abstractNum>
  <w:abstractNum w:abstractNumId="253">
    <w:nsid w:val="A66E486"/>
    <w:multiLevelType w:val="hybridMultilevel"/>
    <w:lvl w:ilvl="0">
      <w:lvlJc w:val="left"/>
      <w:lvlText w:val="(%1)"/>
      <w:numFmt w:val="lowerLetter"/>
      <w:start w:val="1"/>
    </w:lvl>
  </w:abstractNum>
  <w:abstractNum w:abstractNumId="254">
    <w:nsid w:val="306235EA"/>
    <w:multiLevelType w:val="hybridMultilevel"/>
    <w:lvl w:ilvl="0">
      <w:lvlJc w:val="left"/>
      <w:lvlText w:val="%1"/>
      <w:numFmt w:val="lowerRoman"/>
      <w:start w:val="1"/>
    </w:lvl>
    <w:lvl w:ilvl="1">
      <w:lvlJc w:val="left"/>
      <w:lvlText w:val="(%2)"/>
      <w:numFmt w:val="lowerLetter"/>
      <w:start w:val="1"/>
    </w:lvl>
  </w:abstractNum>
  <w:abstractNum w:abstractNumId="255">
    <w:nsid w:val="1187C70F"/>
    <w:multiLevelType w:val="hybridMultilevel"/>
    <w:lvl w:ilvl="0">
      <w:lvlJc w:val="left"/>
      <w:lvlText w:val="(%1)"/>
      <w:numFmt w:val="lowerRoman"/>
      <w:start w:val="2"/>
    </w:lvl>
    <w:lvl w:ilvl="1">
      <w:lvlJc w:val="left"/>
      <w:lvlText w:val="%2"/>
      <w:numFmt w:val="lowerLetter"/>
      <w:start w:val="1"/>
    </w:lvl>
  </w:abstractNum>
  <w:abstractNum w:abstractNumId="256">
    <w:nsid w:val="5476DE98"/>
    <w:multiLevelType w:val="hybridMultilevel"/>
    <w:lvl w:ilvl="0">
      <w:lvlJc w:val="left"/>
      <w:lvlText w:val="(%1)"/>
      <w:numFmt w:val="lowerLetter"/>
      <w:start w:val="1"/>
    </w:lvl>
  </w:abstractNum>
  <w:abstractNum w:abstractNumId="257">
    <w:nsid w:val="EA697F2"/>
    <w:multiLevelType w:val="hybridMultilevel"/>
    <w:lvl w:ilvl="0">
      <w:lvlJc w:val="left"/>
      <w:lvlText w:val="(%1)"/>
      <w:numFmt w:val="lowerLetter"/>
      <w:start w:val="1"/>
    </w:lvl>
    <w:lvl w:ilvl="1">
      <w:lvlJc w:val="left"/>
      <w:lvlText w:val="(%2)"/>
      <w:numFmt w:val="lowerRoman"/>
      <w:start w:val="1"/>
    </w:lvl>
  </w:abstractNum>
  <w:abstractNum w:abstractNumId="258">
    <w:nsid w:val="70BA39EB"/>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lvl w:ilvl="3">
      <w:lvlJc w:val="left"/>
      <w:lvlText w:val="(%4)"/>
      <w:numFmt w:val="lowerRoman"/>
      <w:start w:val="7"/>
    </w:lvl>
  </w:abstractNum>
  <w:abstractNum w:abstractNumId="259">
    <w:nsid w:val="4A8DB59C"/>
    <w:multiLevelType w:val="hybridMultilevel"/>
    <w:lvl w:ilvl="0">
      <w:lvlJc w:val="left"/>
      <w:lvlText w:val="(%1)"/>
      <w:numFmt w:val="lowerLetter"/>
      <w:start w:val="61"/>
    </w:lvl>
    <w:lvl w:ilvl="1">
      <w:lvlJc w:val="left"/>
      <w:lvlText w:val="%2"/>
      <w:numFmt w:val="upperLetter"/>
      <w:start w:val="1"/>
    </w:lvl>
    <w:lvl w:ilvl="2">
      <w:lvlJc w:val="left"/>
      <w:lvlText w:val="(%3)"/>
      <w:numFmt w:val="lowerLetter"/>
      <w:start w:val="3"/>
    </w:lvl>
    <w:lvl w:ilvl="3">
      <w:lvlJc w:val="left"/>
      <w:lvlText w:val="%4"/>
      <w:numFmt w:val="lowerRoman"/>
      <w:start w:val="1"/>
    </w:lvl>
  </w:abstractNum>
  <w:abstractNum w:abstractNumId="260">
    <w:nsid w:val="1AFD9053"/>
    <w:multiLevelType w:val="hybridMultilevel"/>
    <w:lvl w:ilvl="0">
      <w:lvlJc w:val="left"/>
      <w:lvlText w:val="%1"/>
      <w:numFmt w:val="lowerLetter"/>
      <w:start w:val="1"/>
    </w:lvl>
    <w:lvl w:ilvl="1">
      <w:lvlJc w:val="left"/>
      <w:lvlText w:val="(%2)"/>
      <w:numFmt w:val="lowerLetter"/>
      <w:start w:val="1"/>
    </w:lvl>
  </w:abstractNum>
  <w:abstractNum w:abstractNumId="261">
    <w:nsid w:val="558BB10D"/>
    <w:multiLevelType w:val="hybridMultilevel"/>
    <w:lvl w:ilvl="0">
      <w:lvlJc w:val="left"/>
      <w:lvlText w:val="(%1)"/>
      <w:numFmt w:val="lowerLetter"/>
      <w:start w:val="35"/>
    </w:lvl>
    <w:lvl w:ilvl="1">
      <w:lvlJc w:val="left"/>
      <w:lvlText w:val="(%2)"/>
      <w:numFmt w:val="lowerLetter"/>
      <w:start w:val="2"/>
    </w:lvl>
  </w:abstractNum>
  <w:abstractNum w:abstractNumId="262">
    <w:nsid w:val="43B27FA7"/>
    <w:multiLevelType w:val="hybridMultilevel"/>
    <w:lvl w:ilvl="0">
      <w:lvlJc w:val="left"/>
      <w:lvlText w:val="(%1)"/>
      <w:numFmt w:val="lowerLetter"/>
      <w:start w:val="1"/>
    </w:lvl>
  </w:abstractNum>
  <w:abstractNum w:abstractNumId="263">
    <w:nsid w:val="27FADEFA"/>
    <w:multiLevelType w:val="hybridMultilevel"/>
    <w:lvl w:ilvl="0">
      <w:lvlJc w:val="left"/>
      <w:lvlText w:val="(%1)"/>
      <w:numFmt w:val="lowerLetter"/>
      <w:start w:val="3"/>
    </w:lvl>
  </w:abstractNum>
  <w:abstractNum w:abstractNumId="264">
    <w:nsid w:val="78BB805A"/>
    <w:multiLevelType w:val="hybridMultilevel"/>
    <w:lvl w:ilvl="0">
      <w:lvlJc w:val="left"/>
      <w:lvlText w:val="(%1)"/>
      <w:numFmt w:val="lowerLetter"/>
      <w:start w:val="8"/>
    </w:lvl>
  </w:abstractNum>
  <w:abstractNum w:abstractNumId="265">
    <w:nsid w:val="62548FD8"/>
    <w:multiLevelType w:val="hybridMultilevel"/>
    <w:lvl w:ilvl="0">
      <w:lvlJc w:val="left"/>
      <w:lvlText w:val="(%1)"/>
      <w:numFmt w:val="lowerLetter"/>
      <w:start w:val="1"/>
    </w:lvl>
  </w:abstractNum>
  <w:abstractNum w:abstractNumId="266">
    <w:nsid w:val="FA085B0"/>
    <w:multiLevelType w:val="hybridMultilevel"/>
    <w:lvl w:ilvl="0">
      <w:lvlJc w:val="left"/>
      <w:lvlText w:val="%1"/>
      <w:numFmt w:val="lowerLetter"/>
      <w:start w:val="1"/>
    </w:lvl>
    <w:lvl w:ilvl="1">
      <w:lvlJc w:val="left"/>
      <w:lvlText w:val="(%2)"/>
      <w:numFmt w:val="lowerLetter"/>
      <w:start w:val="3"/>
    </w:lvl>
  </w:abstractNum>
  <w:abstractNum w:abstractNumId="267">
    <w:nsid w:val="4E5DCB5"/>
    <w:multiLevelType w:val="hybridMultilevel"/>
    <w:lvl w:ilvl="0">
      <w:lvlJc w:val="left"/>
      <w:lvlText w:val="(%1)"/>
      <w:numFmt w:val="lowerLetter"/>
      <w:start w:val="9"/>
    </w:lvl>
    <w:lvl w:ilvl="1">
      <w:lvlJc w:val="left"/>
      <w:lvlText w:val="(%2)"/>
      <w:numFmt w:val="lowerLetter"/>
      <w:start w:val="4"/>
    </w:lvl>
  </w:abstractNum>
  <w:abstractNum w:abstractNumId="268">
    <w:nsid w:val="41E96BDB"/>
    <w:multiLevelType w:val="hybridMultilevel"/>
    <w:lvl w:ilvl="0">
      <w:lvlJc w:val="left"/>
      <w:lvlText w:val="(%1)"/>
      <w:numFmt w:val="lowerLetter"/>
      <w:start w:val="9"/>
    </w:lvl>
    <w:lvl w:ilvl="1">
      <w:lvlJc w:val="left"/>
      <w:lvlText w:val="%2"/>
      <w:numFmt w:val="lowerLetter"/>
      <w:start w:val="1"/>
    </w:lvl>
  </w:abstractNum>
  <w:abstractNum w:abstractNumId="269">
    <w:nsid w:val="331C4250"/>
    <w:multiLevelType w:val="hybridMultilevel"/>
    <w:lvl w:ilvl="0">
      <w:lvlJc w:val="left"/>
      <w:lvlText w:val="(%1)"/>
      <w:numFmt w:val="lowerLetter"/>
      <w:start w:val="1"/>
    </w:lvl>
  </w:abstractNum>
  <w:abstractNum w:abstractNumId="270">
    <w:nsid w:val="1B1493C2"/>
    <w:multiLevelType w:val="hybridMultilevel"/>
    <w:lvl w:ilvl="0">
      <w:lvlJc w:val="left"/>
      <w:lvlText w:val="(%1)"/>
      <w:numFmt w:val="lowerLetter"/>
      <w:start w:val="1"/>
    </w:lvl>
  </w:abstractNum>
  <w:abstractNum w:abstractNumId="271">
    <w:nsid w:val="39F06DFD"/>
    <w:multiLevelType w:val="hybridMultilevel"/>
    <w:lvl w:ilvl="0">
      <w:lvlJc w:val="left"/>
      <w:lvlText w:val="(%1)"/>
      <w:numFmt w:val="lowerLetter"/>
      <w:start w:val="2"/>
    </w:lvl>
  </w:abstractNum>
  <w:abstractNum w:abstractNumId="272">
    <w:nsid w:val="14802F5D"/>
    <w:multiLevelType w:val="hybridMultilevel"/>
    <w:lvl w:ilvl="0">
      <w:lvlJc w:val="left"/>
      <w:lvlText w:val="%1"/>
      <w:numFmt w:val="lowerLetter"/>
      <w:start w:val="1"/>
    </w:lvl>
    <w:lvl w:ilvl="1">
      <w:lvlJc w:val="left"/>
      <w:lvlText w:val="(%2)"/>
      <w:numFmt w:val="lowerLetter"/>
      <w:start w:val="1"/>
    </w:lvl>
  </w:abstractNum>
  <w:abstractNum w:abstractNumId="273">
    <w:nsid w:val="2774A209"/>
    <w:multiLevelType w:val="hybridMultilevel"/>
    <w:lvl w:ilvl="0">
      <w:lvlJc w:val="left"/>
      <w:lvlText w:val="(%1)"/>
      <w:numFmt w:val="lowerLetter"/>
      <w:start w:val="35"/>
    </w:lvl>
    <w:lvl w:ilvl="1">
      <w:lvlJc w:val="left"/>
      <w:lvlText w:val="%2"/>
      <w:numFmt w:val="lowerLetter"/>
      <w:start w:val="1"/>
    </w:lvl>
  </w:abstractNum>
  <w:abstractNum w:abstractNumId="274">
    <w:nsid w:val="3785655A"/>
    <w:multiLevelType w:val="hybridMultilevel"/>
    <w:lvl w:ilvl="0">
      <w:lvlJc w:val="left"/>
      <w:lvlText w:val="%1"/>
      <w:numFmt w:val="lowerLetter"/>
      <w:start w:val="1"/>
    </w:lvl>
    <w:lvl w:ilvl="1">
      <w:lvlJc w:val="left"/>
      <w:lvlText w:val="(%2)"/>
      <w:numFmt w:val="lowerLetter"/>
      <w:start w:val="3"/>
    </w:lvl>
  </w:abstractNum>
  <w:abstractNum w:abstractNumId="275">
    <w:nsid w:val="B2172A"/>
    <w:multiLevelType w:val="hybridMultilevel"/>
    <w:lvl w:ilvl="0">
      <w:lvlJc w:val="left"/>
      <w:lvlText w:val="(%1)"/>
      <w:numFmt w:val="lowerLetter"/>
      <w:start w:val="61"/>
    </w:lvl>
    <w:lvl w:ilvl="1">
      <w:lvlJc w:val="left"/>
      <w:lvlText w:val="(%2)"/>
      <w:numFmt w:val="lowerLetter"/>
      <w:start w:val="8"/>
    </w:lvl>
  </w:abstractNum>
  <w:abstractNum w:abstractNumId="276">
    <w:nsid w:val="532C34A5"/>
    <w:multiLevelType w:val="hybridMultilevel"/>
    <w:lvl w:ilvl="0">
      <w:lvlJc w:val="left"/>
      <w:lvlText w:val="(%1)"/>
      <w:numFmt w:val="lowerLetter"/>
      <w:start w:val="1"/>
    </w:lvl>
  </w:abstractNum>
  <w:abstractNum w:abstractNumId="277">
    <w:nsid w:val="102809E2"/>
    <w:multiLevelType w:val="hybridMultilevel"/>
    <w:lvl w:ilvl="0">
      <w:lvlJc w:val="left"/>
      <w:lvlText w:val="%1"/>
      <w:numFmt w:val="lowerLetter"/>
      <w:start w:val="1"/>
    </w:lvl>
    <w:lvl w:ilvl="1">
      <w:lvlJc w:val="left"/>
      <w:lvlText w:val="(%2)"/>
      <w:numFmt w:val="lowerLetter"/>
      <w:start w:val="1"/>
    </w:lvl>
  </w:abstractNum>
  <w:abstractNum w:abstractNumId="278">
    <w:nsid w:val="3B2125A3"/>
    <w:multiLevelType w:val="hybridMultilevel"/>
    <w:lvl w:ilvl="0">
      <w:lvlJc w:val="left"/>
      <w:lvlText w:val="(%1)"/>
      <w:numFmt w:val="lowerLetter"/>
      <w:start w:val="61"/>
    </w:lvl>
    <w:lvl w:ilvl="1">
      <w:lvlJc w:val="left"/>
      <w:lvlText w:val="(%2)"/>
      <w:numFmt w:val="lowerLetter"/>
      <w:start w:val="2"/>
    </w:lvl>
  </w:abstractNum>
  <w:abstractNum w:abstractNumId="279">
    <w:nsid w:val="AC68FFB"/>
    <w:multiLevelType w:val="hybridMultilevel"/>
    <w:lvl w:ilvl="0">
      <w:lvlJc w:val="left"/>
      <w:lvlText w:val="(%1)"/>
      <w:numFmt w:val="lowerLetter"/>
      <w:start w:val="3"/>
    </w:lvl>
  </w:abstractNum>
  <w:abstractNum w:abstractNumId="280">
    <w:nsid w:val="63DF3FB7"/>
    <w:multiLevelType w:val="hybridMultilevel"/>
    <w:lvl w:ilvl="0">
      <w:lvlJc w:val="left"/>
      <w:lvlText w:val="(%1)"/>
      <w:numFmt w:val="lowerLetter"/>
      <w:start w:val="1"/>
    </w:lvl>
  </w:abstractNum>
  <w:abstractNum w:abstractNumId="281">
    <w:nsid w:val="64996E13"/>
    <w:multiLevelType w:val="hybridMultilevel"/>
    <w:lvl w:ilvl="0">
      <w:lvlJc w:val="left"/>
      <w:lvlText w:val="(%1)"/>
      <w:numFmt w:val="lowerLetter"/>
      <w:start w:val="1"/>
    </w:lvl>
  </w:abstractNum>
  <w:abstractNum w:abstractNumId="282">
    <w:nsid w:val="57A37D47"/>
    <w:multiLevelType w:val="hybridMultilevel"/>
    <w:lvl w:ilvl="0">
      <w:lvlJc w:val="left"/>
      <w:lvlText w:val="(%1)"/>
      <w:numFmt w:val="lowerRoman"/>
      <w:start w:val="1"/>
    </w:lvl>
  </w:abstractNum>
  <w:abstractNum w:abstractNumId="283">
    <w:nsid w:val="74824D54"/>
    <w:multiLevelType w:val="hybridMultilevel"/>
    <w:lvl w:ilvl="0">
      <w:lvlJc w:val="left"/>
      <w:lvlText w:val="%1"/>
      <w:numFmt w:val="lowerRoman"/>
      <w:start w:val="1"/>
    </w:lvl>
    <w:lvl w:ilvl="1">
      <w:lvlJc w:val="left"/>
      <w:lvlText w:val="(%2)"/>
      <w:numFmt w:val="lowerLetter"/>
      <w:start w:val="1"/>
    </w:lvl>
  </w:abstractNum>
  <w:abstractNum w:abstractNumId="284">
    <w:nsid w:val="6F00529A"/>
    <w:multiLevelType w:val="hybridMultilevel"/>
    <w:lvl w:ilvl="0">
      <w:lvlJc w:val="left"/>
      <w:lvlText w:val="(%1)"/>
      <w:numFmt w:val="lowerRoman"/>
      <w:start w:val="2"/>
    </w:lvl>
    <w:lvl w:ilvl="1">
      <w:lvlJc w:val="left"/>
      <w:lvlText w:val="%2"/>
      <w:numFmt w:val="lowerLetter"/>
      <w:start w:val="1"/>
    </w:lvl>
  </w:abstractNum>
  <w:abstractNum w:abstractNumId="285">
    <w:nsid w:val="805B331"/>
    <w:multiLevelType w:val="hybridMultilevel"/>
    <w:lvl w:ilvl="0">
      <w:lvlJc w:val="left"/>
      <w:lvlText w:val="(%1)"/>
      <w:numFmt w:val="lowerRoman"/>
      <w:start w:val="8"/>
    </w:lvl>
    <w:lvl w:ilvl="1">
      <w:lvlJc w:val="left"/>
      <w:lvlText w:val="(%2)"/>
      <w:numFmt w:val="lowerLetter"/>
      <w:start w:val="2"/>
    </w:lvl>
  </w:abstractNum>
  <w:abstractNum w:abstractNumId="286">
    <w:nsid w:val="60A1463"/>
    <w:multiLevelType w:val="hybridMultilevel"/>
    <w:lvl w:ilvl="0">
      <w:lvlJc w:val="left"/>
      <w:lvlText w:val="%1"/>
      <w:numFmt w:val="lowerLetter"/>
      <w:start w:val="1"/>
    </w:lvl>
    <w:lvl w:ilvl="1">
      <w:lvlJc w:val="left"/>
      <w:lvlText w:val="(%2)"/>
      <w:numFmt w:val="lowerLetter"/>
      <w:start w:val="3"/>
    </w:lvl>
  </w:abstractNum>
  <w:abstractNum w:abstractNumId="287">
    <w:nsid w:val="43773132"/>
    <w:multiLevelType w:val="hybridMultilevel"/>
    <w:lvl w:ilvl="0">
      <w:lvlJc w:val="left"/>
      <w:lvlText w:val="(%1)"/>
      <w:numFmt w:val="lowerLetter"/>
      <w:start w:val="35"/>
    </w:lvl>
    <w:lvl w:ilvl="1">
      <w:lvlJc w:val="left"/>
      <w:lvlText w:val="(%2)"/>
      <w:numFmt w:val="lowerLetter"/>
      <w:start w:val="4"/>
    </w:lvl>
  </w:abstractNum>
  <w:abstractNum w:abstractNumId="288">
    <w:nsid w:val="16AC4B23"/>
    <w:multiLevelType w:val="hybridMultilevel"/>
    <w:lvl w:ilvl="0">
      <w:lvlJc w:val="left"/>
      <w:lvlText w:val="(%1)"/>
      <w:numFmt w:val="lowerLetter"/>
      <w:start w:val="1"/>
    </w:lvl>
    <w:lvl w:ilvl="1">
      <w:lvlJc w:val="left"/>
      <w:lvlText w:val="(%2)"/>
      <w:numFmt w:val="lowerRoman"/>
      <w:start w:val="1"/>
    </w:lvl>
  </w:abstractNum>
  <w:abstractNum w:abstractNumId="289">
    <w:nsid w:val="76C44E4E"/>
    <w:multiLevelType w:val="hybridMultilevel"/>
    <w:lvl w:ilvl="0">
      <w:lvlJc w:val="left"/>
      <w:lvlText w:val="%1"/>
      <w:numFmt w:val="decimal"/>
      <w:start w:val="1"/>
    </w:lvl>
    <w:lvl w:ilvl="1">
      <w:lvlJc w:val="left"/>
      <w:lvlText w:val="(%2)"/>
      <w:numFmt w:val="lowerRoman"/>
      <w:start w:val="5"/>
    </w:lvl>
  </w:abstractNum>
  <w:abstractNum w:abstractNumId="290">
    <w:nsid w:val="E04E6CE"/>
    <w:multiLevelType w:val="hybridMultilevel"/>
    <w:lvl w:ilvl="0">
      <w:lvlJc w:val="left"/>
      <w:lvlText w:val="(%1)"/>
      <w:numFmt w:val="decimal"/>
      <w:start w:val="2"/>
    </w:lvl>
    <w:lvl w:ilvl="1">
      <w:lvlJc w:val="left"/>
      <w:lvlText w:val="(%2)"/>
      <w:numFmt w:val="lowerRoman"/>
      <w:start w:val="8"/>
    </w:lvl>
  </w:abstractNum>
  <w:abstractNum w:abstractNumId="291">
    <w:nsid w:val="31A9DB76"/>
    <w:multiLevelType w:val="hybridMultilevel"/>
    <w:lvl w:ilvl="0">
      <w:lvlJc w:val="left"/>
      <w:lvlText w:val="(%1)"/>
      <w:numFmt w:val="lowerRoman"/>
      <w:start w:val="19"/>
    </w:lvl>
  </w:abstractNum>
  <w:abstractNum w:abstractNumId="292">
    <w:nsid w:val="4C4FFF5B"/>
    <w:multiLevelType w:val="hybridMultilevel"/>
    <w:lvl w:ilvl="0">
      <w:lvlJc w:val="left"/>
      <w:lvlText w:val="(%1)"/>
      <w:numFmt w:val="lowerLetter"/>
      <w:start w:val="1"/>
    </w:lvl>
  </w:abstractNum>
  <w:abstractNum w:abstractNumId="293">
    <w:nsid w:val="51B76675"/>
    <w:multiLevelType w:val="hybridMultilevel"/>
    <w:lvl w:ilvl="0">
      <w:lvlJc w:val="left"/>
      <w:lvlText w:val="(%1)"/>
      <w:numFmt w:val="lowerLetter"/>
      <w:start w:val="1"/>
    </w:lvl>
  </w:abstractNum>
  <w:abstractNum w:abstractNumId="294">
    <w:nsid w:val="59A4BA71"/>
    <w:multiLevelType w:val="hybridMultilevel"/>
    <w:lvl w:ilvl="0">
      <w:lvlJc w:val="left"/>
      <w:lvlText w:val="%1"/>
      <w:numFmt w:val="lowerLetter"/>
      <w:start w:val="1"/>
    </w:lvl>
    <w:lvl w:ilvl="1">
      <w:lvlJc w:val="left"/>
      <w:lvlText w:val="(%2)"/>
      <w:numFmt w:val="lowerLetter"/>
      <w:start w:val="1"/>
    </w:lvl>
  </w:abstractNum>
  <w:abstractNum w:abstractNumId="295">
    <w:nsid w:val="450B7FB6"/>
    <w:multiLevelType w:val="hybridMultilevel"/>
    <w:lvl w:ilvl="0">
      <w:lvlJc w:val="left"/>
      <w:lvlText w:val="(%1)"/>
      <w:numFmt w:val="lowerLetter"/>
      <w:start w:val="35"/>
    </w:lvl>
    <w:lvl w:ilvl="1">
      <w:lvlJc w:val="left"/>
      <w:lvlText w:val="%2"/>
      <w:numFmt w:val="lowerLetter"/>
      <w:start w:val="1"/>
    </w:lvl>
  </w:abstractNum>
  <w:abstractNum w:abstractNumId="296">
    <w:nsid w:val="340BF64D"/>
    <w:multiLevelType w:val="hybridMultilevel"/>
    <w:lvl w:ilvl="0">
      <w:lvlJc w:val="left"/>
      <w:lvlText w:val="%1"/>
      <w:numFmt w:val="lowerLetter"/>
      <w:start w:val="1"/>
    </w:lvl>
    <w:lvl w:ilvl="1">
      <w:lvlJc w:val="left"/>
      <w:lvlText w:val="(%2)"/>
      <w:numFmt w:val="lowerLetter"/>
      <w:start w:val="3"/>
    </w:lvl>
  </w:abstractNum>
  <w:abstractNum w:abstractNumId="297">
    <w:nsid w:val="69454021"/>
    <w:multiLevelType w:val="hybridMultilevel"/>
    <w:lvl w:ilvl="0">
      <w:lvlJc w:val="left"/>
      <w:lvlText w:val="(%1)"/>
      <w:numFmt w:val="lowerLetter"/>
      <w:start w:val="9"/>
    </w:lvl>
    <w:lvl w:ilvl="1">
      <w:lvlJc w:val="left"/>
      <w:lvlText w:val="(%2)"/>
      <w:numFmt w:val="lowerLetter"/>
      <w:start w:val="6"/>
    </w:lvl>
  </w:abstractNum>
  <w:abstractNum w:abstractNumId="298">
    <w:nsid w:val="49F15C6B"/>
    <w:multiLevelType w:val="hybridMultilevel"/>
    <w:lvl w:ilvl="0">
      <w:lvlJc w:val="left"/>
      <w:lvlText w:val="(%1)"/>
      <w:numFmt w:val="lowerLetter"/>
      <w:start w:val="7"/>
    </w:lvl>
  </w:abstractNum>
  <w:abstractNum w:abstractNumId="299">
    <w:nsid w:val="75F56228"/>
    <w:multiLevelType w:val="hybridMultilevel"/>
    <w:lvl w:ilvl="0">
      <w:lvlJc w:val="left"/>
      <w:lvlText w:val="(%1)"/>
      <w:numFmt w:val="lowerLetter"/>
      <w:start w:val="2"/>
    </w:lvl>
  </w:abstractNum>
  <w:abstractNum w:abstractNumId="300">
    <w:nsid w:val="1C618271"/>
    <w:multiLevelType w:val="hybridMultilevel"/>
    <w:lvl w:ilvl="0">
      <w:lvlJc w:val="left"/>
      <w:lvlText w:val="(%1)"/>
      <w:numFmt w:val="lowerLetter"/>
      <w:start w:val="1"/>
    </w:lvl>
  </w:abstractNum>
  <w:abstractNum w:abstractNumId="301">
    <w:nsid w:val="6505F02E"/>
    <w:multiLevelType w:val="hybridMultilevel"/>
    <w:lvl w:ilvl="0">
      <w:lvlJc w:val="left"/>
      <w:lvlText w:val="(%1)"/>
      <w:numFmt w:val="lowerLetter"/>
      <w:start w:val="1"/>
    </w:lvl>
  </w:abstractNum>
  <w:abstractNum w:abstractNumId="302">
    <w:nsid w:val="2FE5D025"/>
    <w:multiLevelType w:val="hybridMultilevel"/>
    <w:lvl w:ilvl="0">
      <w:lvlJc w:val="left"/>
      <w:lvlText w:val="(%1)"/>
      <w:numFmt w:val="lowerLetter"/>
      <w:start w:val="2"/>
    </w:lvl>
  </w:abstractNum>
  <w:abstractNum w:abstractNumId="303">
    <w:nsid w:val="30E1B1CF"/>
    <w:multiLevelType w:val="hybridMultilevel"/>
    <w:lvl w:ilvl="0">
      <w:lvlJc w:val="left"/>
      <w:lvlText w:val="(%1)"/>
      <w:numFmt w:val="lowerLetter"/>
      <w:start w:val="1"/>
    </w:lvl>
  </w:abstractNum>
  <w:abstractNum w:abstractNumId="304">
    <w:nsid w:val="C7A9237"/>
    <w:multiLevelType w:val="hybridMultilevel"/>
    <w:lvl w:ilvl="0">
      <w:lvlJc w:val="left"/>
      <w:lvlText w:val="(%1)"/>
      <w:numFmt w:val="lowerLetter"/>
      <w:start w:val="1"/>
    </w:lvl>
  </w:abstractNum>
  <w:abstractNum w:abstractNumId="305">
    <w:nsid w:val="676B3580"/>
    <w:multiLevelType w:val="hybridMultilevel"/>
    <w:lvl w:ilvl="0">
      <w:lvlJc w:val="left"/>
      <w:lvlText w:val="(%1)"/>
      <w:numFmt w:val="upperLetter"/>
      <w:start w:val="1"/>
    </w:lvl>
  </w:abstractNum>
  <w:abstractNum w:abstractNumId="306">
    <w:nsid w:val="3193C8F9"/>
    <w:multiLevelType w:val="hybridMultilevel"/>
    <w:lvl w:ilvl="0">
      <w:lvlJc w:val="left"/>
      <w:lvlText w:val="(%1)"/>
      <w:numFmt w:val="lowerLetter"/>
      <w:start w:val="1"/>
    </w:lvl>
  </w:abstractNum>
  <w:abstractNum w:abstractNumId="307">
    <w:nsid w:val="5FA6C6DC"/>
    <w:multiLevelType w:val="hybridMultilevel"/>
    <w:lvl w:ilvl="0">
      <w:lvlJc w:val="left"/>
      <w:lvlText w:val="(%1)"/>
      <w:numFmt w:val="lowerLetter"/>
      <w:start w:val="1"/>
    </w:lvl>
  </w:abstractNum>
  <w:abstractNum w:abstractNumId="308">
    <w:nsid w:val="77933F62"/>
    <w:multiLevelType w:val="hybridMultilevel"/>
    <w:lvl w:ilvl="0">
      <w:lvlJc w:val="left"/>
      <w:lvlText w:val="(%1)"/>
      <w:numFmt w:val="lowerLetter"/>
      <w:start w:val="1"/>
    </w:lvl>
  </w:abstractNum>
  <w:abstractNum w:abstractNumId="309">
    <w:nsid w:val="6CB4EE9C"/>
    <w:multiLevelType w:val="hybridMultilevel"/>
    <w:lvl w:ilvl="0">
      <w:lvlJc w:val="left"/>
      <w:lvlText w:val="(%1)"/>
      <w:numFmt w:val="lowerLetter"/>
      <w:start w:val="1"/>
    </w:lvl>
  </w:abstractNum>
  <w:abstractNum w:abstractNumId="310">
    <w:nsid w:val="6A6D56D7"/>
    <w:multiLevelType w:val="hybridMultilevel"/>
    <w:lvl w:ilvl="0">
      <w:lvlJc w:val="left"/>
      <w:lvlText w:val="(%1)"/>
      <w:numFmt w:val="lowerLetter"/>
      <w:start w:val="13"/>
    </w:lvl>
  </w:abstractNum>
  <w:abstractNum w:abstractNumId="311">
    <w:nsid w:val="5B727F19"/>
    <w:multiLevelType w:val="hybridMultilevel"/>
    <w:lvl w:ilvl="0">
      <w:lvlJc w:val="left"/>
      <w:lvlText w:val="(%1)"/>
      <w:numFmt w:val="lowerLetter"/>
      <w:start w:val="1"/>
    </w:lvl>
  </w:abstractNum>
  <w:abstractNum w:abstractNumId="312">
    <w:nsid w:val="514E5CB0"/>
    <w:multiLevelType w:val="hybridMultilevel"/>
    <w:lvl w:ilvl="0">
      <w:lvlJc w:val="left"/>
      <w:lvlText w:val="(%1)"/>
      <w:numFmt w:val="lowerRoman"/>
      <w:start w:val="2"/>
    </w:lvl>
  </w:abstractNum>
  <w:abstractNum w:abstractNumId="313">
    <w:nsid w:val="4210D41E"/>
    <w:multiLevelType w:val="hybridMultilevel"/>
    <w:lvl w:ilvl="0">
      <w:lvlJc w:val="left"/>
      <w:lvlText w:val="%1"/>
      <w:numFmt w:val="lowerLetter"/>
      <w:start w:val="1"/>
    </w:lvl>
    <w:lvl w:ilvl="1">
      <w:lvlJc w:val="left"/>
      <w:lvlText w:val="(%2)"/>
      <w:numFmt w:val="lowerLetter"/>
      <w:start w:val="1"/>
    </w:lvl>
  </w:abstractNum>
  <w:abstractNum w:abstractNumId="314">
    <w:nsid w:val="4FF4CC6D"/>
    <w:multiLevelType w:val="hybridMultilevel"/>
    <w:lvl w:ilvl="0">
      <w:lvlJc w:val="left"/>
      <w:lvlText w:val="(%1)"/>
      <w:numFmt w:val="lowerLetter"/>
      <w:start w:val="25"/>
    </w:lvl>
    <w:lvl w:ilvl="1">
      <w:lvlJc w:val="left"/>
      <w:lvlText w:val="(%2)"/>
      <w:numFmt w:val="lowerLetter"/>
      <w:start w:val="3"/>
    </w:lvl>
  </w:abstractNum>
  <w:abstractNum w:abstractNumId="315">
    <w:nsid w:val="404EAF4A"/>
    <w:multiLevelType w:val="hybridMultilevel"/>
    <w:lvl w:ilvl="0">
      <w:lvlJc w:val="left"/>
      <w:lvlText w:val="(%1)"/>
      <w:numFmt w:val="lowerLetter"/>
      <w:start w:val="9"/>
    </w:lvl>
    <w:lvl w:ilvl="1">
      <w:lvlJc w:val="left"/>
      <w:lvlText w:val="%2"/>
      <w:numFmt w:val="lowerLetter"/>
      <w:start w:val="1"/>
    </w:lvl>
  </w:abstractNum>
  <w:abstractNum w:abstractNumId="316">
    <w:nsid w:val="4A16874F"/>
    <w:multiLevelType w:val="hybridMultilevel"/>
    <w:lvl w:ilvl="0">
      <w:lvlJc w:val="left"/>
      <w:lvlText w:val="(%1)"/>
      <w:numFmt w:val="lowerLetter"/>
      <w:start w:val="4"/>
    </w:lvl>
  </w:abstractNum>
  <w:abstractNum w:abstractNumId="317">
    <w:nsid w:val="55FEE0D1"/>
    <w:multiLevelType w:val="hybridMultilevel"/>
    <w:lvl w:ilvl="0">
      <w:lvlJc w:val="left"/>
      <w:lvlText w:val="(%1)"/>
      <w:numFmt w:val="lowerLetter"/>
      <w:start w:val="1"/>
    </w:lvl>
  </w:abstractNum>
  <w:abstractNum w:abstractNumId="318">
    <w:nsid w:val="3C5E07C"/>
    <w:multiLevelType w:val="hybridMultilevel"/>
    <w:lvl w:ilvl="0">
      <w:lvlJc w:val="left"/>
      <w:lvlText w:val="(%1)"/>
      <w:numFmt w:val="lowerLetter"/>
      <w:start w:val="3"/>
    </w:lvl>
  </w:abstractNum>
  <w:abstractNum w:abstractNumId="319">
    <w:nsid w:val="60C2D273"/>
    <w:multiLevelType w:val="hybridMultilevel"/>
    <w:lvl w:ilvl="0">
      <w:lvlJc w:val="left"/>
      <w:lvlText w:val="(%1)"/>
      <w:numFmt w:val="lowerLetter"/>
      <w:start w:val="1"/>
    </w:lvl>
  </w:abstractNum>
  <w:abstractNum w:abstractNumId="320">
    <w:nsid w:val="4CC32F1F"/>
    <w:multiLevelType w:val="hybridMultilevel"/>
    <w:lvl w:ilvl="0">
      <w:lvlJc w:val="left"/>
      <w:lvlText w:val="(%1)"/>
      <w:numFmt w:val="lowerLetter"/>
      <w:start w:val="10"/>
    </w:lvl>
  </w:abstractNum>
  <w:abstractNum w:abstractNumId="321">
    <w:nsid w:val="11CAC74A"/>
    <w:multiLevelType w:val="hybridMultilevel"/>
    <w:lvl w:ilvl="0">
      <w:lvlJc w:val="left"/>
      <w:lvlText w:val="(%1)"/>
      <w:numFmt w:val="lowerLetter"/>
      <w:start w:val="1"/>
    </w:lvl>
  </w:abstractNum>
  <w:abstractNum w:abstractNumId="322">
    <w:nsid w:val="126CADE9"/>
    <w:multiLevelType w:val="hybridMultilevel"/>
    <w:lvl w:ilvl="0">
      <w:lvlJc w:val="left"/>
      <w:lvlText w:val="(%1)"/>
      <w:numFmt w:val="lowerLetter"/>
      <w:start w:val="1"/>
    </w:lvl>
  </w:abstractNum>
  <w:abstractNum w:abstractNumId="323">
    <w:nsid w:val="19132E7B"/>
    <w:multiLevelType w:val="hybridMultilevel"/>
    <w:lvl w:ilvl="0">
      <w:lvlJc w:val="left"/>
      <w:lvlText w:val="(%1)"/>
      <w:numFmt w:val="lowerLetter"/>
      <w:start w:val="1"/>
    </w:lvl>
  </w:abstractNum>
  <w:abstractNum w:abstractNumId="324">
    <w:nsid w:val="63822DC0"/>
    <w:multiLevelType w:val="hybridMultilevel"/>
    <w:lvl w:ilvl="0">
      <w:lvlJc w:val="left"/>
      <w:lvlText w:val="(%1)"/>
      <w:numFmt w:val="lowerLetter"/>
      <w:start w:val="2"/>
    </w:lvl>
  </w:abstractNum>
  <w:abstractNum w:abstractNumId="325">
    <w:nsid w:val="6C11685A"/>
    <w:multiLevelType w:val="hybridMultilevel"/>
    <w:lvl w:ilvl="0">
      <w:lvlJc w:val="left"/>
      <w:lvlText w:val="(%1)"/>
      <w:numFmt w:val="lowerLetter"/>
      <w:start w:val="2"/>
    </w:lvl>
  </w:abstractNum>
  <w:abstractNum w:abstractNumId="326">
    <w:nsid w:val="5E1EAE31"/>
    <w:multiLevelType w:val="hybridMultilevel"/>
    <w:lvl w:ilvl="0">
      <w:lvlJc w:val="left"/>
      <w:lvlText w:val="(%1)"/>
      <w:numFmt w:val="lowerLetter"/>
      <w:start w:val="1"/>
    </w:lvl>
  </w:abstractNum>
  <w:abstractNum w:abstractNumId="327">
    <w:nsid w:val="178E240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28">
    <w:nsid w:val="5556A87B"/>
    <w:multiLevelType w:val="hybridMultilevel"/>
    <w:lvl w:ilvl="0">
      <w:lvlJc w:val="left"/>
      <w:lvlText w:val="%1"/>
      <w:numFmt w:val="lowerLetter"/>
      <w:start w:val="1"/>
    </w:lvl>
    <w:lvl w:ilvl="1">
      <w:lvlJc w:val="left"/>
      <w:lvlText w:val="(%2)"/>
      <w:numFmt w:val="lowerRoman"/>
      <w:start w:val="2"/>
    </w:lvl>
  </w:abstractNum>
  <w:abstractNum w:abstractNumId="329">
    <w:nsid w:val="28100A9C"/>
    <w:multiLevelType w:val="hybridMultilevel"/>
    <w:lvl w:ilvl="0">
      <w:lvlJc w:val="left"/>
      <w:lvlText w:val="(%1)"/>
      <w:numFmt w:val="lowerLetter"/>
      <w:start w:val="2"/>
    </w:lvl>
    <w:lvl w:ilvl="1">
      <w:lvlJc w:val="left"/>
      <w:lvlText w:val="%2"/>
      <w:numFmt w:val="lowerRoman"/>
      <w:start w:val="1"/>
    </w:lvl>
  </w:abstractNum>
  <w:abstractNum w:abstractNumId="330">
    <w:nsid w:val="D838636"/>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331">
    <w:nsid w:val="71B82AED"/>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332">
    <w:nsid w:val="D15FA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333">
    <w:nsid w:val="3D69565B"/>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6"/>
    </w:lvl>
  </w:abstractNum>
  <w:abstractNum w:abstractNumId="334">
    <w:nsid w:val="2299DCB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35">
    <w:nsid w:val="19908D02"/>
    <w:multiLevelType w:val="hybridMultilevel"/>
    <w:lvl w:ilvl="0">
      <w:lvlJc w:val="left"/>
      <w:lvlText w:val="%1."/>
      <w:numFmt w:val="decimal"/>
      <w:start w:val="5"/>
    </w:lvl>
  </w:abstractNum>
  <w:abstractNum w:abstractNumId="336">
    <w:nsid w:val="24D48BDB"/>
    <w:multiLevelType w:val="hybridMultilevel"/>
    <w:lvl w:ilvl="0">
      <w:lvlJc w:val="left"/>
      <w:lvlText w:val="%1."/>
      <w:numFmt w:val="decimal"/>
      <w:start w:val="8"/>
    </w:lvl>
  </w:abstractNum>
  <w:abstractNum w:abstractNumId="337">
    <w:nsid w:val="542DA5B5"/>
    <w:multiLevelType w:val="hybridMultilevel"/>
    <w:lvl w:ilvl="0">
      <w:lvlJc w:val="left"/>
      <w:lvlText w:val="%1."/>
      <w:numFmt w:val="decimal"/>
      <w:start w:val="1"/>
    </w:lvl>
  </w:abstractNum>
  <w:abstractNum w:abstractNumId="338">
    <w:nsid w:val="793753D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39">
    <w:nsid w:val="1C67CB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40">
    <w:nsid w:val="40E2945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1">
    <w:nsid w:val="63A4AAB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42">
    <w:nsid w:val="77DA4A57"/>
    <w:multiLevelType w:val="hybridMultilevel"/>
    <w:lvl w:ilvl="0">
      <w:lvlJc w:val="left"/>
      <w:lvlText w:val="(%1)"/>
      <w:numFmt w:val="lowerLetter"/>
      <w:start w:val="3"/>
    </w:lvl>
  </w:abstractNum>
  <w:abstractNum w:abstractNumId="343">
    <w:nsid w:val="1230F10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44">
    <w:nsid w:val="25B57ED4"/>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2"/>
    </w:lvl>
  </w:abstractNum>
  <w:abstractNum w:abstractNumId="345">
    <w:nsid w:val="47CF16C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46">
    <w:nsid w:val="527FA04C"/>
    <w:multiLevelType w:val="hybridMultilevel"/>
    <w:lvl w:ilvl="0">
      <w:lvlJc w:val="left"/>
      <w:lvlText w:val="(%1)"/>
      <w:numFmt w:val="lowerLetter"/>
      <w:start w:val="2"/>
    </w:lvl>
  </w:abstractNum>
  <w:abstractNum w:abstractNumId="347">
    <w:nsid w:val="6FCC0624"/>
    <w:multiLevelType w:val="hybridMultilevel"/>
    <w:lvl w:ilvl="0">
      <w:lvlJc w:val="left"/>
      <w:lvlText w:val="(%1)"/>
      <w:numFmt w:val="lowerLetter"/>
      <w:start w:val="9"/>
    </w:lvl>
  </w:abstractNum>
  <w:abstractNum w:abstractNumId="348">
    <w:nsid w:val="1DCDF795"/>
    <w:multiLevelType w:val="hybridMultilevel"/>
    <w:lvl w:ilvl="0">
      <w:lvlJc w:val="left"/>
      <w:lvlText w:val="%1"/>
      <w:numFmt w:val="decimal"/>
      <w:start w:val="1"/>
    </w:lvl>
    <w:lvl w:ilvl="1">
      <w:lvlJc w:val="left"/>
      <w:lvlText w:val="(%2)"/>
      <w:numFmt w:val="lowerLetter"/>
      <w:start w:val="18"/>
    </w:lvl>
  </w:abstractNum>
  <w:abstractNum w:abstractNumId="349">
    <w:nsid w:val="564580C8"/>
    <w:multiLevelType w:val="hybridMultilevel"/>
    <w:lvl w:ilvl="0">
      <w:lvlJc w:val="left"/>
      <w:lvlText w:val="%1."/>
      <w:numFmt w:val="decimal"/>
      <w:start w:val="7"/>
    </w:lvl>
    <w:lvl w:ilvl="1">
      <w:lvlJc w:val="left"/>
      <w:lvlText w:val="(%2)"/>
      <w:numFmt w:val="lowerLetter"/>
      <w:start w:val="1"/>
    </w:lvl>
  </w:abstractNum>
  <w:abstractNum w:abstractNumId="350">
    <w:nsid w:val="508ED897"/>
    <w:multiLevelType w:val="hybridMultilevel"/>
    <w:lvl w:ilvl="0">
      <w:lvlJc w:val="left"/>
      <w:lvlText w:val="(%1)"/>
      <w:numFmt w:val="lowerLetter"/>
      <w:start w:val="3"/>
    </w:lvl>
  </w:abstractNum>
  <w:abstractNum w:abstractNumId="351">
    <w:nsid w:val="6A9126B5"/>
    <w:multiLevelType w:val="hybridMultilevel"/>
    <w:lvl w:ilvl="0">
      <w:lvlJc w:val="left"/>
      <w:lvlText w:val="%1"/>
      <w:numFmt w:val="decimal"/>
      <w:start w:val="1"/>
    </w:lvl>
    <w:lvl w:ilvl="1">
      <w:lvlJc w:val="left"/>
      <w:lvlText w:val="(%2)"/>
      <w:numFmt w:val="lowerLetter"/>
      <w:start w:val="6"/>
    </w:lvl>
  </w:abstractNum>
  <w:abstractNum w:abstractNumId="352">
    <w:nsid w:val="68104812"/>
    <w:multiLevelType w:val="hybridMultilevel"/>
    <w:lvl w:ilvl="0">
      <w:lvlJc w:val="left"/>
      <w:lvlText w:val="%1."/>
      <w:numFmt w:val="decimal"/>
      <w:start w:val="8"/>
    </w:lvl>
    <w:lvl w:ilvl="1">
      <w:lvlJc w:val="left"/>
      <w:lvlText w:val="%2"/>
      <w:numFmt w:val="lowerLetter"/>
      <w:start w:val="1"/>
    </w:lvl>
  </w:abstractNum>
  <w:abstractNum w:abstractNumId="353">
    <w:nsid w:val="62FB8680"/>
    <w:multiLevelType w:val="hybridMultilevel"/>
    <w:lvl w:ilvl="0">
      <w:lvlJc w:val="left"/>
      <w:lvlText w:val="%1."/>
      <w:numFmt w:val="decimal"/>
      <w:start w:val="10"/>
    </w:lvl>
    <w:lvl w:ilvl="1">
      <w:lvlJc w:val="left"/>
      <w:lvlText w:val="(%2)"/>
      <w:numFmt w:val="lowerLetter"/>
      <w:start w:val="1"/>
    </w:lvl>
  </w:abstractNum>
  <w:abstractNum w:abstractNumId="354">
    <w:nsid w:val="3A45530"/>
    <w:multiLevelType w:val="hybridMultilevel"/>
    <w:lvl w:ilvl="0">
      <w:lvlJc w:val="left"/>
      <w:lvlText w:val="(%1)"/>
      <w:numFmt w:val="lowerLetter"/>
      <w:start w:val="8"/>
    </w:lvl>
  </w:abstractNum>
  <w:abstractNum w:abstractNumId="355">
    <w:nsid w:val="4B9275D2"/>
    <w:multiLevelType w:val="hybridMultilevel"/>
    <w:lvl w:ilvl="0">
      <w:lvlJc w:val="left"/>
      <w:lvlText w:val="(%1)"/>
      <w:numFmt w:val="lowerLetter"/>
      <w:start w:val="13"/>
    </w:lvl>
  </w:abstractNum>
  <w:abstractNum w:abstractNumId="356">
    <w:nsid w:val="4F0CEEDB"/>
    <w:multiLevelType w:val="hybridMultilevel"/>
    <w:lvl w:ilvl="0">
      <w:lvlJc w:val="left"/>
      <w:lvlText w:val="%1."/>
      <w:numFmt w:val="decimal"/>
      <w:start w:val="11"/>
    </w:lvl>
  </w:abstractNum>
  <w:abstractNum w:abstractNumId="357">
    <w:nsid w:val="61C30361"/>
    <w:multiLevelType w:val="hybridMultilevel"/>
    <w:lvl w:ilvl="0">
      <w:lvlJc w:val="left"/>
      <w:lvlText w:val="%1."/>
      <w:numFmt w:val="upperLetter"/>
      <w:start w:val="1"/>
    </w:lvl>
    <w:lvl w:ilvl="1">
      <w:lvlJc w:val="left"/>
      <w:lvlText w:val="☐"/>
      <w:numFmt w:val="bullet"/>
      <w:start w:val="1"/>
    </w:lvl>
  </w:abstractNum>
  <w:abstractNum w:abstractNumId="358">
    <w:nsid w:val="632099E0"/>
    <w:multiLevelType w:val="hybridMultilevel"/>
    <w:lvl w:ilvl="0">
      <w:lvlJc w:val="left"/>
      <w:lvlText w:val="%1."/>
      <w:numFmt w:val="decimal"/>
      <w:start w:val="1"/>
    </w:lvl>
  </w:abstractNum>
  <w:abstractNum w:abstractNumId="359">
    <w:nsid w:val="24639756"/>
    <w:multiLevelType w:val="hybridMultilevel"/>
    <w:lvl w:ilvl="0">
      <w:lvlJc w:val="left"/>
      <w:lvlText w:val="%1."/>
      <w:numFmt w:val="upperLetter"/>
      <w:start w:val="2"/>
    </w:lvl>
    <w:lvl w:ilvl="1">
      <w:lvlJc w:val="left"/>
      <w:lvlText w:val="☐"/>
      <w:numFmt w:val="bullet"/>
      <w:start w:val="1"/>
    </w:lvl>
  </w:abstractNum>
  <w:abstractNum w:abstractNumId="360">
    <w:nsid w:val="9D30DFD"/>
    <w:multiLevelType w:val="hybridMultilevel"/>
    <w:lvl w:ilvl="0">
      <w:lvlJc w:val="left"/>
      <w:lvlText w:val="%1."/>
      <w:numFmt w:val="decimal"/>
      <w:start w:val="1"/>
    </w:lvl>
  </w:abstractNum>
  <w:abstractNum w:abstractNumId="361">
    <w:nsid w:val="70A42016"/>
    <w:multiLevelType w:val="hybridMultilevel"/>
    <w:lvl w:ilvl="0">
      <w:lvlJc w:val="left"/>
      <w:lvlText w:val="☐"/>
      <w:numFmt w:val="bullet"/>
      <w:start w:val="1"/>
    </w:lvl>
  </w:abstractNum>
  <w:abstractNum w:abstractNumId="362">
    <w:nsid w:val="161BC243"/>
    <w:multiLevelType w:val="hybridMultilevel"/>
    <w:lvl w:ilvl="0">
      <w:lvlJc w:val="left"/>
      <w:lvlText w:val="%1"/>
      <w:numFmt w:val="lowerLetter"/>
      <w:start w:val="1"/>
    </w:lvl>
    <w:lvl w:ilvl="1">
      <w:lvlJc w:val="left"/>
      <w:lvlText w:val="%2."/>
      <w:numFmt w:val="decimal"/>
      <w:start w:val="1"/>
    </w:lvl>
  </w:abstractNum>
  <w:abstractNum w:abstractNumId="363">
    <w:nsid w:val="16E908C8"/>
    <w:multiLevelType w:val="hybridMultilevel"/>
    <w:lvl w:ilvl="0">
      <w:lvlJc w:val="left"/>
      <w:lvlText w:val="(%1)"/>
      <w:numFmt w:val="lowerLetter"/>
      <w:start w:val="2"/>
    </w:lvl>
    <w:lvl w:ilvl="1">
      <w:lvlJc w:val="left"/>
      <w:lvlText w:val="%2."/>
      <w:numFmt w:val="decimal"/>
      <w:start w:val="3"/>
    </w:lvl>
  </w:abstractNum>
  <w:abstractNum w:abstractNumId="364">
    <w:nsid w:val="2E0D7671"/>
    <w:multiLevelType w:val="hybridMultilevel"/>
    <w:lvl w:ilvl="0">
      <w:lvlJc w:val="left"/>
      <w:lvlText w:val="%1."/>
      <w:numFmt w:val="decimal"/>
      <w:start w:val="4"/>
    </w:lvl>
    <w:lvl w:ilvl="1">
      <w:lvlJc w:val="left"/>
      <w:lvlText w:val="(%2)"/>
      <w:numFmt w:val="lowerLetter"/>
      <w:start w:val="1"/>
    </w:lvl>
  </w:abstractNum>
  <w:abstractNum w:abstractNumId="365">
    <w:nsid w:val="38B59EFF"/>
    <w:multiLevelType w:val="hybridMultilevel"/>
    <w:lvl w:ilvl="0">
      <w:lvlJc w:val="left"/>
      <w:lvlText w:val="(%1)"/>
      <w:numFmt w:val="lowerLetter"/>
      <w:start w:val="3"/>
    </w:lvl>
  </w:abstractNum>
  <w:abstractNum w:abstractNumId="366">
    <w:nsid w:val="307995CA"/>
    <w:multiLevelType w:val="hybridMultilevel"/>
    <w:lvl w:ilvl="0">
      <w:lvlJc w:val="left"/>
      <w:lvlText w:val="(%1)"/>
      <w:numFmt w:val="lowerLetter"/>
      <w:start w:val="8"/>
    </w:lvl>
  </w:abstractNum>
  <w:abstractNum w:abstractNumId="367">
    <w:nsid w:val="52E2024D"/>
    <w:multiLevelType w:val="hybridMultilevel"/>
    <w:lvl w:ilvl="0">
      <w:lvlJc w:val="left"/>
      <w:lvlText w:val="%1."/>
      <w:numFmt w:val="decimal"/>
      <w:start w:val="1"/>
    </w:lvl>
  </w:abstractNum>
  <w:abstractNum w:abstractNumId="368">
    <w:nsid w:val="CE344B5"/>
    <w:multiLevelType w:val="hybridMultilevel"/>
    <w:lvl w:ilvl="0">
      <w:lvlJc w:val="left"/>
      <w:lvlText w:val="%1."/>
      <w:numFmt w:val="decimal"/>
      <w:start w:val="3"/>
    </w:lvl>
  </w:abstractNum>
  <w:abstractNum w:abstractNumId="369">
    <w:nsid w:val="29B0E9A8"/>
    <w:multiLevelType w:val="hybridMultilevel"/>
    <w:lvl w:ilvl="0">
      <w:lvlJc w:val="left"/>
      <w:lvlText w:val="%1."/>
      <w:numFmt w:val="decimal"/>
      <w:start w:val="10"/>
    </w:lvl>
  </w:abstractNum>
  <w:abstractNum w:abstractNumId="370">
    <w:nsid w:val="6F49CD8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1">
    <w:nsid w:val="4DC5D90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72">
    <w:nsid w:val="D55945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73">
    <w:nsid w:val="672417E1"/>
    <w:multiLevelType w:val="hybridMultilevel"/>
    <w:lvl w:ilvl="0">
      <w:lvlJc w:val="left"/>
      <w:lvlText w:val="%1"/>
      <w:numFmt w:val="decimal"/>
      <w:start w:val="1"/>
    </w:lvl>
    <w:lvl w:ilvl="1">
      <w:lvlJc w:val="left"/>
      <w:lvlText w:val="(%2)"/>
      <w:numFmt w:val="lowerLetter"/>
      <w:start w:val="2"/>
    </w:lvl>
  </w:abstractNum>
  <w:abstractNum w:abstractNumId="374">
    <w:nsid w:val="5FF6CA09"/>
    <w:multiLevelType w:val="hybridMultilevel"/>
    <w:lvl w:ilvl="0">
      <w:lvlJc w:val="left"/>
      <w:lvlText w:val="%1."/>
      <w:numFmt w:val="decimal"/>
      <w:start w:val="6"/>
    </w:lvl>
    <w:lvl w:ilvl="1">
      <w:lvlJc w:val="left"/>
      <w:lvlText w:val="(%2)"/>
      <w:numFmt w:val="lowerLetter"/>
      <w:start w:val="1"/>
    </w:lvl>
  </w:abstractNum>
  <w:abstractNum w:abstractNumId="375">
    <w:nsid w:val="330B1333"/>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376">
    <w:nsid w:val="2EF32EA6"/>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77">
    <w:nsid w:val="32766A55"/>
    <w:multiLevelType w:val="hybridMultilevel"/>
    <w:lvl w:ilvl="0">
      <w:lvlJc w:val="left"/>
      <w:lvlText w:val="%1."/>
      <w:numFmt w:val="decimal"/>
      <w:start w:val="10"/>
    </w:lvl>
    <w:lvl w:ilvl="1">
      <w:lvlJc w:val="left"/>
      <w:lvlText w:val="(%2)"/>
      <w:numFmt w:val="lowerLetter"/>
      <w:start w:val="1"/>
    </w:lvl>
  </w:abstractNum>
  <w:abstractNum w:abstractNumId="378">
    <w:nsid w:val="22D71957"/>
    <w:multiLevelType w:val="hybridMultilevel"/>
    <w:lvl w:ilvl="0">
      <w:lvlJc w:val="left"/>
      <w:lvlText w:val="(%1)"/>
      <w:numFmt w:val="lowerRoman"/>
      <w:start w:val="4"/>
    </w:lvl>
  </w:abstractNum>
  <w:abstractNum w:abstractNumId="379">
    <w:nsid w:val="4CC1263B"/>
    <w:multiLevelType w:val="hybridMultilevel"/>
    <w:lvl w:ilvl="0">
      <w:lvlJc w:val="left"/>
      <w:lvlText w:val="(%1)"/>
      <w:numFmt w:val="lowerRoman"/>
      <w:start w:val="1"/>
    </w:lvl>
  </w:abstractNum>
  <w:abstractNum w:abstractNumId="380">
    <w:nsid w:val="8BBEB1D"/>
    <w:multiLevelType w:val="hybridMultilevel"/>
    <w:lvl w:ilvl="0">
      <w:lvlJc w:val="left"/>
      <w:lvlText w:val="1"/>
      <w:numFmt w:val="bullet"/>
      <w:start w:val="1"/>
    </w:lvl>
  </w:abstractNum>
  <w:abstractNum w:abstractNumId="381">
    <w:nsid w:val="7365F1EE"/>
    <w:multiLevelType w:val="hybridMultilevel"/>
    <w:lvl w:ilvl="0">
      <w:lvlJc w:val="left"/>
      <w:lvlText w:val="(%1)"/>
      <w:numFmt w:val="lowerLetter"/>
      <w:start w:val="1"/>
    </w:lvl>
    <w:lvl w:ilvl="1">
      <w:lvlJc w:val="left"/>
      <w:lvlText w:val="(%2)"/>
      <w:numFmt w:val="lowerLetter"/>
      <w:start w:val="9"/>
    </w:lvl>
  </w:abstractNum>
  <w:abstractNum w:abstractNumId="382">
    <w:nsid w:val="37524CF0"/>
    <w:multiLevelType w:val="hybridMultilevel"/>
    <w:lvl w:ilvl="0">
      <w:lvlJc w:val="left"/>
      <w:lvlText w:val="2"/>
      <w:numFmt w:val="bullet"/>
      <w:start w:val="1"/>
    </w:lvl>
  </w:abstractNum>
  <w:abstractNum w:abstractNumId="383">
    <w:nsid w:val="70CC332F"/>
    <w:multiLevelType w:val="hybridMultilevel"/>
    <w:lvl w:ilvl="0">
      <w:lvlJc w:val="left"/>
      <w:lvlText w:val="%1"/>
      <w:numFmt w:val="lowerLetter"/>
      <w:start w:val="1"/>
    </w:lvl>
    <w:lvl w:ilvl="1">
      <w:lvlJc w:val="left"/>
      <w:lvlText w:val="(%2)"/>
      <w:numFmt w:val="lowerLetter"/>
      <w:start w:val="35"/>
    </w:lvl>
  </w:abstractNum>
  <w:abstractNum w:abstractNumId="384">
    <w:nsid w:val="5661786E"/>
    <w:multiLevelType w:val="hybridMultilevel"/>
    <w:lvl w:ilvl="0">
      <w:lvlJc w:val="left"/>
      <w:lvlText w:val="(%1)"/>
      <w:numFmt w:val="lowerLetter"/>
      <w:start w:val="2"/>
    </w:lvl>
    <w:lvl w:ilvl="1">
      <w:lvlJc w:val="left"/>
      <w:lvlText w:val="%2"/>
      <w:numFmt w:val="lowerLetter"/>
      <w:start w:val="1"/>
    </w:lvl>
  </w:abstractNum>
  <w:abstractNum w:abstractNumId="385">
    <w:nsid w:val="3AF6A220"/>
    <w:multiLevelType w:val="hybridMultilevel"/>
    <w:lvl w:ilvl="0">
      <w:lvlJc w:val="left"/>
      <w:lvlText w:val="(%1)"/>
      <w:numFmt w:val="lowerLetter"/>
      <w:start w:val="35"/>
    </w:lvl>
  </w:abstractNum>
  <w:abstractNum w:abstractNumId="386">
    <w:nsid w:val="3C5EA902"/>
    <w:multiLevelType w:val="hybridMultilevel"/>
    <w:lvl w:ilvl="0">
      <w:lvlJc w:val="left"/>
      <w:lvlText w:val="(%1)"/>
      <w:numFmt w:val="lowerLetter"/>
      <w:start w:val="25"/>
    </w:lvl>
  </w:abstractNum>
  <w:abstractNum w:abstractNumId="387">
    <w:nsid w:val="256E6749"/>
    <w:multiLevelType w:val="hybridMultilevel"/>
    <w:lvl w:ilvl="0">
      <w:lvlJc w:val="left"/>
      <w:lvlText w:val="(%1)"/>
      <w:numFmt w:val="lowerLetter"/>
      <w:start w:val="1"/>
    </w:lvl>
  </w:abstractNum>
  <w:abstractNum w:abstractNumId="388">
    <w:nsid w:val="1CB9A581"/>
    <w:multiLevelType w:val="hybridMultilevel"/>
    <w:lvl w:ilvl="0">
      <w:lvlJc w:val="left"/>
      <w:lvlText w:val="(%1)"/>
      <w:numFmt w:val="decimal"/>
      <w:start w:val="90"/>
    </w:lvl>
  </w:abstractNum>
  <w:abstractNum w:abstractNumId="389">
    <w:nsid w:val="1F7F42E2"/>
    <w:multiLevelType w:val="hybridMultilevel"/>
    <w:lvl w:ilvl="0">
      <w:lvlJc w:val="left"/>
      <w:lvlText w:val="(%1)"/>
      <w:numFmt w:val="upperLetter"/>
      <w:start w:val="2"/>
    </w:lvl>
  </w:abstractNum>
  <w:abstractNum w:abstractNumId="390">
    <w:nsid w:val="49D1FEA0"/>
    <w:multiLevelType w:val="hybridMultilevel"/>
    <w:lvl w:ilvl="0">
      <w:lvlJc w:val="left"/>
      <w:lvlText w:val="(%1)"/>
      <w:numFmt w:val="upperLetter"/>
      <w:start w:val="2"/>
    </w:lvl>
  </w:abstractNum>
  <w:abstractNum w:abstractNumId="391">
    <w:nsid w:val="268CB37F"/>
    <w:multiLevelType w:val="hybridMultilevel"/>
    <w:lvl w:ilvl="0">
      <w:lvlJc w:val="left"/>
      <w:lvlText w:val="%1."/>
      <w:numFmt w:val="decimal"/>
      <w:start w:val="1"/>
    </w:lvl>
  </w:abstractNum>
  <w:abstractNum w:abstractNumId="392">
    <w:nsid w:val="102362F8"/>
    <w:multiLevelType w:val="hybridMultilevel"/>
    <w:lvl w:ilvl="0">
      <w:lvlJc w:val="left"/>
      <w:lvlText w:val="(%1)"/>
      <w:numFmt w:val="lowerLetter"/>
      <w:start w:val="1"/>
    </w:lvl>
  </w:abstractNum>
  <w:abstractNum w:abstractNumId="393">
    <w:nsid w:val="5FEDC0E3"/>
    <w:multiLevelType w:val="hybridMultilevel"/>
    <w:lvl w:ilvl="0">
      <w:lvlJc w:val="left"/>
      <w:lvlText w:val="%1"/>
      <w:numFmt w:val="upperLetter"/>
      <w:start w:val="1"/>
    </w:lvl>
    <w:lvl w:ilvl="1">
      <w:lvlJc w:val="left"/>
      <w:lvlText w:val="(%2)"/>
      <w:numFmt w:val="lowerLetter"/>
      <w:start w:val="2"/>
    </w:lvl>
  </w:abstractNum>
  <w:abstractNum w:abstractNumId="394">
    <w:nsid w:val="3D75BC47"/>
    <w:multiLevelType w:val="hybridMultilevel"/>
    <w:lvl w:ilvl="0">
      <w:lvlJc w:val="left"/>
      <w:lvlText w:val="%1."/>
      <w:numFmt w:val="upperLetter"/>
      <w:start w:val="2"/>
    </w:lvl>
    <w:lvl w:ilvl="1">
      <w:lvlJc w:val="left"/>
      <w:lvlText w:val="%2"/>
      <w:numFmt w:val="lowerLetter"/>
      <w:start w:val="1"/>
    </w:lvl>
  </w:abstractNum>
  <w:abstractNum w:abstractNumId="395">
    <w:nsid w:val="3E30D969"/>
    <w:multiLevelType w:val="hybridMultilevel"/>
    <w:lvl w:ilvl="0">
      <w:lvlJc w:val="left"/>
      <w:lvlText w:val="%1."/>
      <w:numFmt w:val="decimal"/>
      <w:start w:val="1"/>
    </w:lvl>
  </w:abstractNum>
  <w:abstractNum w:abstractNumId="396">
    <w:nsid w:val="18A35FE3"/>
    <w:multiLevelType w:val="hybridMultilevel"/>
    <w:lvl w:ilvl="0">
      <w:lvlJc w:val="left"/>
      <w:lvlText w:val="%1."/>
      <w:numFmt w:val="decimal"/>
      <w:start w:val="1"/>
    </w:lvl>
  </w:abstractNum>
  <w:abstractNum w:abstractNumId="397">
    <w:nsid w:val="6DEF5211"/>
    <w:multiLevelType w:val="hybridMultilevel"/>
    <w:lvl w:ilvl="0">
      <w:lvlJc w:val="left"/>
      <w:lvlText w:val="%1"/>
      <w:numFmt w:val="lowerRoman"/>
      <w:start w:val="1"/>
    </w:lvl>
    <w:lvl w:ilvl="1">
      <w:lvlJc w:val="left"/>
      <w:lvlText w:val="%2."/>
      <w:numFmt w:val="decimal"/>
      <w:start w:val="4"/>
    </w:lvl>
  </w:abstractNum>
  <w:abstractNum w:abstractNumId="398">
    <w:nsid w:val="1112DBB6"/>
    <w:multiLevelType w:val="hybridMultilevel"/>
    <w:lvl w:ilvl="0">
      <w:lvlJc w:val="left"/>
      <w:lvlText w:val="(%1)"/>
      <w:numFmt w:val="lowerRoman"/>
      <w:start w:val="2"/>
    </w:lvl>
    <w:lvl w:ilvl="1">
      <w:lvlJc w:val="left"/>
      <w:lvlText w:val="%2"/>
      <w:numFmt w:val="decimal"/>
      <w:start w:val="1"/>
    </w:lvl>
  </w:abstractNum>
  <w:abstractNum w:abstractNumId="399">
    <w:nsid w:val="2586A498"/>
    <w:multiLevelType w:val="hybridMultilevel"/>
    <w:lvl w:ilvl="0">
      <w:lvlJc w:val="left"/>
      <w:lvlText w:val="%1"/>
      <w:numFmt w:val="lowerLetter"/>
      <w:start w:val="1"/>
    </w:lvl>
    <w:lvl w:ilvl="1">
      <w:lvlJc w:val="left"/>
      <w:lvlText w:val="%2."/>
      <w:numFmt w:val="decimal"/>
      <w:start w:val="1"/>
    </w:lvl>
  </w:abstractNum>
  <w:abstractNum w:abstractNumId="400">
    <w:nsid w:val="17A03BB9"/>
    <w:multiLevelType w:val="hybridMultilevel"/>
    <w:lvl w:ilvl="0">
      <w:lvlJc w:val="left"/>
      <w:lvlText w:val="(%1)"/>
      <w:numFmt w:val="lowerLetter"/>
      <w:start w:val="2"/>
    </w:lvl>
    <w:lvl w:ilvl="1">
      <w:lvlJc w:val="left"/>
      <w:lvlText w:val="%2."/>
      <w:numFmt w:val="decimal"/>
      <w:start w:val="2"/>
    </w:lvl>
  </w:abstractNum>
  <w:abstractNum w:abstractNumId="401">
    <w:nsid w:val="5CA941"/>
    <w:multiLevelType w:val="hybridMultilevel"/>
    <w:lvl w:ilvl="0">
      <w:lvlJc w:val="left"/>
      <w:lvlText w:val="%1."/>
      <w:numFmt w:val="decimal"/>
      <w:start w:val="1"/>
    </w:lvl>
  </w:abstractNum>
  <w:abstractNum w:abstractNumId="402">
    <w:nsid w:val="734C7D9F"/>
    <w:multiLevelType w:val="hybridMultilevel"/>
    <w:lvl w:ilvl="0">
      <w:lvlJc w:val="left"/>
      <w:lvlText w:val="%1."/>
      <w:numFmt w:val="decimal"/>
      <w:start w:val="1"/>
    </w:lvl>
  </w:abstractNum>
  <w:abstractNum w:abstractNumId="403">
    <w:nsid w:val="24F5D018"/>
    <w:multiLevelType w:val="hybridMultilevel"/>
    <w:lvl w:ilvl="0">
      <w:lvlJc w:val="left"/>
      <w:lvlText w:val="(%1)"/>
      <w:numFmt w:val="lowerLetter"/>
      <w:start w:val="1"/>
    </w:lvl>
  </w:abstractNum>
  <w:abstractNum w:abstractNumId="404">
    <w:nsid w:val="6780C122"/>
    <w:multiLevelType w:val="hybridMultilevel"/>
    <w:lvl w:ilvl="0">
      <w:lvlJc w:val="left"/>
      <w:lvlText w:val="(%1)"/>
      <w:numFmt w:val="decimal"/>
      <w:start w:val="1"/>
    </w:lvl>
  </w:abstractNum>
  <w:abstractNum w:abstractNumId="405">
    <w:nsid w:val="534347A8"/>
    <w:multiLevelType w:val="hybridMultilevel"/>
    <w:lvl w:ilvl="0">
      <w:lvlJc w:val="left"/>
      <w:lvlText w:val="(%1)"/>
      <w:numFmt w:val="upperLetter"/>
      <w:start w:val="1"/>
    </w:lvl>
  </w:abstractNum>
  <w:abstractNum w:abstractNumId="406">
    <w:nsid w:val="5800E34B"/>
    <w:multiLevelType w:val="hybridMultilevel"/>
    <w:lvl w:ilvl="0">
      <w:lvlJc w:val="left"/>
      <w:lvlText w:val="(%1)"/>
      <w:numFmt w:val="upperLetter"/>
      <w:start w:val="4"/>
    </w:lvl>
  </w:abstractNum>
  <w:abstractNum w:abstractNumId="407">
    <w:nsid w:val="1673EFC8"/>
    <w:multiLevelType w:val="hybridMultilevel"/>
    <w:lvl w:ilvl="0">
      <w:lvlJc w:val="left"/>
      <w:lvlText w:val="(%1)"/>
      <w:numFmt w:val="decimal"/>
      <w:start w:val="3"/>
    </w:lvl>
  </w:abstractNum>
  <w:abstractNum w:abstractNumId="408">
    <w:nsid w:val="5B9B1FD"/>
    <w:multiLevelType w:val="hybridMultilevel"/>
    <w:lvl w:ilvl="0">
      <w:lvlJc w:val="left"/>
      <w:lvlText w:val="(%1)"/>
      <w:numFmt w:val="lowerLetter"/>
      <w:start w:val="2"/>
    </w:lvl>
  </w:abstractNum>
  <w:abstractNum w:abstractNumId="409">
    <w:nsid w:val="7AD7FCA2"/>
    <w:multiLevelType w:val="hybridMultilevel"/>
    <w:lvl w:ilvl="0">
      <w:lvlJc w:val="left"/>
      <w:lvlText w:val="(%1)"/>
      <w:numFmt w:val="decimal"/>
      <w:start w:val="1"/>
    </w:lvl>
  </w:abstractNum>
  <w:abstractNum w:abstractNumId="410">
    <w:nsid w:val="63351604"/>
    <w:multiLevelType w:val="hybridMultilevel"/>
    <w:lvl w:ilvl="0">
      <w:lvlJc w:val="left"/>
      <w:lvlText w:val="(%1)"/>
      <w:numFmt w:val="lowerLetter"/>
      <w:start w:val="9"/>
    </w:lvl>
    <w:lvl w:ilvl="1">
      <w:lvlJc w:val="left"/>
      <w:lvlText w:val="(%2)"/>
      <w:numFmt w:val="lowerLetter"/>
      <w:start w:val="3"/>
    </w:lvl>
  </w:abstractNum>
  <w:abstractNum w:abstractNumId="411">
    <w:nsid w:val="E759D1A"/>
    <w:multiLevelType w:val="hybridMultilevel"/>
    <w:lvl w:ilvl="0">
      <w:lvlJc w:val="left"/>
      <w:lvlText w:val="(%1)"/>
      <w:numFmt w:val="lowerLetter"/>
      <w:start w:val="1"/>
    </w:lvl>
  </w:abstractNum>
  <w:abstractNum w:abstractNumId="412">
    <w:nsid w:val="6E3DEE90"/>
    <w:multiLevelType w:val="hybridMultilevel"/>
    <w:lvl w:ilvl="0">
      <w:lvlJc w:val="left"/>
      <w:lvlText w:val="(%1)"/>
      <w:numFmt w:val="lowerLetter"/>
      <w:start w:val="1"/>
    </w:lvl>
  </w:abstractNum>
  <w:abstractNum w:abstractNumId="413">
    <w:nsid w:val="1A8762F4"/>
    <w:multiLevelType w:val="hybridMultilevel"/>
    <w:lvl w:ilvl="0">
      <w:lvlJc w:val="left"/>
      <w:lvlText w:val="(%1)"/>
      <w:numFmt w:val="lowerLetter"/>
      <w:start w:val="1"/>
    </w:lvl>
  </w:abstractNum>
  <w:abstractNum w:abstractNumId="414">
    <w:nsid w:val="7F41D049"/>
    <w:multiLevelType w:val="hybridMultilevel"/>
    <w:lvl w:ilvl="0">
      <w:lvlJc w:val="left"/>
      <w:lvlText w:val="(%1)"/>
      <w:numFmt w:val="decimal"/>
      <w:start w:val="1"/>
    </w:lvl>
  </w:abstractNum>
  <w:abstractNum w:abstractNumId="415">
    <w:nsid w:val="449F66FE"/>
    <w:multiLevelType w:val="hybridMultilevel"/>
    <w:lvl w:ilvl="0">
      <w:lvlJc w:val="left"/>
      <w:lvlText w:val="(%1)"/>
      <w:numFmt w:val="lowerLetter"/>
      <w:start w:val="1"/>
    </w:lvl>
  </w:abstractNum>
  <w:abstractNum w:abstractNumId="416">
    <w:nsid w:val="557E0515"/>
    <w:multiLevelType w:val="hybridMultilevel"/>
    <w:lvl w:ilvl="0">
      <w:lvlJc w:val="left"/>
      <w:lvlText w:val="(%1)"/>
      <w:numFmt w:val="lowerLetter"/>
      <w:start w:val="9"/>
    </w:lvl>
    <w:lvl w:ilvl="1">
      <w:lvlJc w:val="left"/>
      <w:lvlText w:val="(%2)"/>
      <w:numFmt w:val="lowerLetter"/>
      <w:start w:val="2"/>
    </w:lvl>
  </w:abstractNum>
  <w:abstractNum w:abstractNumId="417">
    <w:nsid w:val="3BA0794B"/>
    <w:multiLevelType w:val="hybridMultilevel"/>
    <w:lvl w:ilvl="0">
      <w:lvlJc w:val="left"/>
      <w:lvlText w:val="(%1)"/>
      <w:numFmt w:val="lowerLetter"/>
      <w:start w:val="1"/>
    </w:lvl>
  </w:abstractNum>
  <w:abstractNum w:abstractNumId="418">
    <w:nsid w:val="6A0DCE48"/>
    <w:multiLevelType w:val="hybridMultilevel"/>
    <w:lvl w:ilvl="0">
      <w:lvlJc w:val="left"/>
      <w:lvlText w:val="(%1)"/>
      <w:numFmt w:val="lowerLetter"/>
      <w:start w:val="1"/>
    </w:lvl>
  </w:abstractNum>
  <w:abstractNum w:abstractNumId="419">
    <w:nsid w:val="7237AA96"/>
    <w:multiLevelType w:val="hybridMultilevel"/>
    <w:lvl w:ilvl="0">
      <w:lvlJc w:val="left"/>
      <w:lvlText w:val="(%1)"/>
      <w:numFmt w:val="lowerLetter"/>
      <w:start w:val="2"/>
    </w:lvl>
  </w:abstractNum>
  <w:abstractNum w:abstractNumId="420">
    <w:nsid w:val="5B1FBC2D"/>
    <w:multiLevelType w:val="hybridMultilevel"/>
    <w:lvl w:ilvl="0">
      <w:lvlJc w:val="left"/>
      <w:lvlText w:val="(%1)"/>
      <w:numFmt w:val="lowerLetter"/>
      <w:start w:val="1"/>
    </w:lvl>
  </w:abstractNum>
  <w:abstractNum w:abstractNumId="421">
    <w:nsid w:val="33DFCCE8"/>
    <w:multiLevelType w:val="hybridMultilevel"/>
    <w:lvl w:ilvl="0">
      <w:lvlJc w:val="left"/>
      <w:lvlText w:val="(%1)"/>
      <w:numFmt w:val="lowerLetter"/>
      <w:start w:val="1"/>
    </w:lvl>
    <w:lvl w:ilvl="1">
      <w:lvlJc w:val="left"/>
      <w:lvlText w:val="(%2)"/>
      <w:numFmt w:val="lowerRoman"/>
      <w:start w:val="1"/>
    </w:lvl>
  </w:abstractNum>
  <w:abstractNum w:abstractNumId="422">
    <w:nsid w:val="18C45E15"/>
    <w:multiLevelType w:val="hybridMultilevel"/>
    <w:lvl w:ilvl="0">
      <w:lvlJc w:val="left"/>
      <w:lvlText w:val="(%1)"/>
      <w:numFmt w:val="lowerLetter"/>
      <w:start w:val="3"/>
    </w:lvl>
  </w:abstractNum>
  <w:abstractNum w:abstractNumId="423">
    <w:nsid w:val="6B431F25"/>
    <w:multiLevelType w:val="hybridMultilevel"/>
    <w:lvl w:ilvl="0">
      <w:lvlJc w:val="left"/>
      <w:lvlText w:val="(%1)"/>
      <w:numFmt w:val="lowerLetter"/>
      <w:start w:val="1"/>
    </w:lvl>
  </w:abstractNum>
  <w:abstractNum w:abstractNumId="424">
    <w:nsid w:val="13CD8DCB"/>
    <w:multiLevelType w:val="hybridMultilevel"/>
    <w:lvl w:ilvl="0">
      <w:lvlJc w:val="left"/>
      <w:lvlText w:val="(%1)"/>
      <w:numFmt w:val="lowerLetter"/>
      <w:start w:val="3"/>
    </w:lvl>
  </w:abstractNum>
  <w:abstractNum w:abstractNumId="425">
    <w:nsid w:val="563A1A5C"/>
    <w:multiLevelType w:val="hybridMultilevel"/>
    <w:lvl w:ilvl="0">
      <w:lvlJc w:val="left"/>
      <w:lvlText w:val="(%1)"/>
      <w:numFmt w:val="lowerLetter"/>
      <w:start w:val="1"/>
    </w:lvl>
  </w:abstractNum>
  <w:abstractNum w:abstractNumId="426">
    <w:nsid w:val="2973F88F"/>
    <w:multiLevelType w:val="hybridMultilevel"/>
    <w:lvl w:ilvl="0">
      <w:lvlJc w:val="left"/>
      <w:lvlText w:val="(%1)"/>
      <w:numFmt w:val="lowerLetter"/>
      <w:start w:val="2"/>
    </w:lvl>
  </w:abstractNum>
  <w:abstractNum w:abstractNumId="427">
    <w:nsid w:val="2C70EDAE"/>
    <w:multiLevelType w:val="hybridMultilevel"/>
    <w:lvl w:ilvl="0">
      <w:lvlJc w:val="left"/>
      <w:lvlText w:val="(%1)"/>
      <w:numFmt w:val="lowerLetter"/>
      <w:start w:val="3"/>
    </w:lvl>
    <w:lvl w:ilvl="1">
      <w:lvlJc w:val="left"/>
      <w:lvlText w:val="(%2)"/>
      <w:numFmt w:val="lowerRoman"/>
      <w:start w:val="1"/>
    </w:lvl>
  </w:abstractNum>
  <w:abstractNum w:abstractNumId="428">
    <w:nsid w:val="44296C6D"/>
    <w:multiLevelType w:val="hybridMultilevel"/>
    <w:lvl w:ilvl="0">
      <w:lvlJc w:val="left"/>
      <w:lvlText w:val="(%1)"/>
      <w:numFmt w:val="lowerLetter"/>
      <w:start w:val="6"/>
    </w:lvl>
  </w:abstractNum>
  <w:abstractNum w:abstractNumId="429">
    <w:nsid w:val="3A86D445"/>
    <w:multiLevelType w:val="hybridMultilevel"/>
    <w:lvl w:ilvl="0">
      <w:lvlJc w:val="left"/>
      <w:lvlText w:val="(%1)"/>
      <w:numFmt w:val="lowerLetter"/>
      <w:start w:val="1"/>
    </w:lvl>
  </w:abstractNum>
  <w:abstractNum w:abstractNumId="430">
    <w:nsid w:val="51F79246"/>
    <w:multiLevelType w:val="hybridMultilevel"/>
    <w:lvl w:ilvl="0">
      <w:lvlJc w:val="left"/>
      <w:lvlText w:val="%1"/>
      <w:numFmt w:val="lowerLetter"/>
      <w:start w:val="1"/>
    </w:lvl>
    <w:lvl w:ilvl="1">
      <w:lvlJc w:val="left"/>
      <w:lvlText w:val="(%2)"/>
      <w:numFmt w:val="lowerLetter"/>
      <w:start w:val="1"/>
    </w:lvl>
  </w:abstractNum>
  <w:abstractNum w:abstractNumId="431">
    <w:nsid w:val="5BC9A827"/>
    <w:multiLevelType w:val="hybridMultilevel"/>
    <w:lvl w:ilvl="0">
      <w:lvlJc w:val="left"/>
      <w:lvlText w:val="(%1)"/>
      <w:numFmt w:val="lowerLetter"/>
      <w:start w:val="9"/>
    </w:lvl>
    <w:lvl w:ilvl="1">
      <w:lvlJc w:val="left"/>
      <w:lvlText w:val="(%2)"/>
      <w:numFmt w:val="lowerLetter"/>
      <w:start w:val="3"/>
    </w:lvl>
  </w:abstractNum>
  <w:abstractNum w:abstractNumId="432">
    <w:nsid w:val="3AE37D86"/>
    <w:multiLevelType w:val="hybridMultilevel"/>
    <w:lvl w:ilvl="0">
      <w:lvlJc w:val="left"/>
      <w:lvlText w:val="(%1)"/>
      <w:numFmt w:val="lowerLetter"/>
      <w:start w:val="1"/>
    </w:lvl>
  </w:abstractNum>
  <w:abstractNum w:abstractNumId="433">
    <w:nsid w:val="45440FE5"/>
    <w:multiLevelType w:val="hybridMultilevel"/>
    <w:lvl w:ilvl="0">
      <w:lvlJc w:val="left"/>
      <w:lvlText w:val="(%1)"/>
      <w:numFmt w:val="lowerLetter"/>
      <w:start w:val="1"/>
    </w:lvl>
  </w:abstractNum>
  <w:abstractNum w:abstractNumId="434">
    <w:nsid w:val="BF783F"/>
    <w:multiLevelType w:val="hybridMultilevel"/>
    <w:lvl w:ilvl="0">
      <w:lvlJc w:val="left"/>
      <w:lvlText w:val="(%1)"/>
      <w:numFmt w:val="lowerLetter"/>
      <w:start w:val="2"/>
    </w:lvl>
  </w:abstractNum>
  <w:abstractNum w:abstractNumId="435">
    <w:nsid w:val="22643EA9"/>
    <w:multiLevelType w:val="hybridMultilevel"/>
    <w:lvl w:ilvl="0">
      <w:lvlJc w:val="left"/>
      <w:lvlText w:val="(%1)"/>
      <w:numFmt w:val="lowerLetter"/>
      <w:start w:val="1"/>
    </w:lvl>
  </w:abstractNum>
  <w:abstractNum w:abstractNumId="436">
    <w:nsid w:val="1887578D"/>
    <w:multiLevelType w:val="hybridMultilevel"/>
    <w:lvl w:ilvl="0">
      <w:lvlJc w:val="left"/>
      <w:lvlText w:val="(%1)"/>
      <w:numFmt w:val="lowerLetter"/>
      <w:start w:val="1"/>
    </w:lvl>
  </w:abstractNum>
  <w:abstractNum w:abstractNumId="437">
    <w:nsid w:val="58C05B8A"/>
    <w:multiLevelType w:val="hybridMultilevel"/>
    <w:lvl w:ilvl="0">
      <w:lvlJc w:val="left"/>
      <w:lvlText w:val="(%1)"/>
      <w:numFmt w:val="lowerLetter"/>
      <w:start w:val="2"/>
    </w:lvl>
  </w:abstractNum>
  <w:abstractNum w:abstractNumId="438">
    <w:nsid w:val="38D82E71"/>
    <w:multiLevelType w:val="hybridMultilevel"/>
    <w:lvl w:ilvl="0">
      <w:lvlJc w:val="left"/>
      <w:lvlText w:val="(%1)"/>
      <w:numFmt w:val="lowerLetter"/>
      <w:start w:val="1"/>
    </w:lvl>
    <w:lvl w:ilvl="1">
      <w:lvlJc w:val="left"/>
      <w:lvlText w:val="(%2)"/>
      <w:numFmt w:val="lowerRoman"/>
      <w:start w:val="1"/>
    </w:lvl>
  </w:abstractNum>
  <w:abstractNum w:abstractNumId="439">
    <w:nsid w:val="1E41098A"/>
    <w:multiLevelType w:val="hybridMultilevel"/>
    <w:lvl w:ilvl="0">
      <w:lvlJc w:val="left"/>
      <w:lvlText w:val="(%1)"/>
      <w:numFmt w:val="lowerLetter"/>
      <w:start w:val="1"/>
    </w:lvl>
  </w:abstractNum>
  <w:abstractNum w:abstractNumId="440">
    <w:nsid w:val="5398582C"/>
    <w:multiLevelType w:val="hybridMultilevel"/>
    <w:lvl w:ilvl="0">
      <w:lvlJc w:val="left"/>
      <w:lvlText w:val="%1."/>
      <w:numFmt w:val="decimal"/>
      <w:start w:val="1"/>
    </w:lvl>
  </w:abstractNum>
  <w:abstractNum w:abstractNumId="441">
    <w:nsid w:val="1C0D4475"/>
    <w:multiLevelType w:val="hybridMultilevel"/>
    <w:lvl w:ilvl="0">
      <w:lvlJc w:val="left"/>
      <w:lvlText w:val="(%1)"/>
      <w:numFmt w:val="lowerLetter"/>
      <w:start w:val="1"/>
    </w:lvl>
  </w:abstractNum>
  <w:abstractNum w:abstractNumId="442">
    <w:nsid w:val="2CB6A6A4"/>
    <w:multiLevelType w:val="hybridMultilevel"/>
    <w:lvl w:ilvl="0">
      <w:lvlJc w:val="left"/>
      <w:lvlText w:val="(%1)"/>
      <w:numFmt w:val="lowerLetter"/>
      <w:start w:val="1"/>
    </w:lvl>
  </w:abstractNum>
  <w:abstractNum w:abstractNumId="443">
    <w:nsid w:val="41D646BC"/>
    <w:multiLevelType w:val="hybridMultilevel"/>
    <w:lvl w:ilvl="0">
      <w:lvlJc w:val="left"/>
      <w:lvlText w:val="(%1)"/>
      <w:numFmt w:val="lowerLetter"/>
      <w:start w:val="1"/>
    </w:lvl>
  </w:abstractNum>
  <w:abstractNum w:abstractNumId="444">
    <w:nsid w:val="3694A76A"/>
    <w:multiLevelType w:val="hybridMultilevel"/>
    <w:lvl w:ilvl="0">
      <w:lvlJc w:val="left"/>
      <w:lvlText w:val="%1"/>
      <w:numFmt w:val="decimal"/>
      <w:start w:val="10"/>
    </w:lvl>
  </w:abstractNum>
  <w:abstractNum w:abstractNumId="445">
    <w:nsid w:val="2BF876EE"/>
    <w:multiLevelType w:val="hybridMultilevel"/>
    <w:lvl w:ilvl="0">
      <w:lvlJc w:val="left"/>
      <w:lvlText w:val="(%1)"/>
      <w:numFmt w:val="lowerLetter"/>
      <w:start w:val="1"/>
    </w:lvl>
  </w:abstractNum>
  <w:abstractNum w:abstractNumId="446">
    <w:nsid w:val="675ADBA"/>
    <w:multiLevelType w:val="hybridMultilevel"/>
    <w:lvl w:ilvl="0">
      <w:lvlJc w:val="left"/>
      <w:lvlText w:val="(%1)"/>
      <w:numFmt w:val="lowerLetter"/>
      <w:start w:val="3"/>
    </w:lvl>
  </w:abstractNum>
  <w:abstractNum w:abstractNumId="447">
    <w:nsid w:val="C12AC7F"/>
    <w:multiLevelType w:val="hybridMultilevel"/>
    <w:lvl w:ilvl="0">
      <w:lvlJc w:val="left"/>
      <w:lvlText w:val="%1"/>
      <w:numFmt w:val="decimal"/>
      <w:start w:val="1"/>
    </w:lvl>
    <w:lvl w:ilvl="1">
      <w:lvlJc w:val="left"/>
      <w:lvlText w:val="%2."/>
      <w:numFmt w:val="decimal"/>
      <w:start w:val="1"/>
    </w:lvl>
  </w:abstractNum>
  <w:abstractNum w:abstractNumId="448">
    <w:nsid w:val="6798F039"/>
    <w:multiLevelType w:val="hybridMultilevel"/>
    <w:lvl w:ilvl="0">
      <w:lvlJc w:val="left"/>
      <w:lvlText w:val="%1."/>
      <w:numFmt w:val="decimal"/>
      <w:start w:val="2"/>
    </w:lvl>
    <w:lvl w:ilvl="1">
      <w:lvlJc w:val="left"/>
      <w:lvlText w:val="%2"/>
      <w:numFmt w:val="decimal"/>
      <w:start w:val="1"/>
    </w:lvl>
  </w:abstractNum>
  <w:abstractNum w:abstractNumId="449">
    <w:nsid w:val="70837C02"/>
    <w:multiLevelType w:val="hybridMultilevel"/>
    <w:lvl w:ilvl="0">
      <w:lvlJc w:val="left"/>
      <w:lvlText w:val="%1."/>
      <w:numFmt w:val="decimal"/>
      <w:start w:val="1"/>
    </w:lvl>
  </w:abstractNum>
  <w:abstractNum w:abstractNumId="450">
    <w:nsid w:val="7E4A5715"/>
    <w:multiLevelType w:val="hybridMultilevel"/>
    <w:lvl w:ilvl="0">
      <w:lvlJc w:val="left"/>
      <w:lvlText w:val="%1."/>
      <w:numFmt w:val="decimal"/>
      <w:start w:val="4"/>
    </w:lvl>
  </w:abstractNum>
  <w:abstractNum w:abstractNumId="451">
    <w:nsid w:val="42B8AC67"/>
    <w:multiLevelType w:val="hybridMultilevel"/>
    <w:lvl w:ilvl="0">
      <w:lvlJc w:val="left"/>
      <w:lvlText w:val="%1"/>
      <w:numFmt w:val="lowerLetter"/>
      <w:start w:val="1"/>
    </w:lvl>
    <w:lvl w:ilvl="1">
      <w:lvlJc w:val="left"/>
      <w:lvlText w:val="%2."/>
      <w:numFmt w:val="decimal"/>
      <w:start w:val="1"/>
    </w:lvl>
  </w:abstractNum>
  <w:abstractNum w:abstractNumId="452">
    <w:nsid w:val="246348EA"/>
    <w:multiLevelType w:val="hybridMultilevel"/>
    <w:lvl w:ilvl="0">
      <w:lvlJc w:val="left"/>
      <w:lvlText w:val="(%1)"/>
      <w:numFmt w:val="lowerLetter"/>
      <w:start w:val="2"/>
    </w:lvl>
    <w:lvl w:ilvl="1">
      <w:lvlJc w:val="left"/>
      <w:lvlText w:val="%2"/>
      <w:numFmt w:val="decimal"/>
      <w:start w:val="1"/>
    </w:lvl>
  </w:abstractNum>
  <w:abstractNum w:abstractNumId="453">
    <w:nsid w:val="170EB52B"/>
    <w:multiLevelType w:val="hybridMultilevel"/>
    <w:lvl w:ilvl="0">
      <w:lvlJc w:val="left"/>
      <w:lvlText w:val="%1."/>
      <w:numFmt w:val="decimal"/>
      <w:start w:val="2"/>
    </w:lvl>
  </w:abstractNum>
  <w:abstractNum w:abstractNumId="454">
    <w:nsid w:val="2DFBCB8C"/>
    <w:multiLevelType w:val="hybridMultilevel"/>
    <w:lvl w:ilvl="0">
      <w:lvlJc w:val="left"/>
      <w:lvlText w:val="%1."/>
      <w:numFmt w:val="decimal"/>
      <w:start w:val="1"/>
    </w:lvl>
  </w:abstractNum>
  <w:abstractNum w:abstractNumId="455">
    <w:nsid w:val="3830D6B6"/>
    <w:multiLevelType w:val="hybridMultilevel"/>
    <w:lvl w:ilvl="0">
      <w:lvlJc w:val="left"/>
      <w:lvlText w:val="%1."/>
      <w:numFmt w:val="decimal"/>
      <w:start w:val="1"/>
    </w:lvl>
  </w:abstractNum>
  <w:abstractNum w:abstractNumId="456">
    <w:nsid w:val="6D48CF87"/>
    <w:multiLevelType w:val="hybridMultilevel"/>
    <w:lvl w:ilvl="0">
      <w:lvlJc w:val="left"/>
      <w:lvlText w:val="(%1)"/>
      <w:numFmt w:val="lowerLetter"/>
      <w:start w:val="1"/>
    </w:lvl>
  </w:abstractNum>
  <w:abstractNum w:abstractNumId="457">
    <w:nsid w:val="576FC41B"/>
    <w:multiLevelType w:val="hybridMultilevel"/>
    <w:lvl w:ilvl="0">
      <w:lvlJc w:val="left"/>
      <w:lvlText w:val="%1"/>
      <w:numFmt w:val="lowerRoman"/>
      <w:start w:val="1"/>
    </w:lvl>
    <w:lvl w:ilvl="1">
      <w:lvlJc w:val="left"/>
      <w:lvlText w:val="(%2)"/>
      <w:numFmt w:val="decimal"/>
      <w:start w:val="1"/>
    </w:lvl>
  </w:abstractNum>
  <w:abstractNum w:abstractNumId="458">
    <w:nsid w:val="64A1C464"/>
    <w:multiLevelType w:val="hybridMultilevel"/>
    <w:lvl w:ilvl="0">
      <w:lvlJc w:val="left"/>
      <w:lvlText w:val="(%1)"/>
      <w:numFmt w:val="lowerRoman"/>
      <w:start w:val="3"/>
    </w:lvl>
    <w:lvl w:ilvl="1">
      <w:lvlJc w:val="left"/>
      <w:lvlText w:val="%2"/>
      <w:numFmt w:val="decimal"/>
      <w:start w:val="1"/>
    </w:lvl>
  </w:abstractNum>
  <w:abstractNum w:abstractNumId="459">
    <w:nsid w:val="31723BF5"/>
    <w:multiLevelType w:val="hybridMultilevel"/>
    <w:lvl w:ilvl="0">
      <w:lvlJc w:val="left"/>
      <w:lvlText w:val="(%1)"/>
      <w:numFmt w:val="upperLetter"/>
      <w:start w:val="1"/>
    </w:lvl>
  </w:abstractNum>
  <w:abstractNum w:abstractNumId="460">
    <w:nsid w:val="11F69861"/>
    <w:multiLevelType w:val="hybridMultilevel"/>
    <w:lvl w:ilvl="0">
      <w:lvlJc w:val="left"/>
      <w:lvlText w:val="(%1)"/>
      <w:numFmt w:val="lowerRoman"/>
      <w:start w:val="3"/>
    </w:lvl>
    <w:lvl w:ilvl="1">
      <w:lvlJc w:val="left"/>
      <w:lvlText w:val="(%2)"/>
      <w:numFmt w:val="upperLetter"/>
      <w:start w:val="4"/>
    </w:lvl>
  </w:abstractNum>
  <w:abstractNum w:abstractNumId="461">
    <w:nsid w:val="369956AB"/>
    <w:multiLevelType w:val="hybridMultilevel"/>
    <w:lvl w:ilvl="0">
      <w:lvlJc w:val="left"/>
      <w:lvlText w:val="(%1)"/>
      <w:numFmt w:val="decimal"/>
      <w:start w:val="3"/>
    </w:lvl>
  </w:abstractNum>
  <w:abstractNum w:abstractNumId="462">
    <w:nsid w:val="D3BE41C"/>
    <w:multiLevelType w:val="hybridMultilevel"/>
    <w:lvl w:ilvl="0">
      <w:lvlJc w:val="left"/>
      <w:lvlText w:val="(%1)"/>
      <w:numFmt w:val="lowerLetter"/>
      <w:start w:val="2"/>
    </w:lvl>
  </w:abstractNum>
  <w:abstractNum w:abstractNumId="463">
    <w:nsid w:val="4CDA15E7"/>
    <w:multiLevelType w:val="hybridMultilevel"/>
    <w:lvl w:ilvl="0">
      <w:lvlJc w:val="left"/>
      <w:lvlText w:val="(%1)"/>
      <w:numFmt w:val="decimal"/>
      <w:start w:val="1"/>
    </w:lvl>
  </w:abstractNum>
  <w:abstractNum w:abstractNumId="464">
    <w:nsid w:val="7BDD6690"/>
    <w:multiLevelType w:val="hybridMultilevel"/>
    <w:lvl w:ilvl="0">
      <w:lvlJc w:val="left"/>
      <w:lvlText w:val="(%1)"/>
      <w:numFmt w:val="lowerRoman"/>
      <w:start w:val="1"/>
    </w:lvl>
  </w:abstractNum>
  <w:abstractNum w:abstractNumId="465">
    <w:nsid w:val="DFB5C5B"/>
    <w:multiLevelType w:val="hybridMultilevel"/>
    <w:lvl w:ilvl="0">
      <w:lvlJc w:val="left"/>
      <w:lvlText w:val="(%1)"/>
      <w:numFmt w:val="lowerLetter"/>
      <w:start w:val="3"/>
    </w:lvl>
  </w:abstractNum>
  <w:abstractNum w:abstractNumId="466">
    <w:nsid w:val="6F3E5490"/>
    <w:multiLevelType w:val="hybridMultilevel"/>
    <w:lvl w:ilvl="0">
      <w:lvlJc w:val="left"/>
      <w:lvlText w:val="(%1)"/>
      <w:numFmt w:val="lowerLetter"/>
      <w:start w:val="1"/>
    </w:lvl>
  </w:abstractNum>
  <w:abstractNum w:abstractNumId="467">
    <w:nsid w:val="1464BE1E"/>
    <w:multiLevelType w:val="hybridMultilevel"/>
    <w:lvl w:ilvl="0">
      <w:lvlJc w:val="left"/>
      <w:lvlText w:val="(%1)"/>
      <w:numFmt w:val="lowerLetter"/>
      <w:start w:val="5"/>
    </w:lvl>
  </w:abstractNum>
  <w:abstractNum w:abstractNumId="468">
    <w:nsid w:val="66BBB7E5"/>
    <w:multiLevelType w:val="hybridMultilevel"/>
    <w:lvl w:ilvl="0">
      <w:lvlJc w:val="left"/>
      <w:lvlText w:val="%1"/>
      <w:numFmt w:val="lowerRoman"/>
      <w:start w:val="1"/>
    </w:lvl>
    <w:lvl w:ilvl="1">
      <w:lvlJc w:val="left"/>
      <w:lvlText w:val="(%2)"/>
      <w:numFmt w:val="lowerLetter"/>
      <w:start w:val="1"/>
    </w:lvl>
  </w:abstractNum>
  <w:abstractNum w:abstractNumId="469">
    <w:nsid w:val="28168302"/>
    <w:multiLevelType w:val="hybridMultilevel"/>
    <w:lvl w:ilvl="0">
      <w:lvlJc w:val="left"/>
      <w:lvlText w:val="(%1)"/>
      <w:numFmt w:val="lowerRoman"/>
      <w:start w:val="4"/>
    </w:lvl>
    <w:lvl w:ilvl="1">
      <w:lvlJc w:val="left"/>
      <w:lvlText w:val="(%2)"/>
      <w:numFmt w:val="lowerLetter"/>
      <w:start w:val="2"/>
    </w:lvl>
  </w:abstractNum>
  <w:abstractNum w:abstractNumId="470">
    <w:nsid w:val="32A5C7A8"/>
    <w:multiLevelType w:val="hybridMultilevel"/>
    <w:lvl w:ilvl="0">
      <w:lvlJc w:val="left"/>
      <w:lvlText w:val="(%1)"/>
      <w:numFmt w:val="lowerRoman"/>
      <w:start w:val="1"/>
    </w:lvl>
  </w:abstractNum>
  <w:abstractNum w:abstractNumId="471">
    <w:nsid w:val="3A541011"/>
    <w:multiLevelType w:val="hybridMultilevel"/>
    <w:lvl w:ilvl="0">
      <w:lvlJc w:val="left"/>
      <w:lvlText w:val="(%1)"/>
      <w:numFmt w:val="lowerLetter"/>
      <w:start w:val="1"/>
    </w:lvl>
    <w:lvl w:ilvl="1">
      <w:lvlJc w:val="left"/>
      <w:lvlText w:val="(%2)"/>
      <w:numFmt w:val="decimal"/>
      <w:start w:val="1"/>
    </w:lvl>
  </w:abstractNum>
  <w:abstractNum w:abstractNumId="472">
    <w:nsid w:val="4423C777"/>
    <w:multiLevelType w:val="hybridMultilevel"/>
    <w:lvl w:ilvl="0">
      <w:lvlJc w:val="left"/>
      <w:lvlText w:val="(%1)"/>
      <w:numFmt w:val="lowerLetter"/>
      <w:start w:val="1"/>
    </w:lvl>
  </w:abstractNum>
  <w:abstractNum w:abstractNumId="473">
    <w:nsid w:val="5F5C6E4D"/>
    <w:multiLevelType w:val="hybridMultilevel"/>
    <w:lvl w:ilvl="0">
      <w:lvlJc w:val="left"/>
      <w:lvlText w:val="(%1)"/>
      <w:numFmt w:val="lowerLetter"/>
      <w:start w:val="9"/>
    </w:lvl>
    <w:lvl w:ilvl="1">
      <w:lvlJc w:val="left"/>
      <w:lvlText w:val="(%2)"/>
      <w:numFmt w:val="lowerLetter"/>
      <w:start w:val="2"/>
    </w:lvl>
  </w:abstractNum>
  <w:abstractNum w:abstractNumId="474">
    <w:nsid w:val="7C2A56CD"/>
    <w:multiLevelType w:val="hybridMultilevel"/>
    <w:lvl w:ilvl="0">
      <w:lvlJc w:val="left"/>
      <w:lvlText w:val="(%1)"/>
      <w:numFmt w:val="lowerLetter"/>
      <w:start w:val="1"/>
    </w:lvl>
  </w:abstractNum>
  <w:abstractNum w:abstractNumId="475">
    <w:nsid w:val="7AB86EE1"/>
    <w:multiLevelType w:val="hybridMultilevel"/>
    <w:lvl w:ilvl="0">
      <w:lvlJc w:val="left"/>
      <w:lvlText w:val="(%1)"/>
      <w:numFmt w:val="lowerLetter"/>
      <w:start w:val="1"/>
    </w:lvl>
  </w:abstractNum>
  <w:abstractNum w:abstractNumId="476">
    <w:nsid w:val="B54E53B"/>
    <w:multiLevelType w:val="hybridMultilevel"/>
    <w:lvl w:ilvl="0">
      <w:lvlJc w:val="left"/>
      <w:lvlText w:val="(%1)"/>
      <w:numFmt w:val="lowerLetter"/>
      <w:start w:val="1"/>
    </w:lvl>
  </w:abstractNum>
  <w:abstractNum w:abstractNumId="477">
    <w:nsid w:val="2A00487"/>
    <w:multiLevelType w:val="hybridMultilevel"/>
    <w:lvl w:ilvl="0">
      <w:lvlJc w:val="left"/>
      <w:lvlText w:val="(%1)"/>
      <w:numFmt w:val="lowerLetter"/>
      <w:start w:val="1"/>
    </w:lvl>
    <w:lvl w:ilvl="1">
      <w:lvlJc w:val="left"/>
      <w:lvlText w:val="(%2)"/>
      <w:numFmt w:val="lowerRoman"/>
      <w:start w:val="1"/>
    </w:lvl>
  </w:abstractNum>
  <w:abstractNum w:abstractNumId="478">
    <w:nsid w:val="6CB1B60"/>
    <w:multiLevelType w:val="hybridMultilevel"/>
    <w:lvl w:ilvl="0">
      <w:lvlJc w:val="left"/>
      <w:lvlText w:val="(%1)"/>
      <w:numFmt w:val="lowerLetter"/>
      <w:start w:val="3"/>
    </w:lvl>
  </w:abstractNum>
  <w:abstractNum w:abstractNumId="479">
    <w:nsid w:val="72EDD574"/>
    <w:multiLevelType w:val="hybridMultilevel"/>
    <w:lvl w:ilvl="0">
      <w:lvlJc w:val="left"/>
      <w:lvlText w:val="%1"/>
      <w:numFmt w:val="lowerRoman"/>
      <w:start w:val="1"/>
    </w:lvl>
    <w:lvl w:ilvl="1">
      <w:lvlJc w:val="left"/>
      <w:lvlText w:val="(%2)"/>
      <w:numFmt w:val="lowerLetter"/>
      <w:start w:val="1"/>
    </w:lvl>
  </w:abstractNum>
  <w:abstractNum w:abstractNumId="480">
    <w:nsid w:val="7323808A"/>
    <w:multiLevelType w:val="hybridMultilevel"/>
    <w:lvl w:ilvl="0">
      <w:lvlJc w:val="left"/>
      <w:lvlText w:val="(%1)"/>
      <w:numFmt w:val="lowerRoman"/>
      <w:start w:val="2"/>
    </w:lvl>
    <w:lvl w:ilvl="1">
      <w:lvlJc w:val="left"/>
      <w:lvlText w:val="%2"/>
      <w:numFmt w:val="lowerLetter"/>
      <w:start w:val="1"/>
    </w:lvl>
  </w:abstractNum>
  <w:abstractNum w:abstractNumId="481">
    <w:nsid w:val="5157276"/>
    <w:multiLevelType w:val="hybridMultilevel"/>
    <w:lvl w:ilvl="0">
      <w:lvlJc w:val="left"/>
      <w:lvlText w:val="1"/>
      <w:numFmt w:val="bullet"/>
      <w:start w:val="1"/>
    </w:lvl>
  </w:abstractNum>
  <w:abstractNum w:abstractNumId="482">
    <w:nsid w:val="35A681DB"/>
    <w:multiLevelType w:val="hybridMultilevel"/>
    <w:lvl w:ilvl="0">
      <w:lvlJc w:val="left"/>
      <w:lvlText w:val="(%1)"/>
      <w:numFmt w:val="lowerLetter"/>
      <w:start w:val="3"/>
    </w:lvl>
  </w:abstractNum>
  <w:abstractNum w:abstractNumId="483">
    <w:nsid w:val="1786C974"/>
    <w:multiLevelType w:val="hybridMultilevel"/>
    <w:lvl w:ilvl="0">
      <w:lvlJc w:val="left"/>
      <w:lvlText w:val="(%1)"/>
      <w:numFmt w:val="lowerLetter"/>
      <w:start w:val="1"/>
    </w:lvl>
  </w:abstractNum>
  <w:abstractNum w:abstractNumId="484">
    <w:nsid w:val="1C2427A1"/>
    <w:multiLevelType w:val="hybridMultilevel"/>
    <w:lvl w:ilvl="0">
      <w:lvlJc w:val="left"/>
      <w:lvlText w:val="(%1)"/>
      <w:numFmt w:val="lowerLetter"/>
      <w:start w:val="2"/>
    </w:lvl>
  </w:abstractNum>
  <w:abstractNum w:abstractNumId="485">
    <w:nsid w:val="63A24D68"/>
    <w:multiLevelType w:val="hybridMultilevel"/>
    <w:lvl w:ilvl="0">
      <w:lvlJc w:val="left"/>
      <w:lvlText w:val="(%1)"/>
      <w:numFmt w:val="lowerLetter"/>
      <w:start w:val="3"/>
    </w:lvl>
    <w:lvl w:ilvl="1">
      <w:lvlJc w:val="left"/>
      <w:lvlText w:val="(%2)"/>
      <w:numFmt w:val="lowerRoman"/>
      <w:start w:val="1"/>
    </w:lvl>
  </w:abstractNum>
  <w:abstractNum w:abstractNumId="486">
    <w:nsid w:val="4FB7A02A"/>
    <w:multiLevelType w:val="hybridMultilevel"/>
    <w:lvl w:ilvl="0">
      <w:lvlJc w:val="left"/>
      <w:lvlText w:val="(%1)"/>
      <w:numFmt w:val="lowerLetter"/>
      <w:start w:val="6"/>
    </w:lvl>
  </w:abstractNum>
  <w:abstractNum w:abstractNumId="487">
    <w:nsid w:val="96CF728"/>
    <w:multiLevelType w:val="hybridMultilevel"/>
    <w:lvl w:ilvl="0">
      <w:lvlJc w:val="left"/>
      <w:lvlText w:val="(%1)"/>
      <w:numFmt w:val="lowerLetter"/>
      <w:start w:val="1"/>
    </w:lvl>
  </w:abstractNum>
  <w:abstractNum w:abstractNumId="488">
    <w:nsid w:val="3B121183"/>
    <w:multiLevelType w:val="hybridMultilevel"/>
    <w:lvl w:ilvl="0">
      <w:lvlJc w:val="left"/>
      <w:lvlText w:val="%1"/>
      <w:numFmt w:val="lowerLetter"/>
      <w:start w:val="1"/>
    </w:lvl>
    <w:lvl w:ilvl="1">
      <w:lvlJc w:val="left"/>
      <w:lvlText w:val="(%2)"/>
      <w:numFmt w:val="lowerLetter"/>
      <w:start w:val="1"/>
    </w:lvl>
  </w:abstractNum>
  <w:abstractNum w:abstractNumId="489">
    <w:nsid w:val="3459648F"/>
    <w:multiLevelType w:val="hybridMultilevel"/>
    <w:lvl w:ilvl="0">
      <w:lvlJc w:val="left"/>
      <w:lvlText w:val="(%1)"/>
      <w:numFmt w:val="lowerLetter"/>
      <w:start w:val="9"/>
    </w:lvl>
    <w:lvl w:ilvl="1">
      <w:lvlJc w:val="left"/>
      <w:lvlText w:val="(%2)"/>
      <w:numFmt w:val="lowerLetter"/>
      <w:start w:val="3"/>
    </w:lvl>
  </w:abstractNum>
  <w:abstractNum w:abstractNumId="490">
    <w:nsid w:val="3ADF331D"/>
    <w:multiLevelType w:val="hybridMultilevel"/>
    <w:lvl w:ilvl="0">
      <w:lvlJc w:val="left"/>
      <w:lvlText w:val="(%1)"/>
      <w:numFmt w:val="lowerLetter"/>
      <w:start w:val="1"/>
    </w:lvl>
  </w:abstractNum>
  <w:abstractNum w:abstractNumId="491">
    <w:nsid w:val="4D08A9E4"/>
    <w:multiLevelType w:val="hybridMultilevel"/>
    <w:lvl w:ilvl="0">
      <w:lvlJc w:val="left"/>
      <w:lvlText w:val="(%1)"/>
      <w:numFmt w:val="lowerLetter"/>
      <w:start w:val="1"/>
    </w:lvl>
  </w:abstractNum>
  <w:abstractNum w:abstractNumId="492">
    <w:nsid w:val="6AF2BB3A"/>
    <w:multiLevelType w:val="hybridMultilevel"/>
    <w:lvl w:ilvl="0">
      <w:lvlJc w:val="left"/>
      <w:lvlText w:val="(%1)"/>
      <w:numFmt w:val="lowerLetter"/>
      <w:start w:val="2"/>
    </w:lvl>
  </w:abstractNum>
  <w:abstractNum w:abstractNumId="493">
    <w:nsid w:val="481B1739"/>
    <w:multiLevelType w:val="hybridMultilevel"/>
    <w:lvl w:ilvl="0">
      <w:lvlJc w:val="left"/>
      <w:lvlText w:val="(%1)"/>
      <w:numFmt w:val="lowerLetter"/>
      <w:start w:val="1"/>
    </w:lvl>
  </w:abstractNum>
  <w:abstractNum w:abstractNumId="494">
    <w:nsid w:val="19E2BFCC"/>
    <w:multiLevelType w:val="hybridMultilevel"/>
    <w:lvl w:ilvl="0">
      <w:lvlJc w:val="left"/>
      <w:lvlText w:val="(%1)"/>
      <w:numFmt w:val="lowerLetter"/>
      <w:start w:val="1"/>
    </w:lvl>
  </w:abstractNum>
  <w:abstractNum w:abstractNumId="495">
    <w:nsid w:val="66D021CA"/>
    <w:multiLevelType w:val="hybridMultilevel"/>
    <w:lvl w:ilvl="0">
      <w:lvlJc w:val="left"/>
      <w:lvlText w:val="(%1)"/>
      <w:numFmt w:val="lowerLetter"/>
      <w:start w:val="2"/>
    </w:lvl>
  </w:abstractNum>
  <w:abstractNum w:abstractNumId="496">
    <w:nsid w:val="56167394"/>
    <w:multiLevelType w:val="hybridMultilevel"/>
    <w:lvl w:ilvl="0">
      <w:lvlJc w:val="left"/>
      <w:lvlText w:val="(%1)"/>
      <w:numFmt w:val="lowerLetter"/>
      <w:start w:val="1"/>
    </w:lvl>
    <w:lvl w:ilvl="1">
      <w:lvlJc w:val="left"/>
      <w:lvlText w:val="(%2)"/>
      <w:numFmt w:val="lowerRoman"/>
      <w:start w:val="1"/>
    </w:lvl>
  </w:abstractNum>
  <w:abstractNum w:abstractNumId="497">
    <w:nsid w:val="921145C"/>
    <w:multiLevelType w:val="hybridMultilevel"/>
    <w:lvl w:ilvl="0">
      <w:lvlJc w:val="left"/>
      <w:lvlText w:val="(%1)"/>
      <w:numFmt w:val="lowerLetter"/>
      <w:start w:val="1"/>
    </w:lvl>
  </w:abstractNum>
  <w:abstractNum w:abstractNumId="498">
    <w:nsid w:val="7B34DFE8"/>
    <w:multiLevelType w:val="hybridMultilevel"/>
    <w:lvl w:ilvl="0">
      <w:lvlJc w:val="left"/>
      <w:lvlText w:val="%1."/>
      <w:numFmt w:val="decimal"/>
      <w:start w:val="1"/>
    </w:lvl>
  </w:abstractNum>
  <w:abstractNum w:abstractNumId="499">
    <w:nsid w:val="3CD22B7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00">
    <w:nsid w:val="3137975E"/>
    <w:multiLevelType w:val="hybridMultilevel"/>
    <w:lvl w:ilvl="0">
      <w:lvlJc w:val="left"/>
      <w:lvlText w:val="%1."/>
      <w:numFmt w:val="lowerLetter"/>
      <w:start w:val="2"/>
    </w:lvl>
  </w:abstractNum>
  <w:abstractNum w:abstractNumId="501">
    <w:nsid w:val="2DDAA791"/>
    <w:multiLevelType w:val="hybridMultilevel"/>
    <w:lvl w:ilvl="0">
      <w:lvlJc w:val="left"/>
      <w:lvlText w:val="%1"/>
      <w:numFmt w:val="decimal"/>
      <w:start w:val="1"/>
    </w:lvl>
    <w:lvl w:ilvl="1">
      <w:lvlJc w:val="left"/>
      <w:lvlText w:val="%2."/>
      <w:numFmt w:val="lowerLetter"/>
      <w:start w:val="8"/>
    </w:lvl>
  </w:abstractNum>
  <w:abstractNum w:abstractNumId="502">
    <w:nsid w:val="77263B8A"/>
    <w:multiLevelType w:val="hybridMultilevel"/>
    <w:lvl w:ilvl="0">
      <w:lvlJc w:val="left"/>
      <w:lvlText w:val="%1."/>
      <w:numFmt w:val="decimal"/>
      <w:start w:val="6"/>
    </w:lvl>
    <w:lvl w:ilvl="1">
      <w:lvlJc w:val="left"/>
      <w:lvlText w:val="%2."/>
      <w:numFmt w:val="lowerLetter"/>
      <w:start w:val="1"/>
    </w:lvl>
  </w:abstractNum>
  <w:abstractNum w:abstractNumId="503">
    <w:nsid w:val="755B5ED6"/>
    <w:multiLevelType w:val="hybridMultilevel"/>
    <w:lvl w:ilvl="0">
      <w:lvlJc w:val="left"/>
      <w:lvlText w:val="(%1)"/>
      <w:numFmt w:val="lowerRoman"/>
      <w:start w:val="4"/>
    </w:lvl>
    <w:lvl w:ilvl="1">
      <w:lvlJc w:val="left"/>
      <w:lvlText w:val="%2."/>
      <w:numFmt w:val="lowerLetter"/>
      <w:start w:val="2"/>
    </w:lvl>
  </w:abstractNum>
  <w:abstractNum w:abstractNumId="504">
    <w:nsid w:val="D3715DE"/>
    <w:multiLevelType w:val="hybridMultilevel"/>
    <w:lvl w:ilvl="0">
      <w:lvlJc w:val="left"/>
      <w:lvlText w:val="%1."/>
      <w:numFmt w:val="lowerLetter"/>
      <w:start w:val="8"/>
    </w:lvl>
  </w:abstractNum>
  <w:abstractNum w:abstractNumId="505">
    <w:nsid w:val="73509257"/>
    <w:multiLevelType w:val="hybridMultilevel"/>
    <w:lvl w:ilvl="0">
      <w:lvlJc w:val="left"/>
      <w:lvlText w:val="%1"/>
      <w:numFmt w:val="decimal"/>
      <w:start w:val="1"/>
    </w:lvl>
    <w:lvl w:ilvl="1">
      <w:lvlJc w:val="left"/>
      <w:lvlText w:val="%2."/>
      <w:numFmt w:val="lowerLetter"/>
      <w:start w:val="17"/>
    </w:lvl>
  </w:abstractNum>
  <w:abstractNum w:abstractNumId="506">
    <w:nsid w:val="7013CDB7"/>
    <w:multiLevelType w:val="hybridMultilevel"/>
    <w:lvl w:ilvl="0">
      <w:lvlJc w:val="left"/>
      <w:lvlText w:val="%1."/>
      <w:numFmt w:val="decimal"/>
      <w:start w:val="7"/>
    </w:lvl>
    <w:lvl w:ilvl="1">
      <w:lvlJc w:val="left"/>
      <w:lvlText w:val="%2."/>
      <w:numFmt w:val="lowerLetter"/>
      <w:start w:val="1"/>
    </w:lvl>
  </w:abstractNum>
  <w:abstractNum w:abstractNumId="507">
    <w:nsid w:val="188BFB19"/>
    <w:multiLevelType w:val="hybridMultilevel"/>
    <w:lvl w:ilvl="0">
      <w:lvlJc w:val="left"/>
      <w:lvlText w:val="%1."/>
      <w:numFmt w:val="lowerLetter"/>
      <w:start w:val="2"/>
    </w:lvl>
  </w:abstractNum>
  <w:abstractNum w:abstractNumId="508">
    <w:nsid w:val="75F096DF"/>
    <w:multiLevelType w:val="hybridMultilevel"/>
    <w:lvl w:ilvl="0">
      <w:lvlJc w:val="left"/>
      <w:lvlText w:val="%1."/>
      <w:numFmt w:val="lowerLetter"/>
      <w:start w:val="5"/>
    </w:lvl>
  </w:abstractNum>
  <w:abstractNum w:abstractNumId="509">
    <w:nsid w:val="76DEE918"/>
    <w:multiLevelType w:val="hybridMultilevel"/>
    <w:lvl w:ilvl="0">
      <w:lvlJc w:val="left"/>
      <w:lvlText w:val="%1."/>
      <w:numFmt w:val="decimal"/>
      <w:start w:val="8"/>
    </w:lvl>
  </w:abstractNum>
  <w:abstractNum w:abstractNumId="510">
    <w:nsid w:val="B79D08D"/>
    <w:multiLevelType w:val="hybridMultilevel"/>
    <w:lvl w:ilvl="0">
      <w:lvlJc w:val="left"/>
      <w:lvlText w:val="%1"/>
      <w:numFmt w:val="decimal"/>
      <w:start w:val="1"/>
    </w:lvl>
    <w:lvl w:ilvl="1">
      <w:lvlJc w:val="left"/>
      <w:lvlText w:val="%2."/>
      <w:numFmt w:val="decimal"/>
      <w:start w:val="9"/>
    </w:lvl>
  </w:abstractNum>
  <w:abstractNum w:abstractNumId="511">
    <w:nsid w:val="69141769"/>
    <w:multiLevelType w:val="hybridMultilevel"/>
    <w:lvl w:ilvl="0">
      <w:lvlJc w:val="left"/>
      <w:lvlText w:val="%1."/>
      <w:numFmt w:val="decimal"/>
      <w:start w:val="10"/>
    </w:lvl>
    <w:lvl w:ilvl="1">
      <w:lvlJc w:val="left"/>
      <w:lvlText w:val="%2"/>
      <w:numFmt w:val="decimal"/>
      <w:start w:val="1"/>
    </w:lvl>
  </w:abstractNum>
  <w:abstractNum w:abstractNumId="512">
    <w:nsid w:val="7BF45B8E"/>
    <w:multiLevelType w:val="hybridMultilevel"/>
    <w:lvl w:ilvl="0">
      <w:lvlJc w:val="left"/>
      <w:lvlText w:val="%1."/>
      <w:numFmt w:val="lowerLetter"/>
      <w:start w:val="1"/>
    </w:lvl>
  </w:abstractNum>
  <w:abstractNum w:abstractNumId="513">
    <w:nsid w:val="41205269"/>
    <w:multiLevelType w:val="hybridMultilevel"/>
    <w:lvl w:ilvl="0">
      <w:lvlJc w:val="left"/>
      <w:lvlText w:val="%1."/>
      <w:numFmt w:val="lowerLetter"/>
      <w:start w:val="7"/>
    </w:lvl>
  </w:abstractNum>
  <w:abstractNum w:abstractNumId="514">
    <w:nsid w:val="9AE0DD"/>
    <w:multiLevelType w:val="hybridMultilevel"/>
    <w:lvl w:ilvl="0">
      <w:lvlJc w:val="left"/>
      <w:lvlText w:val="&amp;"/>
      <w:numFmt w:val="bullet"/>
      <w:start w:val="1"/>
    </w:lvl>
    <w:lvl w:ilvl="1">
      <w:lvlJc w:val="left"/>
      <w:lvlText w:val="%2"/>
      <w:numFmt w:val="decimal"/>
      <w:start w:val="1"/>
    </w:lvl>
    <w:lvl w:ilvl="2">
      <w:lvlJc w:val="left"/>
      <w:lvlText w:val="%3."/>
      <w:numFmt w:val="lowerLetter"/>
      <w:start w:val="13"/>
    </w:lvl>
  </w:abstractNum>
  <w:abstractNum w:abstractNumId="515">
    <w:nsid w:val="1818832F"/>
    <w:multiLevelType w:val="hybridMultilevel"/>
    <w:lvl w:ilvl="0">
      <w:lvlJc w:val="left"/>
      <w:lvlText w:val="&amp;"/>
      <w:numFmt w:val="bullet"/>
      <w:start w:val="1"/>
    </w:lvl>
    <w:lvl w:ilvl="1">
      <w:lvlJc w:val="left"/>
      <w:lvlText w:val="%2."/>
      <w:numFmt w:val="decimal"/>
      <w:start w:val="11"/>
    </w:lvl>
    <w:lvl w:ilvl="2">
      <w:lvlJc w:val="left"/>
      <w:lvlText w:val="%3"/>
      <w:numFmt w:val="lowerLetter"/>
      <w:start w:val="1"/>
    </w:lvl>
  </w:abstractNum>
  <w:abstractNum w:abstractNumId="516">
    <w:nsid w:val="24C29FD1"/>
    <w:multiLevelType w:val="hybridMultilevel"/>
    <w:lvl w:ilvl="0">
      <w:lvlJc w:val="left"/>
      <w:lvlText w:val="%1."/>
      <w:numFmt w:val="upperLetter"/>
      <w:start w:val="1"/>
    </w:lvl>
    <w:lvl w:ilvl="1">
      <w:lvlJc w:val="left"/>
      <w:lvlText w:val="£"/>
      <w:numFmt w:val="bullet"/>
      <w:start w:val="1"/>
    </w:lvl>
  </w:abstractNum>
  <w:abstractNum w:abstractNumId="517">
    <w:nsid w:val="50528108"/>
    <w:multiLevelType w:val="hybridMultilevel"/>
    <w:lvl w:ilvl="0">
      <w:lvlJc w:val="left"/>
      <w:lvlText w:val="%1."/>
      <w:numFmt w:val="decimal"/>
      <w:start w:val="1"/>
    </w:lvl>
  </w:abstractNum>
  <w:abstractNum w:abstractNumId="518">
    <w:nsid w:val="21857A57"/>
    <w:multiLevelType w:val="hybridMultilevel"/>
    <w:lvl w:ilvl="0">
      <w:lvlJc w:val="left"/>
      <w:lvlText w:val="%1."/>
      <w:numFmt w:val="upperLetter"/>
      <w:start w:val="2"/>
    </w:lvl>
    <w:lvl w:ilvl="1">
      <w:lvlJc w:val="left"/>
      <w:lvlText w:val="£"/>
      <w:numFmt w:val="bullet"/>
      <w:start w:val="1"/>
    </w:lvl>
  </w:abstractNum>
  <w:abstractNum w:abstractNumId="519">
    <w:nsid w:val="5FD4B154"/>
    <w:multiLevelType w:val="hybridMultilevel"/>
    <w:lvl w:ilvl="0">
      <w:lvlJc w:val="left"/>
      <w:lvlText w:val="%1."/>
      <w:numFmt w:val="decimal"/>
      <w:start w:val="1"/>
    </w:lvl>
  </w:abstractNum>
  <w:abstractNum w:abstractNumId="520">
    <w:nsid w:val="4ABE597"/>
    <w:multiLevelType w:val="hybridMultilevel"/>
    <w:lvl w:ilvl="0">
      <w:lvlJc w:val="left"/>
      <w:lvlText w:val="£"/>
      <w:numFmt w:val="bullet"/>
      <w:start w:val="1"/>
    </w:lvl>
  </w:abstractNum>
  <w:abstractNum w:abstractNumId="521">
    <w:nsid w:val="5C64AD75"/>
    <w:multiLevelType w:val="hybridMultilevel"/>
    <w:lvl w:ilvl="0">
      <w:lvlJc w:val="left"/>
      <w:lvlText w:val="(%1)"/>
      <w:numFmt w:val="lowerLetter"/>
      <w:start w:val="1"/>
    </w:lvl>
    <w:lvl w:ilvl="1">
      <w:lvlJc w:val="left"/>
      <w:lvlText w:val="(%2)"/>
      <w:numFmt w:val="lowerLetter"/>
      <w:start w:val="1"/>
    </w:lvl>
  </w:abstractNum>
  <w:abstractNum w:abstractNumId="522">
    <w:nsid w:val="2CDD5B39"/>
    <w:multiLevelType w:val="hybridMultilevel"/>
    <w:lvl w:ilvl="0">
      <w:lvlJc w:val="left"/>
      <w:lvlText w:val="(%1)"/>
      <w:numFmt w:val="lowerLetter"/>
      <w:start w:val="5"/>
    </w:lvl>
  </w:abstractNum>
  <w:abstractNum w:abstractNumId="523">
    <w:nsid w:val="6F9EA0D1"/>
    <w:multiLevelType w:val="hybridMultilevel"/>
    <w:lvl w:ilvl="0">
      <w:lvlJc w:val="left"/>
      <w:lvlText w:val="*"/>
      <w:numFmt w:val="bullet"/>
      <w:start w:val="1"/>
    </w:lvl>
  </w:abstractNum>
  <w:abstractNum w:abstractNumId="524">
    <w:nsid w:val="247FC4AE"/>
    <w:multiLevelType w:val="hybridMultilevel"/>
    <w:lvl w:ilvl="0">
      <w:lvlJc w:val="left"/>
      <w:lvlText w:val="**"/>
      <w:numFmt w:val="bullet"/>
      <w:start w:val="1"/>
    </w:lvl>
  </w:abstractNum>
  <w:abstractNum w:abstractNumId="525">
    <w:nsid w:val="46C01B05"/>
    <w:multiLevelType w:val="hybridMultilevel"/>
    <w:lvl w:ilvl="0">
      <w:lvlJc w:val="left"/>
      <w:lvlText w:val="***"/>
      <w:numFmt w:val="bullet"/>
      <w:start w:val="1"/>
    </w:lvl>
  </w:abstractNum>
  <w:abstractNum w:abstractNumId="526">
    <w:nsid w:val="566EC29B"/>
    <w:multiLevelType w:val="hybridMultilevel"/>
    <w:lvl w:ilvl="0">
      <w:lvlJc w:val="left"/>
      <w:lvlText w:val="†"/>
      <w:numFmt w:val="bullet"/>
      <w:start w:val="1"/>
    </w:lvl>
  </w:abstractNum>
  <w:abstractNum w:abstractNumId="527">
    <w:nsid w:val="7A96384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28">
    <w:nsid w:val="4FE12F6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Roman"/>
      <w:start w:val="3"/>
    </w:lvl>
  </w:abstractNum>
  <w:abstractNum w:abstractNumId="529">
    <w:nsid w:val="51A3A28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lvl w:ilvl="3">
      <w:lvlJc w:val="left"/>
      <w:lvlText w:val="%4"/>
      <w:numFmt w:val="lowerRoman"/>
      <w:start w:val="1"/>
    </w:lvl>
  </w:abstractNum>
  <w:abstractNum w:abstractNumId="530">
    <w:nsid w:val="376863BC"/>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lvl w:ilvl="3">
      <w:lvlJc w:val="left"/>
      <w:lvlText w:val="%4"/>
      <w:numFmt w:val="lowerRoman"/>
      <w:start w:val="1"/>
    </w:lvl>
  </w:abstractNum>
  <w:abstractNum w:abstractNumId="531">
    <w:nsid w:val="118C6C0"/>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4"/>
      <w:numFmt w:val="lowerRoman"/>
      <w:start w:val="1"/>
    </w:lvl>
  </w:abstractNum>
  <w:abstractNum w:abstractNumId="532">
    <w:nsid w:val="7F7E4A15"/>
    <w:multiLevelType w:val="hybridMultilevel"/>
    <w:lvl w:ilvl="0">
      <w:lvlJc w:val="left"/>
      <w:lvlText w:val="(%1)"/>
      <w:numFmt w:val="lowerLetter"/>
      <w:start w:val="1"/>
    </w:lvl>
  </w:abstractNum>
  <w:abstractNum w:abstractNumId="533">
    <w:nsid w:val="2E8E9F47"/>
    <w:multiLevelType w:val="hybridMultilevel"/>
    <w:lvl w:ilvl="0">
      <w:lvlJc w:val="left"/>
      <w:lvlText w:val="(%1)"/>
      <w:numFmt w:val="lowerLetter"/>
      <w:start w:val="4"/>
    </w:lvl>
  </w:abstractNum>
  <w:abstractNum w:abstractNumId="534">
    <w:nsid w:val="76742596"/>
    <w:multiLevelType w:val="hybridMultilevel"/>
    <w:lvl w:ilvl="0">
      <w:lvlJc w:val="left"/>
      <w:lvlText w:val="A"/>
      <w:numFmt w:val="bullet"/>
      <w:start w:val="1"/>
    </w:lvl>
  </w:abstractNum>
  <w:abstractNum w:abstractNumId="535">
    <w:nsid w:val="CB55FF3"/>
    <w:multiLevelType w:val="hybridMultilevel"/>
    <w:lvl w:ilvl="0">
      <w:lvlJc w:val="left"/>
      <w:lvlText w:val="%1."/>
      <w:numFmt w:val="decimal"/>
      <w:start w:val="2"/>
    </w:lvl>
    <w:lvl w:ilvl="1">
      <w:lvlJc w:val="left"/>
      <w:lvlText w:val="(%2)"/>
      <w:numFmt w:val="lowerLetter"/>
      <w:start w:val="1"/>
    </w:lvl>
  </w:abstractNum>
  <w:abstractNum w:abstractNumId="536">
    <w:nsid w:val="21DF319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37">
    <w:nsid w:val="6687F34D"/>
    <w:multiLevelType w:val="hybridMultilevel"/>
    <w:lvl w:ilvl="0">
      <w:lvlJc w:val="left"/>
      <w:lvlText w:val="(%1)"/>
      <w:numFmt w:val="lowerLetter"/>
      <w:start w:val="1"/>
    </w:lvl>
  </w:abstractNum>
  <w:abstractNum w:abstractNumId="538">
    <w:nsid w:val="25415B0C"/>
    <w:multiLevelType w:val="hybridMultilevel"/>
    <w:lvl w:ilvl="0">
      <w:lvlJc w:val="left"/>
      <w:lvlText w:val="(%1)"/>
      <w:numFmt w:val="lowerLetter"/>
      <w:start w:val="1"/>
    </w:lvl>
  </w:abstractNum>
  <w:abstractNum w:abstractNumId="539">
    <w:nsid w:val="17CFC87D"/>
    <w:multiLevelType w:val="hybridMultilevel"/>
    <w:lvl w:ilvl="0">
      <w:lvlJc w:val="left"/>
      <w:lvlText w:val="(%1)"/>
      <w:numFmt w:val="lowerLetter"/>
      <w:start w:val="5"/>
    </w:lvl>
  </w:abstractNum>
  <w:abstractNum w:abstractNumId="540">
    <w:nsid w:val="5D66DC65"/>
    <w:multiLevelType w:val="hybridMultilevel"/>
    <w:lvl w:ilvl="0">
      <w:lvlJc w:val="left"/>
      <w:lvlText w:val="(%1)"/>
      <w:numFmt w:val="lowerLetter"/>
      <w:start w:val="1"/>
    </w:lvl>
  </w:abstractNum>
  <w:abstractNum w:abstractNumId="541">
    <w:nsid w:val="30BB2B99"/>
    <w:multiLevelType w:val="hybridMultilevel"/>
    <w:lvl w:ilvl="0">
      <w:lvlJc w:val="left"/>
      <w:lvlText w:val="(%1)"/>
      <w:numFmt w:val="lowerLetter"/>
      <w:start w:val="2"/>
    </w:lvl>
  </w:abstractNum>
  <w:abstractNum w:abstractNumId="542">
    <w:nsid w:val="E3DFE6"/>
    <w:multiLevelType w:val="hybridMultilevel"/>
    <w:lvl w:ilvl="0">
      <w:lvlJc w:val="left"/>
      <w:lvlText w:val="(%1)"/>
      <w:numFmt w:val="lowerLetter"/>
      <w:start w:val="1"/>
    </w:lvl>
  </w:abstractNum>
  <w:abstractNum w:abstractNumId="543">
    <w:nsid w:val="595B37F3"/>
    <w:multiLevelType w:val="hybridMultilevel"/>
    <w:lvl w:ilvl="0">
      <w:lvlJc w:val="left"/>
      <w:lvlText w:val="(%1)"/>
      <w:numFmt w:val="lowerLetter"/>
      <w:start w:val="2"/>
    </w:lvl>
  </w:abstractNum>
  <w:abstractNum w:abstractNumId="544">
    <w:nsid w:val="71DB7E02"/>
    <w:multiLevelType w:val="hybridMultilevel"/>
    <w:lvl w:ilvl="0">
      <w:lvlJc w:val="left"/>
      <w:lvlText w:val="(%1)"/>
      <w:numFmt w:val="lowerLetter"/>
      <w:start w:val="1"/>
    </w:lvl>
    <w:lvl w:ilvl="1">
      <w:lvlJc w:val="left"/>
      <w:lvlText w:val="%"/>
      <w:numFmt w:val="bullet"/>
      <w:start w:val="1"/>
    </w:lvl>
  </w:abstractNum>
  <w:abstractNum w:abstractNumId="545">
    <w:nsid w:val="17EC0C4"/>
    <w:multiLevelType w:val="hybridMultilevel"/>
    <w:lvl w:ilvl="0">
      <w:lvlJc w:val="left"/>
      <w:lvlText w:val="(%1)"/>
      <w:numFmt w:val="lowerLetter"/>
      <w:start w:val="2"/>
    </w:lvl>
  </w:abstractNum>
  <w:abstractNum w:abstractNumId="546">
    <w:nsid w:val="7173BB22"/>
    <w:multiLevelType w:val="hybridMultilevel"/>
    <w:lvl w:ilvl="0">
      <w:lvlJc w:val="left"/>
      <w:lvlText w:val="(%1)"/>
      <w:numFmt w:val="lowerLetter"/>
      <w:start w:val="1"/>
    </w:lvl>
  </w:abstractNum>
  <w:abstractNum w:abstractNumId="547">
    <w:nsid w:val="169E1DD3"/>
    <w:multiLevelType w:val="hybridMultilevel"/>
    <w:lvl w:ilvl="0">
      <w:lvlJc w:val="left"/>
      <w:lvlText w:val="(%1)"/>
      <w:numFmt w:val="lowerLetter"/>
      <w:start w:val="2"/>
    </w:lvl>
  </w:abstractNum>
  <w:abstractNum w:abstractNumId="548">
    <w:nsid w:val="51D141CC"/>
    <w:multiLevelType w:val="hybridMultilevel"/>
    <w:lvl w:ilvl="0">
      <w:lvlJc w:val="left"/>
      <w:lvlText w:val="(%1)"/>
      <w:numFmt w:val="lowerLetter"/>
      <w:start w:val="1"/>
    </w:lvl>
  </w:abstractNum>
  <w:abstractNum w:abstractNumId="549">
    <w:nsid w:val="12F9357A"/>
    <w:multiLevelType w:val="hybridMultilevel"/>
    <w:lvl w:ilvl="0">
      <w:lvlJc w:val="left"/>
      <w:lvlText w:val="(%1)"/>
      <w:numFmt w:val="lowerLetter"/>
      <w:start w:val="2"/>
    </w:lvl>
  </w:abstractNum>
  <w:abstractNum w:abstractNumId="550">
    <w:nsid w:val="7672CF28"/>
    <w:multiLevelType w:val="hybridMultilevel"/>
    <w:lvl w:ilvl="0">
      <w:lvlJc w:val="left"/>
      <w:lvlText w:val="%1."/>
      <w:numFmt w:val="decimal"/>
      <w:start w:val="6"/>
    </w:lvl>
    <w:lvl w:ilvl="1">
      <w:lvlJc w:val="left"/>
      <w:lvlText w:val="(%2)"/>
      <w:numFmt w:val="lowerLetter"/>
      <w:start w:val="1"/>
    </w:lvl>
  </w:abstractNum>
  <w:abstractNum w:abstractNumId="551">
    <w:nsid w:val="567D2763"/>
    <w:multiLevelType w:val="hybridMultilevel"/>
    <w:lvl w:ilvl="0">
      <w:lvlJc w:val="left"/>
      <w:lvlText w:val="%1"/>
      <w:numFmt w:val="lowerLetter"/>
      <w:start w:val="1"/>
    </w:lvl>
    <w:lvl w:ilvl="1">
      <w:lvlJc w:val="left"/>
      <w:lvlText w:val="(%2)"/>
      <w:numFmt w:val="lowerLetter"/>
      <w:start w:val="1"/>
    </w:lvl>
  </w:abstractNum>
  <w:abstractNum w:abstractNumId="552">
    <w:nsid w:val="6F5DE2EF"/>
    <w:multiLevelType w:val="hybridMultilevel"/>
    <w:lvl w:ilvl="0">
      <w:lvlJc w:val="left"/>
      <w:lvlText w:val="(%1)"/>
      <w:numFmt w:val="lowerLetter"/>
      <w:start w:val="35"/>
    </w:lvl>
    <w:lvl w:ilvl="1">
      <w:lvlJc w:val="left"/>
      <w:lvlText w:val="%2"/>
      <w:numFmt w:val="lowerLetter"/>
      <w:start w:val="1"/>
    </w:lvl>
  </w:abstractNum>
  <w:abstractNum w:abstractNumId="553">
    <w:nsid w:val="23502A61"/>
    <w:multiLevelType w:val="hybridMultilevel"/>
    <w:lvl w:ilvl="0">
      <w:lvlJc w:val="left"/>
      <w:lvlText w:val="%1."/>
      <w:numFmt w:val="decimal"/>
      <w:start w:val="7"/>
    </w:lvl>
    <w:lvl w:ilvl="1">
      <w:lvlJc w:val="left"/>
      <w:lvlText w:val="(%2)"/>
      <w:numFmt w:val="lowerLetter"/>
      <w:start w:val="1"/>
    </w:lvl>
  </w:abstractNum>
  <w:abstractNum w:abstractNumId="554">
    <w:nsid w:val="461BC834"/>
    <w:multiLevelType w:val="hybridMultilevel"/>
    <w:lvl w:ilvl="0">
      <w:lvlJc w:val="left"/>
      <w:lvlText w:val="(%1)"/>
      <w:numFmt w:val="lowerLetter"/>
      <w:start w:val="4"/>
    </w:lvl>
  </w:abstractNum>
  <w:abstractNum w:abstractNumId="555">
    <w:nsid w:val="13DDA79D"/>
    <w:multiLevelType w:val="hybridMultilevel"/>
    <w:lvl w:ilvl="0">
      <w:lvlJc w:val="left"/>
      <w:lvlText w:val="(%1)"/>
      <w:numFmt w:val="lowerLetter"/>
      <w:start w:val="1"/>
    </w:lvl>
    <w:lvl w:ilvl="1">
      <w:lvlJc w:val="left"/>
      <w:lvlText w:val="(%2)"/>
      <w:numFmt w:val="lowerRoman"/>
      <w:start w:val="1"/>
    </w:lvl>
  </w:abstractNum>
  <w:abstractNum w:abstractNumId="556">
    <w:nsid w:val="6A104566"/>
    <w:multiLevelType w:val="hybridMultilevel"/>
    <w:lvl w:ilvl="0">
      <w:lvlJc w:val="left"/>
      <w:lvlText w:val="(%1)"/>
      <w:numFmt w:val="lowerLetter"/>
      <w:start w:val="3"/>
    </w:lvl>
  </w:abstractNum>
  <w:abstractNum w:abstractNumId="557">
    <w:nsid w:val="1C8A8ACF"/>
    <w:multiLevelType w:val="hybridMultilevel"/>
    <w:lvl w:ilvl="0">
      <w:lvlJc w:val="left"/>
      <w:lvlText w:val="%1"/>
      <w:numFmt w:val="decimal"/>
      <w:start w:val="1"/>
    </w:lvl>
    <w:lvl w:ilvl="1">
      <w:lvlJc w:val="left"/>
      <w:lvlText w:val="(%2)"/>
      <w:numFmt w:val="lowerLetter"/>
      <w:start w:val="6"/>
    </w:lvl>
  </w:abstractNum>
  <w:abstractNum w:abstractNumId="558">
    <w:nsid w:val="E73DFE0"/>
    <w:multiLevelType w:val="hybridMultilevel"/>
    <w:lvl w:ilvl="0">
      <w:lvlJc w:val="left"/>
      <w:lvlText w:val="%1."/>
      <w:numFmt w:val="decimal"/>
      <w:start w:val="8"/>
    </w:lvl>
    <w:lvl w:ilvl="1">
      <w:lvlJc w:val="left"/>
      <w:lvlText w:val="%2"/>
      <w:numFmt w:val="lowerLetter"/>
      <w:start w:val="1"/>
    </w:lvl>
  </w:abstractNum>
  <w:abstractNum w:abstractNumId="559">
    <w:nsid w:val="39F174C7"/>
    <w:multiLevelType w:val="hybridMultilevel"/>
    <w:lvl w:ilvl="0">
      <w:lvlJc w:val="left"/>
      <w:lvlText w:val="(%1)"/>
      <w:numFmt w:val="lowerLetter"/>
      <w:start w:val="1"/>
    </w:lvl>
  </w:abstractNum>
  <w:abstractNum w:abstractNumId="560">
    <w:nsid w:val="6E2E2D53"/>
    <w:multiLevelType w:val="hybridMultilevel"/>
    <w:lvl w:ilvl="0">
      <w:lvlJc w:val="left"/>
      <w:lvlText w:val="(%1)"/>
      <w:numFmt w:val="lowerRoman"/>
      <w:start w:val="1"/>
    </w:lvl>
  </w:abstractNum>
  <w:abstractNum w:abstractNumId="561">
    <w:nsid w:val="45DC439D"/>
    <w:multiLevelType w:val="hybridMultilevel"/>
    <w:lvl w:ilvl="0">
      <w:lvlJc w:val="left"/>
      <w:lvlText w:val="(%1)"/>
      <w:numFmt w:val="lowerLetter"/>
      <w:start w:val="2"/>
    </w:lvl>
  </w:abstractNum>
  <w:abstractNum w:abstractNumId="562">
    <w:nsid w:val="3B0A3B87"/>
    <w:multiLevelType w:val="hybridMultilevel"/>
    <w:lvl w:ilvl="0">
      <w:lvlJc w:val="left"/>
      <w:lvlText w:val="(%1)"/>
      <w:numFmt w:val="lowerLetter"/>
      <w:start w:val="1"/>
    </w:lvl>
  </w:abstractNum>
  <w:abstractNum w:abstractNumId="563">
    <w:nsid w:val="6DAC7768"/>
    <w:multiLevelType w:val="hybridMultilevel"/>
    <w:lvl w:ilvl="0">
      <w:lvlJc w:val="left"/>
      <w:lvlText w:val="(%1)"/>
      <w:numFmt w:val="lowerLetter"/>
      <w:start w:val="3"/>
    </w:lvl>
  </w:abstractNum>
  <w:abstractNum w:abstractNumId="564">
    <w:nsid w:val="746AE2E4"/>
    <w:multiLevelType w:val="hybridMultilevel"/>
    <w:lvl w:ilvl="0">
      <w:lvlJc w:val="left"/>
      <w:lvlText w:val="(%1)"/>
      <w:numFmt w:val="decimal"/>
      <w:start w:val="90"/>
    </w:lvl>
  </w:abstractNum>
  <w:abstractNum w:abstractNumId="565">
    <w:nsid w:val="317E611D"/>
    <w:multiLevelType w:val="hybridMultilevel"/>
    <w:lvl w:ilvl="0">
      <w:lvlJc w:val="left"/>
      <w:lvlText w:val="-"/>
      <w:numFmt w:val="bullet"/>
      <w:start w:val="1"/>
    </w:lvl>
  </w:abstractNum>
  <w:abstractNum w:abstractNumId="566">
    <w:nsid w:val="7A61D75B"/>
    <w:multiLevelType w:val="hybridMultilevel"/>
    <w:lvl w:ilvl="0">
      <w:lvlJc w:val="left"/>
      <w:lvlText w:val="-"/>
      <w:numFmt w:val="bullet"/>
      <w:start w:val="1"/>
    </w:lvl>
  </w:abstractNum>
  <w:abstractNum w:abstractNumId="567">
    <w:nsid w:val="164A1482"/>
    <w:multiLevelType w:val="hybridMultilevel"/>
    <w:lvl w:ilvl="0">
      <w:lvlJc w:val="left"/>
      <w:lvlText w:val="-"/>
      <w:numFmt w:val="bullet"/>
      <w:start w:val="1"/>
    </w:lvl>
    <w:lvl w:ilvl="1">
      <w:lvlJc w:val="left"/>
      <w:lvlText w:val="o"/>
      <w:numFmt w:val="bullet"/>
      <w:start w:val="1"/>
    </w:lvl>
  </w:abstractNum>
  <w:abstractNum w:abstractNumId="568">
    <w:nsid w:val="1806546B"/>
    <w:multiLevelType w:val="hybridMultilevel"/>
    <w:lvl w:ilvl="0">
      <w:lvlJc w:val="left"/>
      <w:lvlText w:val="-"/>
      <w:numFmt w:val="bullet"/>
      <w:start w:val="1"/>
    </w:lvl>
  </w:abstractNum>
  <w:abstractNum w:abstractNumId="569">
    <w:nsid w:val="1FA33267"/>
    <w:multiLevelType w:val="hybridMultilevel"/>
    <w:lvl w:ilvl="0">
      <w:lvlJc w:val="left"/>
      <w:lvlText w:val="-"/>
      <w:numFmt w:val="bullet"/>
      <w:start w:val="1"/>
    </w:lvl>
    <w:lvl w:ilvl="1">
      <w:lvlJc w:val="left"/>
      <w:lvlText w:val="■"/>
      <w:numFmt w:val="bullet"/>
      <w:start w:val="1"/>
    </w:lvl>
  </w:abstractNum>
  <w:abstractNum w:abstractNumId="570">
    <w:nsid w:val="2E19DD00"/>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8" Type="http://schemas.openxmlformats.org/officeDocument/2006/relationships/image" Target="media/image636.png"/><Relationship Id="rId649" Type="http://schemas.openxmlformats.org/officeDocument/2006/relationships/image" Target="media/image637.png"/><Relationship Id="rId650" Type="http://schemas.openxmlformats.org/officeDocument/2006/relationships/image" Target="media/image638.png"/><Relationship Id="rId651" Type="http://schemas.openxmlformats.org/officeDocument/2006/relationships/image" Target="media/image639.png"/><Relationship Id="rId652" Type="http://schemas.openxmlformats.org/officeDocument/2006/relationships/image" Target="media/image640.png"/><Relationship Id="rId653" Type="http://schemas.openxmlformats.org/officeDocument/2006/relationships/image" Target="media/image641.png"/><Relationship Id="rId654" Type="http://schemas.openxmlformats.org/officeDocument/2006/relationships/image" Target="media/image642.png"/><Relationship Id="rId655" Type="http://schemas.openxmlformats.org/officeDocument/2006/relationships/image" Target="media/image643.png"/><Relationship Id="rId656" Type="http://schemas.openxmlformats.org/officeDocument/2006/relationships/image" Target="media/image644.png"/><Relationship Id="rId657" Type="http://schemas.openxmlformats.org/officeDocument/2006/relationships/image" Target="media/image645.png"/><Relationship Id="rId658" Type="http://schemas.openxmlformats.org/officeDocument/2006/relationships/image" Target="media/image646.png"/><Relationship Id="rId659" Type="http://schemas.openxmlformats.org/officeDocument/2006/relationships/image" Target="media/image647.png"/><Relationship Id="rId660" Type="http://schemas.openxmlformats.org/officeDocument/2006/relationships/image" Target="media/image648.png"/><Relationship Id="rId661" Type="http://schemas.openxmlformats.org/officeDocument/2006/relationships/image" Target="media/image649.png"/><Relationship Id="rId662" Type="http://schemas.openxmlformats.org/officeDocument/2006/relationships/image" Target="media/image650.png"/><Relationship Id="rId663" Type="http://schemas.openxmlformats.org/officeDocument/2006/relationships/image" Target="media/image651.png"/><Relationship Id="rId664" Type="http://schemas.openxmlformats.org/officeDocument/2006/relationships/image" Target="media/image652.png"/><Relationship Id="rId665" Type="http://schemas.openxmlformats.org/officeDocument/2006/relationships/image" Target="media/image653.png"/><Relationship Id="rId666" Type="http://schemas.openxmlformats.org/officeDocument/2006/relationships/image" Target="media/image654.png"/><Relationship Id="rId667" Type="http://schemas.openxmlformats.org/officeDocument/2006/relationships/image" Target="media/image655.png"/><Relationship Id="rId668" Type="http://schemas.openxmlformats.org/officeDocument/2006/relationships/image" Target="media/image656.png"/><Relationship Id="rId669" Type="http://schemas.openxmlformats.org/officeDocument/2006/relationships/image" Target="media/image657.png"/><Relationship Id="rId670" Type="http://schemas.openxmlformats.org/officeDocument/2006/relationships/image" Target="media/image658.png"/><Relationship Id="rId671" Type="http://schemas.openxmlformats.org/officeDocument/2006/relationships/image" Target="media/image659.png"/><Relationship Id="rId672" Type="http://schemas.openxmlformats.org/officeDocument/2006/relationships/image" Target="media/image660.png"/><Relationship Id="rId673" Type="http://schemas.openxmlformats.org/officeDocument/2006/relationships/image" Target="media/image661.png"/><Relationship Id="rId674" Type="http://schemas.openxmlformats.org/officeDocument/2006/relationships/image" Target="media/image662.png"/><Relationship Id="rId675" Type="http://schemas.openxmlformats.org/officeDocument/2006/relationships/image" Target="media/image663.png"/><Relationship Id="rId676" Type="http://schemas.openxmlformats.org/officeDocument/2006/relationships/image" Target="media/image664.png"/><Relationship Id="rId677" Type="http://schemas.openxmlformats.org/officeDocument/2006/relationships/image" Target="media/image665.png"/><Relationship Id="rId678" Type="http://schemas.openxmlformats.org/officeDocument/2006/relationships/image" Target="media/image666.png"/><Relationship Id="rId679" Type="http://schemas.openxmlformats.org/officeDocument/2006/relationships/image" Target="media/image667.png"/><Relationship Id="rId680" Type="http://schemas.openxmlformats.org/officeDocument/2006/relationships/image" Target="media/image668.png"/><Relationship Id="rId681" Type="http://schemas.openxmlformats.org/officeDocument/2006/relationships/image" Target="media/image669.png"/><Relationship Id="rId682" Type="http://schemas.openxmlformats.org/officeDocument/2006/relationships/image" Target="media/image670.png"/><Relationship Id="rId683" Type="http://schemas.openxmlformats.org/officeDocument/2006/relationships/image" Target="media/image671.png"/><Relationship Id="rId684" Type="http://schemas.openxmlformats.org/officeDocument/2006/relationships/image" Target="media/image672.png"/><Relationship Id="rId685" Type="http://schemas.openxmlformats.org/officeDocument/2006/relationships/image" Target="media/image673.png"/><Relationship Id="rId686" Type="http://schemas.openxmlformats.org/officeDocument/2006/relationships/image" Target="media/image674.png"/><Relationship Id="rId643" Type="http://schemas.openxmlformats.org/officeDocument/2006/relationships/hyperlink" Target="http://www.sec.gov/Archives/edgar/data/1816736/000121390020022350/ea125578ex3-1_fsdevelop.htm" TargetMode="External"/><Relationship Id="rId644" Type="http://schemas.openxmlformats.org/officeDocument/2006/relationships/hyperlink" Target="http://www.sec.gov/Archives/edgar/data/1816736/000121390020020902/fs12020a1ex3-4_fsdevelopmnt.htm" TargetMode="External"/><Relationship Id="rId645" Type="http://schemas.openxmlformats.org/officeDocument/2006/relationships/hyperlink" Target="http://www.sec.gov/Archives/edgar/data/1816736/000121390020032122/ea128463ex10-3_fsdevelopment.htm" TargetMode="External"/><Relationship Id="rId646" Type="http://schemas.openxmlformats.org/officeDocument/2006/relationships/hyperlink" Target="http://www.sec.gov/Archives/edgar/data/1816736/000121390020034347/fs42020ex10-5_geminifsdev.htm" TargetMode="External"/><Relationship Id="rId647" Type="http://schemas.openxmlformats.org/officeDocument/2006/relationships/hyperlink" Target="http://www.sec.gov/Archives/edgar/data/1816736/000121390020034347/fs42020_geminifsdevcorp.htm#T1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2020-12-07T16:37:07Z</dcterms:created>
  <dcterms:modified xsi:type="dcterms:W3CDTF">2020-12-07T16:37:07Z</dcterms:modified>
</cp:coreProperties>
</file>