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Ashiya Mona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upon the first to occur of (i) the date of the Company's 2025 annual meeting of its stockholders, or (ii) the one-year anniversary of the grant date,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OrbiMed Capital GP VI LLC, and OrbiMed Capital GP VIII LLC, the Reporting Person is obligated to transfer any securities issued under any such stock options or other awards, or the economic benefit thereof, to OrbiMed Advisors LLC, OrbiMed Capital GP VI LLC, and OrbiMed Capital GP VIII LLC, which will in turn ensure that such securities or economic benefits are provided to OrbiMed Private Investments VI, LP and OrbiMed Private Investments VIII, LP.</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Rahul Khara, as</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2024-06-14T15:27:24Z</dcterms:created>
  <dcterms:modified xsi:type="dcterms:W3CDTF">2024-06-14T15:27:24Z</dcterms:modified>
</cp:coreProperties>
</file>