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333-281359</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(To prospectus dated August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1624965</wp:posOffset>
            </wp:positionH>
            <wp:positionV relativeFrom="paragraph">
              <wp:posOffset>160020</wp:posOffset>
            </wp:positionV>
            <wp:extent cx="389191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9191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3,918,182 Shares of Common Stock</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Pre-Funded Warrants to Purchase 181,818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are offering 3,918,182 shares of our common stock and, in lieu of common stock to certain investors that so choose, pre-funded warrants to purchase 181,818 shares of common stock in this offering. Our common stock is listed on the Nasdaq Global Market under the symbol “IRON.” On January 22, 2025, the closing sale price of our common stock on the Nasdaq Global Market, was $58.50 per share.</w:t>
      </w:r>
    </w:p>
    <w:p>
      <w:pPr>
        <w:spacing w:after="0" w:line="176" w:lineRule="exact"/>
        <w:rPr>
          <w:sz w:val="24"/>
          <w:szCs w:val="24"/>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The purchase price of each pre-funded warrant will equal the price per share at which shares of our common stock are being sold to the public in this offering, minus $0.0001, which is the exercise price of each pre-funded warrant. The pre-funded warrants do not expire, and each pre-funded warrant will be exercisable at any time after the date of issuance, subject to an ownership limitation and in some cases clearance under the Hart-Scott-Rodino Antitrust Improvements Act of 1976, as amended, or the HSR Act. This prospectus supplement also relates to the offering of the shares of common stock issuable upon exercise of such pre-funded warrants.</w:t>
      </w:r>
    </w:p>
    <w:p>
      <w:pPr>
        <w:spacing w:after="0" w:line="183" w:lineRule="exact"/>
        <w:rPr>
          <w:sz w:val="24"/>
          <w:szCs w:val="24"/>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 market to develop. We do not intend to list the pre-funded warrants on the Nasdaq Global Market or any other national securities exchange or nationally recognized trading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120" w:right="16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Please read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S-6 of this prospectus supplement, page 1 in the accompanying prospectus, and under similar headings in the documents that are incorporated by reference into this prospectus supplement concerning factors you should carefully consider before investing in our securities.</w:t>
      </w:r>
    </w:p>
    <w:p>
      <w:pPr>
        <w:spacing w:after="0" w:line="193"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Per</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5"/>
              </w:rPr>
              <w:t>Pre</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120" w:type="dxa"/>
            <w:vAlign w:val="bottom"/>
          </w:tcPr>
          <w:p>
            <w:pPr>
              <w:spacing w:after="0"/>
              <w:rPr>
                <w:sz w:val="12"/>
                <w:szCs w:val="12"/>
                <w:color w:val="auto"/>
              </w:rPr>
            </w:pP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55.00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54.9999</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225,499,982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Underwriting discounts and commissions </w:t>
            </w:r>
            <w:r>
              <w:rPr>
                <w:rFonts w:ascii="Times New Roman" w:cs="Times New Roman" w:eastAsia="Times New Roman" w:hAnsi="Times New Roman"/>
                <w:sz w:val="25"/>
                <w:szCs w:val="25"/>
                <w:color w:val="auto"/>
                <w:vertAlign w:val="superscript"/>
              </w:rPr>
              <w:t>(1)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3.30</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3.3000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13,530,000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3"/>
              </w:rPr>
              <w:t>51.70</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51.6999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211,969,982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section titled “Underwriting” beginning on page S-25 for a description of the compensation payable to the underwriters.</w:t>
      </w:r>
    </w:p>
    <w:p>
      <w:pPr>
        <w:spacing w:after="0" w:line="225" w:lineRule="exact"/>
        <w:rPr>
          <w:sz w:val="24"/>
          <w:szCs w:val="24"/>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up to an additional 615,000 shares of our common stock at the public offering price, less the underwriting discounts and commissions.</w:t>
      </w:r>
    </w:p>
    <w:p>
      <w:pPr>
        <w:spacing w:after="0" w:line="158" w:lineRule="exact"/>
        <w:rPr>
          <w:sz w:val="24"/>
          <w:szCs w:val="24"/>
          <w:color w:val="auto"/>
        </w:rPr>
      </w:pPr>
    </w:p>
    <w:p>
      <w:pPr>
        <w:jc w:val="both"/>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7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underwriters expect to deliver the shares of common stock and pre-funded warrants against payment therefor on or about January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311" w:lineRule="exact"/>
        <w:rPr>
          <w:sz w:val="24"/>
          <w:szCs w:val="24"/>
          <w:color w:val="auto"/>
        </w:rPr>
      </w:pPr>
    </w:p>
    <w:p>
      <w:pPr>
        <w:ind w:left="660"/>
        <w:spacing w:after="0"/>
        <w:tabs>
          <w:tab w:leader="none" w:pos="3420" w:val="left"/>
          <w:tab w:leader="none" w:pos="7600" w:val="left"/>
          <w:tab w:leader="none" w:pos="9800" w:val="left"/>
        </w:tabs>
        <w:rPr>
          <w:sz w:val="20"/>
          <w:szCs w:val="20"/>
          <w:color w:val="auto"/>
        </w:rPr>
      </w:pPr>
      <w:r>
        <w:rPr>
          <w:rFonts w:ascii="Times New Roman" w:cs="Times New Roman" w:eastAsia="Times New Roman" w:hAnsi="Times New Roman"/>
          <w:sz w:val="25"/>
          <w:szCs w:val="25"/>
          <w:b w:val="1"/>
          <w:bCs w:val="1"/>
          <w:color w:val="auto"/>
        </w:rPr>
        <w:t>Jefferies</w:t>
      </w:r>
      <w:r>
        <w:rPr>
          <w:sz w:val="20"/>
          <w:szCs w:val="20"/>
          <w:color w:val="auto"/>
        </w:rPr>
        <w:tab/>
      </w:r>
      <w:r>
        <w:rPr>
          <w:rFonts w:ascii="Times New Roman" w:cs="Times New Roman" w:eastAsia="Times New Roman" w:hAnsi="Times New Roman"/>
          <w:sz w:val="25"/>
          <w:szCs w:val="25"/>
          <w:b w:val="1"/>
          <w:bCs w:val="1"/>
          <w:color w:val="auto"/>
        </w:rPr>
        <w:t>Leerink Partners</w:t>
      </w:r>
      <w:r>
        <w:rPr>
          <w:sz w:val="20"/>
          <w:szCs w:val="20"/>
          <w:color w:val="auto"/>
        </w:rPr>
        <w:tab/>
      </w:r>
      <w:r>
        <w:rPr>
          <w:rFonts w:ascii="Times New Roman" w:cs="Times New Roman" w:eastAsia="Times New Roman" w:hAnsi="Times New Roman"/>
          <w:sz w:val="25"/>
          <w:szCs w:val="25"/>
          <w:b w:val="1"/>
          <w:bCs w:val="1"/>
          <w:color w:val="auto"/>
        </w:rPr>
        <w:t>Stifel</w:t>
      </w:r>
      <w:r>
        <w:rPr>
          <w:sz w:val="20"/>
          <w:szCs w:val="20"/>
          <w:color w:val="auto"/>
        </w:rPr>
        <w:tab/>
      </w:r>
      <w:r>
        <w:rPr>
          <w:rFonts w:ascii="Times New Roman" w:cs="Times New Roman" w:eastAsia="Times New Roman" w:hAnsi="Times New Roman"/>
          <w:sz w:val="24"/>
          <w:szCs w:val="24"/>
          <w:b w:val="1"/>
          <w:bCs w:val="1"/>
          <w:color w:val="auto"/>
        </w:rPr>
        <w:t>Cantor</w:t>
      </w:r>
    </w:p>
    <w:p>
      <w:pPr>
        <w:spacing w:after="0" w:line="23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Co-Managers</w:t>
      </w:r>
    </w:p>
    <w:p>
      <w:pPr>
        <w:spacing w:after="0" w:line="308" w:lineRule="exact"/>
        <w:rPr>
          <w:sz w:val="24"/>
          <w:szCs w:val="24"/>
          <w:color w:val="auto"/>
        </w:rPr>
      </w:pPr>
    </w:p>
    <w:p>
      <w:pPr>
        <w:ind w:left="500"/>
        <w:spacing w:after="0"/>
        <w:tabs>
          <w:tab w:leader="none" w:pos="3440" w:val="left"/>
          <w:tab w:leader="none" w:pos="5720" w:val="left"/>
          <w:tab w:leader="none" w:pos="8480" w:val="left"/>
        </w:tabs>
        <w:rPr>
          <w:sz w:val="20"/>
          <w:szCs w:val="20"/>
          <w:color w:val="auto"/>
        </w:rPr>
      </w:pPr>
      <w:r>
        <w:rPr>
          <w:rFonts w:ascii="Times New Roman" w:cs="Times New Roman" w:eastAsia="Times New Roman" w:hAnsi="Times New Roman"/>
          <w:sz w:val="22"/>
          <w:szCs w:val="22"/>
          <w:b w:val="1"/>
          <w:bCs w:val="1"/>
          <w:color w:val="auto"/>
        </w:rPr>
        <w:t>BMO Capital Markets</w:t>
      </w:r>
      <w:r>
        <w:rPr>
          <w:sz w:val="20"/>
          <w:szCs w:val="20"/>
          <w:color w:val="auto"/>
        </w:rPr>
        <w:tab/>
      </w:r>
      <w:r>
        <w:rPr>
          <w:rFonts w:ascii="Times New Roman" w:cs="Times New Roman" w:eastAsia="Times New Roman" w:hAnsi="Times New Roman"/>
          <w:sz w:val="22"/>
          <w:szCs w:val="22"/>
          <w:b w:val="1"/>
          <w:bCs w:val="1"/>
          <w:color w:val="auto"/>
        </w:rPr>
        <w:t>LifeSci Capital</w:t>
      </w:r>
      <w:r>
        <w:rPr>
          <w:sz w:val="20"/>
          <w:szCs w:val="20"/>
          <w:color w:val="auto"/>
        </w:rPr>
        <w:tab/>
      </w:r>
      <w:r>
        <w:rPr>
          <w:rFonts w:ascii="Times New Roman" w:cs="Times New Roman" w:eastAsia="Times New Roman" w:hAnsi="Times New Roman"/>
          <w:sz w:val="22"/>
          <w:szCs w:val="22"/>
          <w:b w:val="1"/>
          <w:bCs w:val="1"/>
          <w:color w:val="auto"/>
        </w:rPr>
        <w:t>Wedbush PacGrow</w:t>
      </w:r>
      <w:r>
        <w:rPr>
          <w:sz w:val="20"/>
          <w:szCs w:val="20"/>
          <w:color w:val="auto"/>
        </w:rPr>
        <w:tab/>
      </w:r>
      <w:r>
        <w:rPr>
          <w:rFonts w:ascii="Times New Roman" w:cs="Times New Roman" w:eastAsia="Times New Roman" w:hAnsi="Times New Roman"/>
          <w:sz w:val="21"/>
          <w:szCs w:val="21"/>
          <w:b w:val="1"/>
          <w:bCs w:val="1"/>
          <w:color w:val="auto"/>
        </w:rPr>
        <w:t>H.C. Wainwright &amp; Co.</w:t>
      </w:r>
    </w:p>
    <w:p>
      <w:pPr>
        <w:sectPr>
          <w:pgSz w:w="11900" w:h="16838" w:orient="portrait"/>
          <w:cols w:equalWidth="0" w:num="1">
            <w:col w:w="11140"/>
          </w:cols>
          <w:pgMar w:left="320" w:top="225" w:right="439" w:bottom="1440" w:gutter="0" w:footer="0" w:header="0"/>
        </w:sectPr>
      </w:pPr>
    </w:p>
    <w:p>
      <w:pPr>
        <w:spacing w:after="0" w:line="2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January 22, 2025</w:t>
      </w:r>
    </w:p>
    <w:p>
      <w:pPr>
        <w:sectPr>
          <w:pgSz w:w="11900" w:h="16838" w:orient="portrait"/>
          <w:cols w:equalWidth="0" w:num="1">
            <w:col w:w="1114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5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8060" w:type="dxa"/>
            <w:vAlign w:val="bottom"/>
            <w:gridSpan w:val="11"/>
            <w:vMerge w:val="restart"/>
          </w:tcPr>
          <w:p>
            <w:pPr>
              <w:spacing w:after="0"/>
              <w:rPr>
                <w:sz w:val="15"/>
                <w:szCs w:val="15"/>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2500" w:type="dxa"/>
            <w:vAlign w:val="bottom"/>
            <w:tcBorders>
              <w:bottom w:val="single" w:sz="8" w:color="0000EE"/>
            </w:tcBorders>
            <w:gridSpan w:val="19"/>
            <w:vMerge w:val="continue"/>
          </w:tcPr>
          <w:p>
            <w:pPr>
              <w:spacing w:after="0"/>
              <w:rPr>
                <w:sz w:val="13"/>
                <w:szCs w:val="13"/>
                <w:color w:val="auto"/>
              </w:rPr>
            </w:pPr>
          </w:p>
        </w:tc>
        <w:tc>
          <w:tcPr>
            <w:tcW w:w="8060" w:type="dxa"/>
            <w:vAlign w:val="bottom"/>
            <w:gridSpan w:val="11"/>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52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Cautionary Statement Regarding Forward-Looking Statements</w:t>
            </w:r>
          </w:p>
        </w:tc>
        <w:tc>
          <w:tcPr>
            <w:tcW w:w="6040" w:type="dxa"/>
            <w:vAlign w:val="bottom"/>
            <w:gridSpan w:val="4"/>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S-iv</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24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140" w:type="dxa"/>
            <w:vAlign w:val="bottom"/>
            <w:gridSpan w:val="1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9380" w:type="dxa"/>
            <w:vAlign w:val="bottom"/>
            <w:gridSpan w:val="2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Dilution</w:t>
            </w:r>
          </w:p>
        </w:tc>
        <w:tc>
          <w:tcPr>
            <w:tcW w:w="560" w:type="dxa"/>
            <w:vAlign w:val="bottom"/>
            <w:tcBorders>
              <w:top w:val="single" w:sz="8" w:color="0000EE"/>
            </w:tcBorders>
            <w:gridSpan w:val="5"/>
          </w:tcPr>
          <w:p>
            <w:pPr>
              <w:spacing w:after="0"/>
              <w:rPr>
                <w:sz w:val="17"/>
                <w:szCs w:val="17"/>
                <w:color w:val="auto"/>
              </w:rPr>
            </w:pPr>
          </w:p>
        </w:tc>
        <w:tc>
          <w:tcPr>
            <w:tcW w:w="9400" w:type="dxa"/>
            <w:vAlign w:val="bottom"/>
            <w:gridSpan w:val="2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Pre-Funded Warrants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U.S. Federal Income Tax Consequences for Investors in Common Stock</w:t>
            </w:r>
          </w:p>
        </w:tc>
        <w:tc>
          <w:tcPr>
            <w:tcW w:w="47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S-18</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9560" w:type="dxa"/>
            <w:vAlign w:val="bottom"/>
            <w:gridSpan w:val="2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S-37</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S-38</w:t>
            </w:r>
          </w:p>
        </w:tc>
        <w:tc>
          <w:tcPr>
            <w:tcW w:w="0" w:type="dxa"/>
            <w:vAlign w:val="bottom"/>
          </w:tcPr>
          <w:p>
            <w:pPr>
              <w:spacing w:after="0"/>
              <w:rPr>
                <w:sz w:val="1"/>
                <w:szCs w:val="1"/>
                <w:color w:val="auto"/>
              </w:rPr>
            </w:pPr>
          </w:p>
        </w:tc>
      </w:tr>
      <w:tr>
        <w:trPr>
          <w:trHeight w:val="668"/>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4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4"/>
        </w:trPr>
        <w:tc>
          <w:tcPr>
            <w:tcW w:w="10560" w:type="dxa"/>
            <w:vAlign w:val="bottom"/>
            <w:gridSpan w:val="30"/>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42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38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94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7"/>
              </w:rPr>
              <w:t>ABOUT THE COMPANY</w:t>
            </w:r>
          </w:p>
        </w:tc>
        <w:tc>
          <w:tcPr>
            <w:tcW w:w="3380" w:type="dxa"/>
            <w:vAlign w:val="bottom"/>
            <w:tcBorders>
              <w:top w:val="single" w:sz="8" w:color="0000EE"/>
            </w:tcBorders>
            <w:gridSpan w:val="15"/>
          </w:tcPr>
          <w:p>
            <w:pPr>
              <w:spacing w:after="0"/>
              <w:rPr>
                <w:sz w:val="17"/>
                <w:szCs w:val="17"/>
                <w:color w:val="auto"/>
              </w:rPr>
            </w:pPr>
          </w:p>
        </w:tc>
        <w:tc>
          <w:tcPr>
            <w:tcW w:w="524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8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8960" w:type="dxa"/>
            <w:vAlign w:val="bottom"/>
            <w:gridSpan w:val="1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980" w:type="dxa"/>
            <w:vAlign w:val="bottom"/>
            <w:gridSpan w:val="1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GENERAL DESCRIPTION OF SECURITIES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18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40" w:type="dxa"/>
            <w:vAlign w:val="bottom"/>
            <w:gridSpan w:val="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08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8540" w:type="dxa"/>
            <w:vAlign w:val="bottom"/>
            <w:gridSpan w:val="1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17"/>
                <w:szCs w:val="17"/>
                <w:color w:val="auto"/>
              </w:rPr>
            </w:pPr>
          </w:p>
        </w:tc>
        <w:tc>
          <w:tcPr>
            <w:tcW w:w="8520" w:type="dxa"/>
            <w:vAlign w:val="bottom"/>
            <w:gridSpan w:val="1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480" w:firstLine="440"/>
        <w:spacing w:after="0" w:line="312" w:lineRule="auto"/>
        <w:rPr>
          <w:sz w:val="20"/>
          <w:szCs w:val="20"/>
          <w:color w:val="auto"/>
        </w:rPr>
      </w:pPr>
      <w:r>
        <w:rPr>
          <w:rFonts w:ascii="Times New Roman" w:cs="Times New Roman" w:eastAsia="Times New Roman" w:hAnsi="Times New Roman"/>
          <w:sz w:val="17"/>
          <w:szCs w:val="17"/>
          <w:color w:val="auto"/>
        </w:rPr>
        <w:t>This prospectus supplement is part of an automatic shelf registration statement on Form S-3 (File No. 333-281359) that we filed with the Securities and Exchange Commission, or SEC, on August 8, 2024 as a “well-known seasoned issuer” as defined in Rule 405 of the Securities Act.</w:t>
      </w:r>
    </w:p>
    <w:p>
      <w:pPr>
        <w:spacing w:after="0" w:line="140"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of common stock and pre-funded warrants.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However, if any statement in one of these documents is inconsistent with a statement in another document with a later date that is incorporated by reference herein, the statement in the document having the later date modifies and supersedes the earlier statement.</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Before buying any of the shares of common stock or pre-funded warrants offered hereby, we urge you to read carefully this prospectus supplement and the accompanying prospectus, together with the information incorporated herein by reference as described below under the heading “Incorporation of Certain Information by Reference,” as well as the additional information described in this prospectus supplement under “Where You Can Find More Information.”</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you with information other than the information that we have provided or incorporated by reference in this prospectus supplement and the accompanying prospectus and your reliance on any unauthorized information or representation is at your own risk. You should assume that the information appearing in this prospectus supplement is accurate only as of the date of this prospectus supplement and that any information we have incorporated by reference is accurate only as of the date of the document incorporated by reference, regardless of the time of delivery of this prospectus supplement, or any sale of our common stock and pre-funded warrants. Our business, financial condition and results of operations may have changed since those dates.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common stock and pre-funded warrants only in jurisdictions where offers and sales are permitted. The distribution of this prospectus supplement and the accompanying prospectus and the offering of the common stock and pre-funded warrants in certain jurisdictions may be restricted by law. No action is being taken in any jurisdiction outside the United States to permit a public offering of the securities or possession or distribution of this prospectus supplement or the accompanying prospectus in that jurisdiction. Persons outside the United States who come into possession of this prospectus supplement and the accompanying prospectus must inform themselves about, and observe any restrictions relating to, the offering of the common stock and pre-funded warrants and the distribution of this prospectus supplement and the accompanying prospectus outside the United States. This prospectus supplement and the accompanying prospectus do not constitute, and may not be used in connection with, an offer to sell, or a</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solicitation of an offer to buy, any securities offered by this prospectus supplement and the accompanying prospectus by any person in any jurisdiction in which it is unlawful for such person to make such an offer or solicitation.</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December 29, 2022, we acquired Disc Medicine Opco, Inc. (formerly Disc Medicine, Inc.), or Private Disc, pursuant to an agreement and plan of merger, or the Merger, and we changed our name to Disc Medicine, Inc. on December 29, 2022. As used in this prospectus supplement,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All references in this prospectus supplement and the accompanying prospectus to our consolidated financial statements include the related notes thereto.</w:t>
      </w:r>
    </w:p>
    <w:p>
      <w:pPr>
        <w:spacing w:after="0" w:line="162" w:lineRule="exact"/>
        <w:rPr>
          <w:sz w:val="20"/>
          <w:szCs w:val="20"/>
          <w:color w:val="auto"/>
        </w:rPr>
      </w:pPr>
    </w:p>
    <w:p>
      <w:pPr>
        <w:ind w:left="120" w:right="100" w:firstLine="440"/>
        <w:spacing w:after="0" w:line="243" w:lineRule="auto"/>
        <w:rPr>
          <w:sz w:val="20"/>
          <w:szCs w:val="20"/>
          <w:color w:val="auto"/>
        </w:rPr>
      </w:pPr>
      <w:r>
        <w:rPr>
          <w:rFonts w:ascii="Times New Roman" w:cs="Times New Roman" w:eastAsia="Times New Roman" w:hAnsi="Times New Roman"/>
          <w:sz w:val="17"/>
          <w:szCs w:val="17"/>
          <w:color w:val="auto"/>
        </w:rPr>
        <w:t>Disc Medicine, Inc., the Disc logo and our other registered or common law trademarks, trade names or service marks appearing in this prospectus supplement are owned by us. All other trademarks or trade names referred to in this prospectus supplement are the property of their respective owners. Solely for convenience, the trademarks and trade names in this prospectus supplement are referred to without the symbols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but such references should not be construed as any indicator that their respective owners will not assert, to the fullest extent under applicable law, their rights thereto.</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that we incorporate by reference, contain “forward-looking statements” within the meaning of Section 27A of the Securities Act and Section 21E of the Exchange Act. All statements, other than statements of historical facts, included in this prospectus supplement and the accompanying prospectus, including the documents that we incorporate by reference, regarding our strategy, future operations, future financial position, future revenue, projected costs, prospects, plans, objectives of management and expected market growth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These forward-looking statements include, among other things, statements about:</w:t>
      </w:r>
    </w:p>
    <w:p>
      <w:pPr>
        <w:spacing w:after="0" w:line="97" w:lineRule="exact"/>
        <w:rPr>
          <w:sz w:val="20"/>
          <w:szCs w:val="20"/>
          <w:color w:val="auto"/>
        </w:rPr>
      </w:pPr>
    </w:p>
    <w:p>
      <w:pPr>
        <w:ind w:left="1080" w:right="140" w:hanging="424"/>
        <w:spacing w:after="0" w:line="258"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our planned APOLLO clinical trial of bitopertin, our ongoing Phase 1b and Phase 2 clinical trials of DISC-0974 and our planned Phase 2 clinical trial of DISC-3405, and including statements regarding the timing of initiation and completion of studies or trials and related preparatory work, the period during which the results of the trials will become available, and our research and development programs;</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9" w:lineRule="auto"/>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use the U.S. Food and Drug Administration’s, or FDA’s, Accelerated Approval Program for bitopertin, including the treatment of the APOLLO clinical study as a post-marketing confirmatory trial, and the timeline for a potential New Drug Application, or NDA, submission and accelerated approval, if granted, and whether the NDA submission will meet the standards of accelerated approval;</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the current conflicts between Russia and Ukraine and between Israel and Hamas, economic sanctions and economic slowdowns or recessions that may result from such developments which could harm our research and development efforts as well as the value of our common stock and our ability to access capital markets;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proceeds from this offering and any other financing transaction we may undertake.</w:t>
      </w:r>
    </w:p>
    <w:p>
      <w:pPr>
        <w:spacing w:after="0" w:line="11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prospectus supplement represent our views as of the date of this prospectus supplement. We anticipate that subsequent events and developments will cause our views to change. However, while we may elect to update these forward-looking statements at some point in the future, we have no current intention of doing so except to the extent required by applicable law.</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You should therefore not rely on these forward-looking statements as representing our views as of any date subsequent to the date of this prospectus supplement.</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may from time-to-time provide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supplement or the accompanying prospectus, their estimates, in particular, as they relate to projections, involve numerous assumptions, are subject to risks and uncertainties and are subject to change based on various factors. You should read this prospectus supplement, the accompanying prospectus and the documents that we reference herein and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in our Quarterly Report on Form 10-Q for the quarter ended September 30, 2024 filed with the SEC on November 12, 2024, which is incorporated by reference into this prospectus supplement and the accompanying prospectus, and the section of this prospectus supplement and the accompanying prospectus entitled “Risk Factors”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into which we may enter.</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1080"/>
          </w:cols>
          <w:pgMar w:left="320" w:top="455"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80" w:firstLine="426"/>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about us and this offering and does not contain all of the information that you should consider before investing in our common stock or pre-funded warrants. You should read this prospectus supplement, the accompanying prospectus and the documents incorporated by reference herein and therein carefully, especially those associated with the risks of investing in our common stock or pre-funded warrants discussed under “Risk Factors” beginning on page S-6 of this prospectus supplement and in the section entitled “Risk Factors” of our quarterly report on Form 10-Q for the quarter ended September 30, 2024, filed with the SEC on November 12, 2024, and any subsequent reports we file with the SEC after the date of this prospectus supplement, which are incorporated by reference in this prospectus supplement, along with our consolidated financial statements and notes to those consolidated financial statements and the other information incorporated by reference in this prospectus supplement, before making an investment decision.</w:t>
      </w:r>
    </w:p>
    <w:p>
      <w:pPr>
        <w:spacing w:after="0" w:line="3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300" w:right="40" w:firstLine="426"/>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194"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which are part of a group of severe diseases, known as porphyrias, caused by defects in the heme biosynthesis pathway that cause an accumulation of toxic metabolites referred to as porphyrins. In June and December 2023, we presented interim data from BEACON, a Phase 2 open-label, parallel-dose clinical trial of bitopertin in EPP and XLP patients conducted at sites in Australia. In April 2024, we presented topline data from AURORA, a Phase 2, randomized, double-blind, placebo-controlled clinical trial of bitopertin in EPP patients conducted at sites in the United States. Additional analyses of the BEACON and AURORA trials were presented in June 2024 and in December 2024. All participants in AURORA and BEACON are eligible to participate in HELIOS, an ongoing open-label, long-term extension study of bitopertin in EPP and XLP. We are also planning APOLLO, a randomized, double-blind, placebo-controlled clinical trial of bitopertin in EPP and XLP patients. As a result of our end-of-Phase 2 meeting with the U.S. Food &amp; Drug Administration, or the FDA, the FDA agreed with the potential for reduction of protoporphyrin IX, or PPIX, to serve as a surrogate endpoint to support a potential accelerated approval of bitopertin in EPP and XLP. Under the FDA’s Accelerated Approval Program, we would have the potential to submit a New Drug Application, or NDA, for bitopertin in EPP and XLP based on our existing data, and we would be required to conduct a post-marketing confirmatory clinical trial. As a result of our Type C meeting with the FDA in December 2024, we aligned with the FDA on the design of our APOLLO post-marketing confirmatory trial. We plan to initiate the APOLLO trial by mid-2025 and anticipate submitting an NDA for</w:t>
      </w:r>
    </w:p>
    <w:p>
      <w:pPr>
        <w:spacing w:after="0" w:line="31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70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80"/>
        <w:spacing w:after="0" w:line="266" w:lineRule="auto"/>
        <w:rPr>
          <w:sz w:val="20"/>
          <w:szCs w:val="20"/>
          <w:color w:val="auto"/>
        </w:rPr>
      </w:pPr>
      <w:r>
        <w:rPr>
          <w:rFonts w:ascii="Times New Roman" w:cs="Times New Roman" w:eastAsia="Times New Roman" w:hAnsi="Times New Roman"/>
          <w:sz w:val="18"/>
          <w:szCs w:val="18"/>
          <w:color w:val="auto"/>
        </w:rPr>
        <w:t>bitopertin in EPP and XLP in the second half of 2025 under the Accelerated Approval Program. We have also entered into a collaborative research and development agreement with the National Institutes of Health, or NIH, to conduct an NIH-sponsored clinical trial of bitopertin in DBA, which trial began in July 2023. We are planning additional trials of bitopertin in other indications.</w:t>
      </w:r>
    </w:p>
    <w:p>
      <w:pPr>
        <w:spacing w:after="0" w:line="176"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and was in-licensed from AbbVie Deutschland GmbH &amp; Co. KG, or AbbVie. DISC-0974 is designed to suppress hepcidin production and increase serum iron levels. We submitted an Investigational New Drug application, or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as well as additional interim data for anemia of MF in June 2024 and non-dialysis dependent CKD and anemia in October 2024, which additional interim data included safety and changes in hepcidin, iron, and hemoglobin levels for additional patients, as well as longer follow-up. In December 2024, we presented additional analyses of the Phase 1b study in anemia of MF, and initiated a Phase 2 open-label clinical trial in patients with anemia of MF. We are also planning additional trials of DISC-0974 in other anemias of inflammation. In addition, we are developing a preclinical anti-hemojuvelin, or HJV, monoclonal antibody, DISC-0998, which also targets hepcidin suppression and was in-licensed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187"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a Phase 1 clinical trial in healthy adult volunteers was initiated in October 2023. Interim data was presented from the single-ascending dose (SAD) portion of the Phase 1 clinical trial of DISC-3405 in healthy volunteers in June 2024. We presented data from the multiple-ascending dose (MAD) portion of the Phase 1 healthy volunteer study of DISC-3405 in December 2024. We expect to develop DISC-3405 for the treatment of PV and other hematologic disorders, and plan to initiate a Phase 2 clinical trial of DISC-3405 in PV in the first half of 2025.</w:t>
      </w:r>
    </w:p>
    <w:p>
      <w:pPr>
        <w:spacing w:after="0" w:line="200" w:lineRule="exact"/>
        <w:rPr>
          <w:sz w:val="20"/>
          <w:szCs w:val="20"/>
          <w:color w:val="auto"/>
        </w:rPr>
      </w:pPr>
    </w:p>
    <w:p>
      <w:pPr>
        <w:spacing w:after="0" w:line="2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300" w:right="480" w:firstLine="426"/>
        <w:spacing w:after="0" w:line="266" w:lineRule="auto"/>
        <w:rPr>
          <w:sz w:val="20"/>
          <w:szCs w:val="20"/>
          <w:color w:val="auto"/>
        </w:rPr>
      </w:pPr>
      <w:r>
        <w:rPr>
          <w:rFonts w:ascii="Times New Roman" w:cs="Times New Roman" w:eastAsia="Times New Roman" w:hAnsi="Times New Roman"/>
          <w:sz w:val="18"/>
          <w:szCs w:val="18"/>
          <w:color w:val="auto"/>
        </w:rPr>
        <w:t>On January 21, 2025, we announced positive feedback from our Type C meeting with the FDA to discuss the APOLLO post-marketing confirmatory trial for bitopertin in EPP. As a result of the meeting, we aligned with the FDA on the design of the APOLLO post-marketing confirmatory trial. Key features of the trial include:</w:t>
      </w:r>
    </w:p>
    <w:p>
      <w:pPr>
        <w:spacing w:after="0" w:line="81" w:lineRule="exact"/>
        <w:rPr>
          <w:sz w:val="20"/>
          <w:szCs w:val="20"/>
          <w:color w:val="auto"/>
        </w:rPr>
      </w:pPr>
    </w:p>
    <w:p>
      <w:pPr>
        <w:ind w:left="1240" w:right="10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Co-primary endpoints of average monthly total time in sunlight without pain between 10:00 and 18:00 during the last month of the 6-month treatment period and percent change from baseline in whole blood metal-free PPIX after 6 months of treatment;</w:t>
      </w:r>
    </w:p>
    <w:p>
      <w:pPr>
        <w:spacing w:after="0" w:line="67" w:lineRule="exact"/>
        <w:rPr>
          <w:rFonts w:ascii="Times New Roman" w:cs="Times New Roman" w:eastAsia="Times New Roman" w:hAnsi="Times New Roman"/>
          <w:sz w:val="18"/>
          <w:szCs w:val="18"/>
          <w:color w:val="auto"/>
        </w:rPr>
      </w:pPr>
    </w:p>
    <w:p>
      <w:pPr>
        <w:ind w:left="1240" w:right="46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measures of efficacy such as occurrence of phototoxic reactions, cumulative total pain-free time in sunlight, patient global impression of change (PGIC), and time to prodrome;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60 mg dose of bitopertin and 6-month treatment duration;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of patients aged 12+ with EPP including XLP;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Double-blind, placebo-controlled study with ~150 patients randomized 1:1.</w:t>
      </w:r>
    </w:p>
    <w:p>
      <w:pPr>
        <w:spacing w:after="0" w:line="34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9787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29787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We plan to initiate the APOLLO trial by mid-2025 and will include sites in the United States, Canada, Europe and Australia. We anticipate submitting an NDA for bitopertin in EPP and XLP in the second half of 2025 under the Accelerated Approval Program. Based on the anticipated timing of our NDA submission, we expect enrollment for the APOLLO trial to be well underway by the Prescription Drug User Fee Act date for accelerated approval, if granted.</w:t>
      </w:r>
    </w:p>
    <w:p>
      <w:pPr>
        <w:spacing w:after="0" w:line="3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CORPORATE HISTORY AND INFORMATION</w:t>
      </w:r>
    </w:p>
    <w:p>
      <w:pPr>
        <w:spacing w:after="0" w:line="229" w:lineRule="exact"/>
        <w:rPr>
          <w:sz w:val="20"/>
          <w:szCs w:val="20"/>
          <w:color w:val="auto"/>
        </w:rPr>
      </w:pPr>
    </w:p>
    <w:p>
      <w:pPr>
        <w:ind w:left="300" w:right="120" w:firstLine="426"/>
        <w:spacing w:after="0" w:line="255" w:lineRule="auto"/>
        <w:rPr>
          <w:sz w:val="20"/>
          <w:szCs w:val="20"/>
          <w:color w:val="auto"/>
        </w:rPr>
      </w:pPr>
      <w:r>
        <w:rPr>
          <w:rFonts w:ascii="Times New Roman" w:cs="Times New Roman" w:eastAsia="Times New Roman" w:hAnsi="Times New Roman"/>
          <w:sz w:val="18"/>
          <w:szCs w:val="18"/>
          <w:color w:val="auto"/>
        </w:rPr>
        <w:t>Disc Medicine, Inc. was originally incorporated under the laws of the state of Delaware in October 2017, and changed its name to Disc Medicine Opco, Inc., or Disc Opco, in December 2022. On December 29, 2022, we completed our business combination with Gemini Therapeutics, Inc., or Gemini, in accordance with the terms of the Agreement and Plan of Merger and Reorganization, dated as of August 9, 2022, or the Merger Agreement, by and among Gemini, us and Gemstone Merger Sub, Inc., a Delaware corporation and a wholly owned subsidiary of Gemini, Merger Sub, pursuant to which, among other matters, Merger Sub merged with and into Disc Opco, with Disc Opco continuing as a wholly owned subsidiary of us and the surviving corporation of the merger, or the Merger. In connection with the closing of the Merger, Gemini changed its name to Disc Medicine, Inc.</w:t>
      </w:r>
    </w:p>
    <w:p>
      <w:pPr>
        <w:spacing w:after="0" w:line="189"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321 Arsenal Street, Suite 101, Watertown, MA 02472, and our telephone number is (617) 674-9274. We maintain an Internet website at the following address: www.discmedicine.com. Information contained on our website is not incorporated by reference into this prospectus supplement or the accompanying prospectus, and you should not consider any information on, or that can be accessed from, our website as part of this prospectus supplement or the accompanying prospectus.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21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4216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Common stock offered by us</w:t>
      </w:r>
      <w:r>
        <w:rPr>
          <w:sz w:val="20"/>
          <w:szCs w:val="20"/>
          <w:color w:val="auto"/>
        </w:rPr>
        <w:tab/>
      </w:r>
      <w:r>
        <w:rPr>
          <w:rFonts w:ascii="Times New Roman" w:cs="Times New Roman" w:eastAsia="Times New Roman" w:hAnsi="Times New Roman"/>
          <w:sz w:val="17"/>
          <w:szCs w:val="17"/>
          <w:color w:val="auto"/>
        </w:rPr>
        <w:t>3,918,182 shares.</w:t>
      </w:r>
    </w:p>
    <w:p>
      <w:pPr>
        <w:spacing w:after="0" w:line="26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Pre-funded warrants offered by us</w:t>
      </w:r>
      <w:r>
        <w:rPr>
          <w:sz w:val="20"/>
          <w:szCs w:val="20"/>
          <w:color w:val="auto"/>
        </w:rPr>
        <w:tab/>
      </w:r>
      <w:r>
        <w:rPr>
          <w:rFonts w:ascii="Times New Roman" w:cs="Times New Roman" w:eastAsia="Times New Roman" w:hAnsi="Times New Roman"/>
          <w:sz w:val="17"/>
          <w:szCs w:val="17"/>
          <w:color w:val="auto"/>
        </w:rPr>
        <w:t>We are also offering, in lieu of common stock to certain investors that so choose,</w:t>
      </w:r>
    </w:p>
    <w:p>
      <w:pPr>
        <w:spacing w:after="0" w:line="27" w:lineRule="exact"/>
        <w:rPr>
          <w:sz w:val="20"/>
          <w:szCs w:val="20"/>
          <w:color w:val="auto"/>
        </w:rPr>
      </w:pPr>
    </w:p>
    <w:p>
      <w:pPr>
        <w:ind w:left="4340" w:right="240"/>
        <w:spacing w:after="0" w:line="251" w:lineRule="auto"/>
        <w:rPr>
          <w:sz w:val="20"/>
          <w:szCs w:val="20"/>
          <w:color w:val="auto"/>
        </w:rPr>
      </w:pPr>
      <w:r>
        <w:rPr>
          <w:rFonts w:ascii="Times New Roman" w:cs="Times New Roman" w:eastAsia="Times New Roman" w:hAnsi="Times New Roman"/>
          <w:sz w:val="18"/>
          <w:szCs w:val="18"/>
          <w:color w:val="auto"/>
        </w:rPr>
        <w:t>pre-funded warrants to purchase 181,818 shares of our common stock. Each pre-funded warrant is exercisable for one share of our common stock. The purchase price of each pre-funded warrant will equal the price per share at which shares of common stock are being sold to the public in this offering, less $0.0001, which is the exercise price of each pre-funded warrant. The pre-funded warrants do not expire, and each pre-funded warrant will be exercisable at any time after the date of issuance, subject to an ownership limitation and in some cases clearance under the HSR Act. See “Description of Pre-Funded Warrants.” This prospectus supplement also relates to the offering of the shares of our common stock issuable upon exercise of the pre-funded warrants</w:t>
      </w:r>
    </w:p>
    <w:p>
      <w:pPr>
        <w:spacing w:after="0" w:line="220"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Underwriters’ option to purchase additional shares</w:t>
      </w:r>
      <w:r>
        <w:rPr>
          <w:sz w:val="20"/>
          <w:szCs w:val="20"/>
          <w:color w:val="auto"/>
        </w:rPr>
        <w:tab/>
      </w:r>
      <w:r>
        <w:rPr>
          <w:rFonts w:ascii="Times New Roman" w:cs="Times New Roman" w:eastAsia="Times New Roman" w:hAnsi="Times New Roman"/>
          <w:sz w:val="17"/>
          <w:szCs w:val="17"/>
          <w:color w:val="auto"/>
        </w:rPr>
        <w:t>We have granted the underwriters an option to purchase up to an additional 615,000 shares</w:t>
      </w:r>
    </w:p>
    <w:p>
      <w:pPr>
        <w:spacing w:after="0" w:line="27" w:lineRule="exact"/>
        <w:rPr>
          <w:sz w:val="20"/>
          <w:szCs w:val="20"/>
          <w:color w:val="auto"/>
        </w:rPr>
      </w:pPr>
    </w:p>
    <w:p>
      <w:pPr>
        <w:ind w:left="4340" w:right="340"/>
        <w:spacing w:after="0" w:line="290" w:lineRule="auto"/>
        <w:rPr>
          <w:sz w:val="20"/>
          <w:szCs w:val="20"/>
          <w:color w:val="auto"/>
        </w:rPr>
      </w:pPr>
      <w:r>
        <w:rPr>
          <w:rFonts w:ascii="Times New Roman" w:cs="Times New Roman" w:eastAsia="Times New Roman" w:hAnsi="Times New Roman"/>
          <w:sz w:val="17"/>
          <w:szCs w:val="17"/>
          <w:color w:val="auto"/>
        </w:rPr>
        <w:t>of our common stock from us, at the public offering price, less the underwriting discounts and commissions, for a period of 30 days after the date of this prospectus supplement.</w:t>
      </w:r>
    </w:p>
    <w:p>
      <w:pPr>
        <w:sectPr>
          <w:pgSz w:w="11900" w:h="16838" w:orient="portrait"/>
          <w:cols w:equalWidth="0" w:num="1">
            <w:col w:w="11140"/>
          </w:cols>
          <w:pgMar w:left="320" w:top="455" w:right="439" w:bottom="1440" w:gutter="0" w:footer="0" w:header="0"/>
        </w:sectPr>
      </w:pPr>
    </w:p>
    <w:p>
      <w:pPr>
        <w:spacing w:after="0" w:line="184" w:lineRule="exact"/>
        <w:rPr>
          <w:sz w:val="20"/>
          <w:szCs w:val="20"/>
          <w:color w:val="auto"/>
        </w:r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Common stock to be outstanding immediately after this offering</w:t>
      </w:r>
    </w:p>
    <w:p>
      <w:pPr>
        <w:spacing w:after="0" w:line="200" w:lineRule="exact"/>
        <w:rPr>
          <w:sz w:val="20"/>
          <w:szCs w:val="20"/>
          <w:color w:val="auto"/>
        </w:rPr>
      </w:pP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33,666,336 shares (or 34,281,336 shares, if the underwriters exercise their option in full to purchase additional shares), in each case, assuming no exercise of any pre-funded warrants offered and sold by us.</w:t>
      </w:r>
    </w:p>
    <w:p>
      <w:pPr>
        <w:spacing w:after="0" w:line="203"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together with our existing cash, cash equivalents and marketable securities, to fund research and clinical development of our current or additional product candidates, support the potential commercialization of bitopertin for EPP and XLP,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See “Use of Proceeds” on page S-12 of this prospectus supplement.</w:t>
      </w:r>
    </w:p>
    <w:p>
      <w:pPr>
        <w:spacing w:after="0" w:line="200" w:lineRule="exact"/>
        <w:rPr>
          <w:sz w:val="20"/>
          <w:szCs w:val="20"/>
          <w:color w:val="auto"/>
        </w:rPr>
      </w:pPr>
    </w:p>
    <w:p>
      <w:pPr>
        <w:sectPr>
          <w:pgSz w:w="11900" w:h="16838" w:orient="portrait"/>
          <w:cols w:equalWidth="0" w:num="2">
            <w:col w:w="4000" w:space="340"/>
            <w:col w:w="6800"/>
          </w:cols>
          <w:pgMar w:left="320" w:top="455" w:right="439" w:bottom="1440" w:gutter="0" w:footer="0" w:header="0"/>
          <w:type w:val="continuous"/>
        </w:sectPr>
      </w:pPr>
    </w:p>
    <w:p>
      <w:pPr>
        <w:spacing w:after="0" w:line="1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4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Your investment involves a high degree of risk. You should read the “Risk Factors” section</w:t>
            </w:r>
          </w:p>
        </w:tc>
      </w:tr>
      <w:tr>
        <w:trPr>
          <w:trHeight w:val="216"/>
        </w:trPr>
        <w:tc>
          <w:tcPr>
            <w:tcW w:w="2620" w:type="dxa"/>
            <w:vAlign w:val="bottom"/>
          </w:tcPr>
          <w:p>
            <w:pPr>
              <w:spacing w:after="0"/>
              <w:rPr>
                <w:sz w:val="18"/>
                <w:szCs w:val="18"/>
                <w:color w:val="auto"/>
              </w:rPr>
            </w:pPr>
          </w:p>
        </w:tc>
        <w:tc>
          <w:tcPr>
            <w:tcW w:w="84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of this prospectus supplement beginning on page S-6 and in our Quarterly Report on</w:t>
            </w:r>
          </w:p>
        </w:tc>
      </w:tr>
      <w:tr>
        <w:trPr>
          <w:trHeight w:val="216"/>
        </w:trPr>
        <w:tc>
          <w:tcPr>
            <w:tcW w:w="2620" w:type="dxa"/>
            <w:vAlign w:val="bottom"/>
          </w:tcPr>
          <w:p>
            <w:pPr>
              <w:spacing w:after="0"/>
              <w:rPr>
                <w:sz w:val="18"/>
                <w:szCs w:val="18"/>
                <w:color w:val="auto"/>
              </w:rPr>
            </w:pPr>
          </w:p>
        </w:tc>
        <w:tc>
          <w:tcPr>
            <w:tcW w:w="84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Form 10-Q for the quarter ended September 30, 2024, as well as the other documents</w:t>
            </w:r>
          </w:p>
        </w:tc>
      </w:tr>
      <w:tr>
        <w:trPr>
          <w:trHeight w:val="216"/>
        </w:trPr>
        <w:tc>
          <w:tcPr>
            <w:tcW w:w="2620" w:type="dxa"/>
            <w:vAlign w:val="bottom"/>
          </w:tcPr>
          <w:p>
            <w:pPr>
              <w:spacing w:after="0"/>
              <w:rPr>
                <w:sz w:val="18"/>
                <w:szCs w:val="18"/>
                <w:color w:val="auto"/>
              </w:rPr>
            </w:pPr>
          </w:p>
        </w:tc>
        <w:tc>
          <w:tcPr>
            <w:tcW w:w="84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incorporated by reference in this prospectus supplement and the accompanying prospectus</w:t>
            </w:r>
          </w:p>
        </w:tc>
      </w:tr>
      <w:tr>
        <w:trPr>
          <w:trHeight w:val="234"/>
        </w:trPr>
        <w:tc>
          <w:tcPr>
            <w:tcW w:w="2620" w:type="dxa"/>
            <w:vAlign w:val="bottom"/>
          </w:tcPr>
          <w:p>
            <w:pPr>
              <w:spacing w:after="0"/>
              <w:rPr>
                <w:sz w:val="20"/>
                <w:szCs w:val="20"/>
                <w:color w:val="auto"/>
              </w:rPr>
            </w:pPr>
          </w:p>
        </w:tc>
        <w:tc>
          <w:tcPr>
            <w:tcW w:w="84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for a discussion of factors to consider carefully before deciding to invest in our securities.</w:t>
            </w:r>
          </w:p>
        </w:tc>
      </w:tr>
      <w:tr>
        <w:trPr>
          <w:trHeight w:val="172"/>
        </w:trPr>
        <w:tc>
          <w:tcPr>
            <w:tcW w:w="262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tcPr>
          <w:p>
            <w:pPr>
              <w:spacing w:after="0"/>
              <w:rPr>
                <w:sz w:val="14"/>
                <w:szCs w:val="14"/>
                <w:color w:val="auto"/>
              </w:rPr>
            </w:pPr>
          </w:p>
        </w:tc>
      </w:tr>
      <w:tr>
        <w:trPr>
          <w:trHeight w:val="361"/>
        </w:trPr>
        <w:tc>
          <w:tcPr>
            <w:tcW w:w="2620" w:type="dxa"/>
            <w:vAlign w:val="bottom"/>
          </w:tcPr>
          <w:p>
            <w:pPr>
              <w:spacing w:after="0"/>
              <w:rPr>
                <w:sz w:val="24"/>
                <w:szCs w:val="24"/>
                <w:color w:val="auto"/>
              </w:rPr>
            </w:pPr>
          </w:p>
        </w:tc>
        <w:tc>
          <w:tcPr>
            <w:tcW w:w="840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140"/>
          </w:cols>
          <w:pgMar w:left="320" w:top="455" w:right="4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222250</wp:posOffset>
            </wp:positionV>
            <wp:extent cx="6998970" cy="45129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4512945"/>
                    </a:xfrm>
                    <a:prstGeom prst="rect">
                      <a:avLst/>
                    </a:prstGeom>
                    <a:noFill/>
                  </pic:spPr>
                </pic:pic>
              </a:graphicData>
            </a:graphic>
          </wp:anchor>
        </w:drawing>
      </w:r>
    </w:p>
    <w:p>
      <w:pPr>
        <w:sectPr>
          <w:pgSz w:w="11900" w:h="16838" w:orient="portrait"/>
          <w:cols w:equalWidth="0" w:num="1">
            <w:col w:w="10880"/>
          </w:cols>
          <w:pgMar w:left="320" w:top="455" w:right="69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Nasdaq Global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“IRON”. We do not intend to list the pre-funded warrants on the Nasdaq Global Market or any other national securities exchange or nationally recognized trading system.</w:t>
      </w:r>
    </w:p>
    <w:p>
      <w:pPr>
        <w:spacing w:after="0" w:line="162" w:lineRule="exact"/>
        <w:rPr>
          <w:sz w:val="20"/>
          <w:szCs w:val="20"/>
          <w:color w:val="auto"/>
        </w:rPr>
      </w:pPr>
    </w:p>
    <w:p>
      <w:pPr>
        <w:sectPr>
          <w:pgSz w:w="11900" w:h="16838" w:orient="portrait"/>
          <w:cols w:equalWidth="0" w:num="2">
            <w:col w:w="3620" w:space="720"/>
            <w:col w:w="6540"/>
          </w:cols>
          <w:pgMar w:left="320" w:top="455" w:right="699" w:bottom="1440" w:gutter="0" w:footer="0" w:header="0"/>
          <w:type w:val="continuous"/>
        </w:sectPr>
      </w:pPr>
    </w:p>
    <w:p>
      <w:pPr>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immediately after this offering as shown above is based on 29,748,154 shares outstanding as of September 30, 2024. The number of shares outstanding as of September 30, 2024 as used throughout this prospectus supplement, unless otherwise indicated, excludes:</w:t>
      </w:r>
    </w:p>
    <w:p>
      <w:pPr>
        <w:spacing w:after="0" w:line="81" w:lineRule="exact"/>
        <w:rPr>
          <w:sz w:val="20"/>
          <w:szCs w:val="20"/>
          <w:color w:val="auto"/>
        </w:rPr>
      </w:pPr>
    </w:p>
    <w:p>
      <w:pPr>
        <w:ind w:left="1240" w:right="20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2,972,432 shares of common stock issuable upon the exercise of stock options outstanding as of September 30, 2024, at a weighted average exercise price of $25.29 per share;</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143,490 shares of common stock issuable upon the exercise of stock options granted subsequent to September 30, 2024, at a weighted average exercise price of $54.95 per share;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429,522 shares of common stock issuable upon the vesting of restricted stock awards outstanding as of September 30, 2024;</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95,649 shares of common stock issuable upon the vesting of restricted stock awards granted subsequent to September 30, 2024;</w:t>
      </w:r>
    </w:p>
    <w:p>
      <w:pPr>
        <w:spacing w:after="0" w:line="130"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1,634,822 shares of common stock available for issuance under our Amended and Restated 2021 Stock Option and Incentive Plan as of September 30, 2024;</w:t>
      </w:r>
    </w:p>
    <w:p>
      <w:pPr>
        <w:spacing w:after="0" w:line="67"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254,926 shares of common stock available for future issuance under our Amended and Restated 2021 Employee Stock Purchase Plan as of September 30, 2024;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204,081 shares of common stock issuable upon the exercise of pre-funded warrants outstanding as of September 30, 2024.</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w:t>
      </w:r>
    </w:p>
    <w:p>
      <w:pPr>
        <w:spacing w:after="0" w:line="131" w:lineRule="exact"/>
        <w:rPr>
          <w:sz w:val="20"/>
          <w:szCs w:val="20"/>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outstanding stock options or pre-funded warrants described above;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by the underwriters of their option to purchase additional shares of our common stock;</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pre-funded warrants that we are offering in this offering in lieu of common stock to certain investors; and</w:t>
      </w:r>
    </w:p>
    <w:p>
      <w:pPr>
        <w:spacing w:after="0" w:line="130" w:lineRule="exact"/>
        <w:rPr>
          <w:rFonts w:ascii="Times New Roman" w:cs="Times New Roman" w:eastAsia="Times New Roman" w:hAnsi="Times New Roman"/>
          <w:sz w:val="18"/>
          <w:szCs w:val="18"/>
          <w:color w:val="auto"/>
        </w:rPr>
      </w:pPr>
    </w:p>
    <w:p>
      <w:pPr>
        <w:ind w:left="1240" w:right="80" w:hanging="415"/>
        <w:spacing w:after="0" w:line="224"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the potential issuance of up to $200.0 million of common stock that remains available for sale as of the date of this prospectus supplement under our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or Sales Agreement, with Cantor Fitzgerald &amp; Co. dated November 15, 2024.</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880"/>
          </w:cols>
          <w:pgMar w:left="320" w:top="455" w:right="6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Your investment in our common stock or pre-funded warrants involves a high degree of risk. Before deciding whether to invest in our common stock or pre-funded warrants, you should carefully consider the risks discussed under the section captioned “Risk Factors” contained in our Quarterly Report on Form 10-Q for the quarter ended September 30, 2024 which is incorporated by reference in this prospectus supplement and the accompanying prospectus in its entirety, together with other information in this prospectus supplement, the accompanying prospectus and in our other filings with the SEC that we have incorporated by reference herein and therein. If any of these risks actually occurs, our business, financial condition, results of operations or cash flow could be seriously harmed. This could cause the trading price of our common stock to decline, resulting in a loss of all or part of your investment.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shares of our common stock or pre-funded warrants sold in this offering, you will experience immediate and substantial dilution. In addition, we may issue additional equity or convertible securities in the future, which may result in additional dilution to you.</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Since the price per share of our common stock being offered is higher than the net tangible book value per share of our common stock, you will suffer dilution with respect to the net tangible book value of the shares of common stock or pre-funded warrants you purchase in this offering. Based on the public offering price of $55.00 per share of our common stock and $54.9999 per pre-funded warrant and our net tangible book value as of September 30, 2024, if you purchase shares of common stock or pre-funded warrants in this offering, you will suffer immediate dilution of $34.82 per share with respect to the net tangible book value of the common stock. For a more detailed discussion of the foregoing, see the section entitled “Dilution” below. To the extent outstanding stock options or pre-funded warrants are exercised, or restricted stock units vest and settle, there will be further dilution to investors. In addition, to the extent we need to raise additional capital in the future, under our Sales Agreement with Cantor Fitzgerald &amp; Co. or otherwise, and we issue additional shares of common stock or securities convertible or exchangeable for our common stock, our then existing stockholders may experience dilution and the new securities may have rights senior to those of our common stock offered in this offering.</w:t>
      </w:r>
    </w:p>
    <w:p>
      <w:pPr>
        <w:spacing w:after="0" w:line="292"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use them in ways that you and other stockholders may not approve.</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currently expect to use the net proceeds of this offering to fund research and clinical development of our current or additional product candidates, support the potential commercialization of bitopertin for EPP and XLP,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Because of the number and variability of factors that will determine our use of the net proceeds from this offering, their ultimate use may vary substantially from their currently intended use. Our management will have broad discretion in the application of the net proceeds from this offering and you will not have the opportunity as part of your investment decision to assess whether the net proceeds are being used appropriately. Our management might not spend the net proceeds in ways that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 See “Use of Proceeds.”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To raise additional capital, we may in the future offer additional shares of our common stock or other securities convertible into or exchangeable for our common stock at prices that may not be the same as the price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Further, the exercise of pre-funded warrants sold in this offering will result in further dilution to the holders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after this offering could cause our stock price to fall.</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We had 29,748,154 shares of common stock outstanding as of September 30, 2024. We filed an automatic registration statement on Form S-3 (Registration No. 333-281359) that became automatically effective on August 8, 2024, and which registers the offer and sale from time to time of a variety of securities, including common stock, preferred stock, debt securities, warrants or units pursuant to one or more offerings at prices and terms to be determined at the time of sale. To the extent shares are sold into the market pursuant to this registration statement on Form S-3, under Rule 144 of the Securities Act or otherwise, particularly in substantial quantities, the market price of our common stock could decline.</w:t>
      </w:r>
    </w:p>
    <w:p>
      <w:pPr>
        <w:spacing w:after="0" w:line="189"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pre-funded warrants, or the perception that such sales may occur, could adversely affect the market price of our common stock.</w:t>
      </w:r>
    </w:p>
    <w:p>
      <w:pPr>
        <w:spacing w:after="0" w:line="15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may raise money through additional public or private offerings of our equity securities or equity-linked securities. For example, in November 2024, we entered into the Sales Agreement pursuant to which we may offer and sell, from time to time to or through Cantor Fitzgerald &amp; Co., acting as our sales agent, shares of common stock having an aggregate offering price of up to $200.0 million. As of the date of this prospectus supplement, we may issue and sell shares of our common stock having an aggregate offering price of up to $200.0 million under our “at-the-market” offering program. Any sales of our equity or equity-linked securities could have a material adverse effect on the market price of our common stock.</w:t>
      </w:r>
    </w:p>
    <w:p>
      <w:pPr>
        <w:spacing w:after="0" w:line="183"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In connection with this offering, we and our directors and executive officers have entered into lock-up agreements covering some or all of their equity ownership for a period of 45 days following this offering. The lock-up agreements are subject to various exceptions, and we and our directors and executive officers may be released from the lock-up agreements prior to the expiration of the lock-up period at the sole discretion of Jefferies LLC and Leerink Partners LLC. See the section entitled “Underwriting.” Upon expiration or earlier release of the lock-up agreements, we and our directors and executive officers may sell previously locked-up shares into the market, which could adversely affect the market price of shares of our common stock.</w:t>
      </w:r>
    </w:p>
    <w:p>
      <w:pPr>
        <w:spacing w:after="0" w:line="168"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we have a significant number of stock options and restricted stock units outstanding and our board of directors intends to grant additional stock options, and may also choose to issue additional restricted stock units, common stock, or securities convertible into or exchangeable for common stock, in the future in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connection with a financing, an acquisition, employee arrangements or otherwise. In the event that the outstanding options are exercised or that we make additional issuances of common stock or other convertible or exchangeable securities, you could experience additional dilution. Furthermore, we cannot assure you that we will be able to issue shares or other securities in any other offering at a price per share that is equal to or greater than the price per share paid by investors in this offering, and investors purchasing our securities in the future may have rights superior to investors purchasing shares in this offering.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could be highly volatile, and purchasers of our common stock could incur substantial losses.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volatility of our common stock may affect the price at which you could sell the shares of our common stock, and the sale of substantial amounts of our common stock could adversely affect the price of our common stock. Our stock price is likely to continue to be volatile and subject to significant price and volume fluctuations in response to market and other factors, including those described in the sections captioned “Risk Factors” in this prospectus supplement, the accompanying prospectus and the documents incorporated by reference herein and therein.</w:t>
      </w:r>
    </w:p>
    <w:p>
      <w:pPr>
        <w:spacing w:after="0" w:line="180"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As a result, you may not be able to sell your shares of common stock at or above the price at which you purchase them. In addition, the stock market in general, and the Nasdaq Global Market and the stock of biotechnology and emerging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6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stock market in general and the market for pharmaceutical and biotechnology companies in particular have experienced extreme volatility that has often been unrelated to the operating performance of particular companies. The market price for our common stock may be influenced by many factors, including:</w:t>
      </w:r>
    </w:p>
    <w:p>
      <w:pPr>
        <w:spacing w:after="0" w:line="8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equity securities pursuant to a future offering, including issuances of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our product candidates;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developments, including announcements by competitors of new products or services or significant contracts, acquisitions, strategic partnerships, joint ventures, or capital commitments;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quarterly operating results or those of companies that are perceived to be similar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depth and liquidity of the market for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our company and the pharmaceutical and biotechnology industries generally;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success of competitive products or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or failure to obtain, regulatory approvals, including approvals of NDAs from the FDA and our ability to use accelerated regulatory pathways;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corporate strategy and goals;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our product candidates;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technologies or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or announcements regarding transactions involving our company 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 other national conditions;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in this offering.</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There is no public trading market for the pre-funded warrants being offered in this offering, and we do not expect a market to develop. In addition, we do not intend to list the pre-funded warrants on the Nasdaq Global Market or any other national securities exchange or nationally recognized trading system. Without an active trading market, the liquidity of the pre-funded warrants will be limited.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not receive a significant amount or any additional funds upon the exercise of the pre-funded warrants.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pre-funded warrant is exercisable for $0.0001 per share of common stock underlying such pre-funded warrant, which may be paid by way of a cashless exercise, in which the holder would receive upon such exercise the net number of shares of common stock determined according to the formula set forth in the pre-funded warrant. Accordingly, we will not receive a significant amount of additional funds (if any) upon the exercise of the pre-funded warrants.</w:t>
      </w:r>
    </w:p>
    <w:p>
      <w:pPr>
        <w:spacing w:after="0" w:line="2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Except for the right to participate in certain dividends and distributions, holders of the pre-funded warrants will have no rights as stockholders until such holders exercise their pre-funded warrants and acquire shares of our common stock.</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Until holders of the pre-funded warrants exercise their pre-funded warrants and acquire shares of our common stock, such holders will have no rights with respect to the shares of common stock underlying such pre-funded warrants, except that the holder of a pre-funded warrant shall be entitled to participate in certain distributions, including cash dividends, if any, to all holders of our common stock for no consideration, subject to certain ownership limitations and in some cases clearance under the HSR Act. Upon exercise of the pre-funded warrants, the holders will be entitled to exercise the rights of a holder of common stock only as to matters for which the record date occurs after the exercise date. See “Description of Pre-Funded Warrants—No Rights as a Stockholder.”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our common stock may not be permitted to exercise pre-funded warrants that they hold.</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holder of a pre-funded warrant will not be entitled to exercise any portion of any pre-funded warrant which, upon giving effect to such exercise, would cause the aggregate number of shares of our common stock beneficially owned by the holder (together with its affiliates and other attribution parties, as defined under “Description of Pre-Funded Warrants—Exercise Limitations”) to exceed 24.99%, or if the purchaser elected prior to the issuance of pre-funded warrants to have the initial exercise limitation set at any of 4.99%, 9.99% or 19.99% of our outstanding common stock, such lower threshold, of the number of shares of our common stock that would be outstanding immediately after giving effect to the exercise. However, subject to certain limitations,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any holder may increase or decrease such percentage to any other percentage not in excess of 24.99% upon at least 61 days’ prior notice from the holder to us. In addition, where a holder notifies us that a filing under the HSR Act is required, we may not effect the exercise of any portion of any pre-funded warrant, and a holder will not be entitled to exercise any portion of any pre-funded warrant, which, upon giving effect to such exercise, would cause the aggregate number of shares of our common stock beneficially owned by the holder (together with its attribution parties) to equal or exceed the HSR Threshold (as defined below), until the applicable waiting period under the HSR Act has expired.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plan to retain all of our future earnings, if any, to finance the operation, development and growth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deems relevant. Our ability to pay dividends on our common stock is restricted by the terms of our loan and security agreement with Hercules Capital, Inc., and may be restricted by the terms of any of our future indebtedness.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to us from the sale of the shares of common stock and pre-funded warrants to purchase shares of common stock that we are offering will be approximately $211.6 million, or approximately $243.3 million if the option to purchase additional shares is exercised in full by the underwriters, after deducting underwriting discounts and commissions and estimated offering expenses payable by us. We will receive nominal proceeds, if any, from the exercise of the pre-funded warrants.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of September 30, 2024, we had cash, cash equivalents and marketable securities of $487.4 million. We currently intend to use the net proceeds from this offering, together with our existing cash, cash equivalents and marketable securities, to fund research and clinical development of our current or additional product candidates, support the potential commercialization of bitopertin for EPP and XLP,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w:t>
      </w:r>
    </w:p>
    <w:p>
      <w:pPr>
        <w:spacing w:after="0" w:line="183"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expected use of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feedback from regulatory authorities, the status of and results from clinical trials, as well as any collaborations that we may enter into with third parties for our product candidates, and any unforeseen cash needs. As a result, our management will retain broad discretion over the allocation of the net proceeds from this offering. We may find it necessary or advisable to use the net proceeds from this offering for other purposes, and we will have broad discretion in the application of net proceeds. Pending use of the proceeds as described above, we intend to invest the proceeds in a variety of capital preservation instruments, including high quality, investment grade instruments, certificates of deposit or direct or guaranteed obligations of the U.S. government, or may hold such proceeds as cash, until they are used for their stated purpose.</w:t>
      </w:r>
    </w:p>
    <w:p>
      <w:pPr>
        <w:spacing w:after="0" w:line="188" w:lineRule="exact"/>
        <w:rPr>
          <w:sz w:val="20"/>
          <w:szCs w:val="20"/>
          <w:color w:val="auto"/>
        </w:rPr>
      </w:pPr>
    </w:p>
    <w:p>
      <w:pPr>
        <w:ind w:left="120" w:right="140" w:firstLine="440"/>
        <w:spacing w:after="0" w:line="274" w:lineRule="auto"/>
        <w:rPr>
          <w:sz w:val="20"/>
          <w:szCs w:val="20"/>
          <w:color w:val="auto"/>
        </w:rPr>
      </w:pPr>
      <w:r>
        <w:rPr>
          <w:rFonts w:ascii="Times New Roman" w:cs="Times New Roman" w:eastAsia="Times New Roman" w:hAnsi="Times New Roman"/>
          <w:sz w:val="17"/>
          <w:szCs w:val="17"/>
          <w:color w:val="auto"/>
        </w:rPr>
        <w:t>After the completion of this offering, assuming net proceeds to us, after deducting estimated offering expenses payable by us, of approximately $211.6 million, we expect that our cash, cash equivalents and marketable securities, will be sufficient to fund our current operating and capital expenditure plans into 2028. Without the proceeds of this offering, we anticipate that our existing cash, cash equivalents and marketable securities will be sufficient to fund our operating and capital expenditure plans well into 2027. These expectations do not take into account any potential net cash inflows from bitopertin or any other marketed product, if approved during such period. Our future capital requirements will depend on many factors, including those discussed in “Liquidity and Capital Resources” of our Quarterly Report on Form 10-Q for the quarter ended September 30, 2024.</w:t>
      </w:r>
    </w:p>
    <w:p>
      <w:pPr>
        <w:spacing w:after="0" w:line="17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based our estimates on assumptions that may prove to be wrong. In addition, we could use our available capital resources sooner than we currently expect, in which case we would need to obtain additional funding, which may not be available to us on acceptable terms, or at all. See the “Risk Factors” section of this prospectus supplement and the documents incorporated by reference for a discussion of the risks affecting our business that could have an adverse effect on our available capital resources.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you purchase shares of our common stock or pre-funded warrants in this offering, your ownership interest will be diluted to the extent of the difference between the price per share of our common stock or pre-funded warrant you pay in this offering and the net tangible book value per share of our common stock immediately after this offering.</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net tangible book value as of September 30, 2024 was approximately $468.00 million, or $15.73 per share of common stock, based upon 29,748,154 shares outstanding as of that date. Net tangible book value per share is equal to our total tangible assets, less our total liabilities, divided by the total number of shares outstanding.</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After giving effect to our issuance and sale of shares of our common stock and pre-funded warrants at the public offering price of $55.00 per share and $54.9999 per pre-funded warrant (which equals the $55.00 per share price at which shares of our common stock are being sold to the public in this offering, less the $0.0001 per share exercise price of each such pre-funded warrant) (excluding shares of common stock issuable upon exercise of the pre-funded warrants, any proceeds which may be received upon exercise of the pre-funded warrants or any resulting accounting associated with the exercise of the pre-funded warrants), after deducting underwriting discounts and commissions and estimated offering expenses payable by us, our adjusted net tangible book value as of September 30, 2024 would have been $679.5 million, or $20.18 per share. This represents an immediate increase in net tangible book value of $4.45 per share to our existing stockholders, and an immediate dilution of $34.82 per share to investors purchasing shares of common stock or pre-funded warrants in the offering. Dilution per share to investors purchasing securities in this offering is determined by subtracting as adjusted net tangible book value per share after this offering from the public offering price per share of common stock (or pre-funded warrant) paid by investors.</w:t>
      </w:r>
    </w:p>
    <w:p>
      <w:pPr>
        <w:spacing w:after="0" w:line="19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this calculation on a per share basis, assuming the underwriters do not exercise their option to purchase additional shares of common stock:</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18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$55.00</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as of September 30, 2024</w:t>
            </w: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$15.73</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6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investors purchasing shares</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common stock or pre-funded warrants in this offering</w:t>
            </w:r>
          </w:p>
        </w:tc>
        <w:tc>
          <w:tcPr>
            <w:tcW w:w="12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4.45</w:t>
            </w: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05"/>
        </w:trPr>
        <w:tc>
          <w:tcPr>
            <w:tcW w:w="65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As adjusted net tangible book value per share as of September 30, 2024 after giving</w:t>
            </w:r>
          </w:p>
        </w:tc>
        <w:tc>
          <w:tcPr>
            <w:tcW w:w="2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1"/>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to this offering</w:t>
            </w:r>
          </w:p>
        </w:tc>
        <w:tc>
          <w:tcPr>
            <w:tcW w:w="1260" w:type="dxa"/>
            <w:vAlign w:val="bottom"/>
            <w:gridSpan w:val="3"/>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40" w:type="dxa"/>
            <w:vAlign w:val="bottom"/>
          </w:tcPr>
          <w:p>
            <w:pPr>
              <w:spacing w:after="0"/>
              <w:rPr>
                <w:sz w:val="20"/>
                <w:szCs w:val="20"/>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as adjusted net tangible book value per share to investors in this offering</w:t>
            </w:r>
          </w:p>
        </w:tc>
        <w:tc>
          <w:tcPr>
            <w:tcW w:w="18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34.82</w:t>
            </w:r>
          </w:p>
        </w:tc>
      </w:tr>
      <w:tr>
        <w:trPr>
          <w:trHeight w:val="20"/>
        </w:trPr>
        <w:tc>
          <w:tcPr>
            <w:tcW w:w="6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holders of pre-funded warrants exercise the pre-funded warrants offered hereby, the as adjusted net tangible book value per share of our common stock after giving effect to this offering would be $20.08 per share, and the dilution in net tangible book value per share to investors purchasing common stock in this offering would be $34.92 per share.</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the underwriters exercise their option to purchase shares of common stock in full, the as adjusted net tangible book value after this offering would be $20.64 per share, representing an increase in net tangible book value of $4.91 per share to existing stockholders and immediate dilution in net tangible book value of $34.36 per share to investors purchasing our common stock in this offering at the public offering price.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foregoing tables and calculations are based on 29,748,154 shares of common stock outstanding as of September 30, 2024, and excludes:</w:t>
      </w:r>
    </w:p>
    <w:p>
      <w:pPr>
        <w:spacing w:after="0" w:line="131" w:lineRule="exact"/>
        <w:rPr>
          <w:sz w:val="20"/>
          <w:szCs w:val="20"/>
          <w:color w:val="auto"/>
        </w:rPr>
      </w:pPr>
    </w:p>
    <w:p>
      <w:pPr>
        <w:ind w:left="1080" w:right="5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2,972,432 shares of common stock issuable upon the exercise of stock options outstanding as of September 30, 2024, at a weighted average exercise price of $25.29 per share;</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143,490 shares of common stock issuable upon the exercise of stock options granted subsequent to September 30, 2024, at a weighted average exercise price of $54.95 per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429,522 shares of common stock issuable upon the vesting of restricted stock awards outstanding as of September 30,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95,649 shares of common stock issuable upon the vesting of restricted stock awards granted subsequent to September 30, 2024;</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1,634,822 shares of common stock available for issuance under our Amended and Restated 2021 Stock Option and Incentive Plan as of September 30, 2024;</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254,926 shares of common stock available for future issuance under our Amended and Restated 2021 Employee Stock Purchase Plan as of September 30, 2024;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204,081 shares of common stock issuable upon the exercise of pre-funded warrants outstanding as of September 30, 2024.</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the extent that outstanding options or pre-funded warrants are exercised, new options or other securities are issued under our equity incentive plans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PRE-FUNDED WARRANTS</w:t>
      </w:r>
    </w:p>
    <w:p>
      <w:pPr>
        <w:spacing w:after="0" w:line="22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certain terms and conditions of the pre-funded warrants being offered by this prospectus supplement. The following description is subject in all respects to the provisions contained in the pre-funded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pre-funded warrants will be issued as individual warrant agreements to the investors. The form of pre-funded warrant will be filed as an exhibit to our Current Report on Form 8-K that we expect to file with the SEC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pre-funded warrants do not expire.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Exercisability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Subject to certain limitations described below in “—Exercise Limitations,” the pre-funded warrants are exercisable at any time after their original issuance. The pre-funded warrants will be exercisable, at the option of each holder, in whole or in part by delivering to us a duly executed exercise notice and by payment in full of the exercise price in immediately available funds for the number of shares of common stock purchased upon such exercise. As an alternative to payment in immediately available funds, the holder may elect to exercise the pre-funded warrant through a cashless exercise, in which the holder would receive upon such exercise the net number of shares of common stock determined according to the formula set forth in the pre-funded warrant. No fractional shares of common stock will be issued in connection with the exercise of a pre-funded warrant. In lieu of any fractional shares that would otherwise be issuable, we will pay in cash to an exercising holder the fair market value, determined according to the terms of the pre-funded warrant, for any such fractional shares.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Limitations</w:t>
      </w:r>
    </w:p>
    <w:p>
      <w:pPr>
        <w:spacing w:after="0" w:line="12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Under the pre-funded warrants, we may not effect the exercise of any portion of any pre-funded warrant, and a holder will not be entitled to exercise any portion of any pre-funded warrant, which, upon giving effect to such exercise, would cause the aggregate number of shares of our common stock beneficially owned by the holder (together with its attribution parties (as defined below)) to exceed 24.99% of the number of shares of our common stock that would be outstanding immediately after giving effect to the exercise. Purchasers in this offering may also elect prior to the issuance of pre-funded warrants to have the initial exercise limitation set at any of 4.99%, 9.99% or 19.99% of our outstanding common stock. However, any holder may increase or decrease such percentage to any other percentage not in excess of 24.99%, which increase or decrease shall not become effective until 61 days after notice from the holder to us. Notwithstanding the prior sentence, purchasers in this offering that select an exercise limitation of 19.99% or less will only be allowed to increase the exercise limitation above 19.99% if such increase would not result in a change of control under</w:t>
      </w:r>
    </w:p>
    <w:p>
      <w:pPr>
        <w:ind w:left="120"/>
        <w:spacing w:after="0"/>
        <w:rPr>
          <w:sz w:val="20"/>
          <w:szCs w:val="20"/>
          <w:color w:val="auto"/>
        </w:rPr>
      </w:pPr>
      <w:r>
        <w:rPr>
          <w:rFonts w:ascii="Times New Roman" w:cs="Times New Roman" w:eastAsia="Times New Roman" w:hAnsi="Times New Roman"/>
          <w:sz w:val="18"/>
          <w:szCs w:val="18"/>
          <w:color w:val="auto"/>
        </w:rPr>
        <w:t>Nasdaq rules. For purposes of the foregoing, “attribution parties” means, collectively, the following persons and entities with respect to any holder:</w:t>
      </w:r>
    </w:p>
    <w:p>
      <w:pPr>
        <w:spacing w:after="0" w:line="9" w:lineRule="exact"/>
        <w:rPr>
          <w:sz w:val="20"/>
          <w:szCs w:val="20"/>
          <w:color w:val="auto"/>
        </w:rPr>
      </w:pPr>
    </w:p>
    <w:p>
      <w:pPr>
        <w:ind w:left="120" w:hanging="4"/>
        <w:spacing w:after="0" w:line="255"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direct or indirect affiliates, (ii) any person acting or who could be deemed to be acting as a Section 13(d) “group” together with the holder or any attribution parties and (iii) any other persons whose beneficial ownership of our common stock would or could be aggregated with the holder and/or any other attribution parties for purposes of Section 13(d) or Section 16 of the Exchange Act.</w:t>
      </w:r>
    </w:p>
    <w:p>
      <w:pPr>
        <w:spacing w:after="0" w:line="186"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In addition, if the exercise of a pre-funded warrant would result in a holder of pre-funded warrants (together with its attribution parties) acquiring beneficial ownership of our common stock (together with all other equity owned by such holder at such time) equal to or in excess of the notification threshold applicable to the holder under the HSR Act as of the date of delivery of the applicable exercise notice, which we refer to as the HSR</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080"/>
          </w:cols>
          <w:pgMar w:left="320" w:top="455"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Threshold, and no exemption to filing a notice and report form under the HSR Act is applicable, then only such portion of the pre-funded warrants held by such holder, which when exercised does not exceed the HSR Threshold, shall be exercisable and the applicable exercise notice shall be deemed to relate only to such portion of the pre-funded warrants, and the remaining portion of the pre-funded warrants in excess of the HSR Threshold shall not be exercisable until the expiration or early termination of the applicable waiting period under the HSR Act or receipt of applicable approval. For certain holders of pre-funded warrants, upon expiration or early termination of the applicable waiting period under the HSR Act or receipt of applicable approval, such holder shall no longer be subject to any of the limitations on exercise described in this section.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Price</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exercise price per whole share of our common stock purchasable upon the exercise of the pre-funded warrants is $0.0001 per share of common stock. The exercise price of the pre-funded warrants and the number of shares of our common stock issuable upon exercise of the pre-funded warrants is subject to appropriate adjustment in the event of certain stock dividends and distributions, stock splits, stock combinations, reclassifications or similar events affecting our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Charges, Taxes and Expenses</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Issuance and delivery of shares of common stock upon exercise of a pre-funded warrant will be made without charge to the holder thereof for any issue or transfer tax, transfer agent fee or other incidental tax or expense (excluding any applicable stamp duties) in respect of the issuance thereof, all of which taxes and expenses shall be paid by us. However, we are not required to pay any tax that may be payable in respect of any transfer involved in the registration of any warrant shares or pre-funded warrants in a name other than that of the holder or an affiliate thereof. The holder shall be responsible for all other tax liability that may arise as a result of holding or transferring its pre-funded warrants or receiving shares upon exercise thereof.</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Transferability</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applicable laws, the pre-funded warrants may be assigned by the holder without our consent. The ownership of the pre-funded warrants and any transfers of the pre-funded warrants will be registered in a warrant register maintained by the warrant agent. We will initially act as warrant agent.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do not plan on applying to list the pre-funded warrants on the Nasdaq Global Market, any other national securities exchange or any other nationally recognized trading system.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Fundamental Transactions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pre-funded warrants and generally including but not limited to certain reclassifications of our common stock, the sale, transfer or other disposition of all or substantially all of our properties or assets, our consolidation or merger with or into another person, the tender and acceptance for payment of shares representing more than 50% of the voting power of our capital stock pursuant to any tender or exchange offer (whether by us or another person), and the acquisition by another person of more than 50% of the voting power of our capital stock pursuant to a stock purchase agreement or other business combination, including a reorganization, recapitalization or spin-off (except for any such transaction in which our stockholders immediately prior to such transaction maintain, in substantially the same proportions, voting power of us immediately after the transaction)), upon consummation of such a fundamental transaction, the holders of the pre-funded warrants will be entitled to receive upon exercise of the pre-funded warrants the kind and amount of securities, cash or other property that the holders would have received had they exercised the pre-funded warrants in full immediately prior to such fundamental transaction without regard to any limitations on exercise contained in the pre-funded warrants.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Rights as a Stockholder</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Except by virtue of such holder’s ownership of shares of our common stock, the holder of a pre-funded warrant does not have the rights or privileges of a holder of our common stock, including any voting rights, until the holder exercises the pre-funded warrant. In the event of certain distributions, including cash dividends, if any, to all holders of our common stock for no consideration, the holder of a pre-funded warrant shall be entitled to participate in such distributions to the same extent as if such holder held the number of shares of our common stock acquirable upon complete exercise of its pre-funded warrant (without regard to any limitations on exercise). If such distribution would result in such holder and the other attribution parties exceeding the exercise limitations described above, a portion of such distribution shall be held in abeyance for the benefit of such holder until such time as the ownership limitations would not be exceeded.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left="480" w:right="180"/>
        <w:spacing w:after="0" w:line="286" w:lineRule="auto"/>
        <w:rPr>
          <w:sz w:val="20"/>
          <w:szCs w:val="20"/>
          <w:color w:val="auto"/>
        </w:rPr>
      </w:pPr>
      <w:r>
        <w:rPr>
          <w:rFonts w:ascii="Times New Roman" w:cs="Times New Roman" w:eastAsia="Times New Roman" w:hAnsi="Times New Roman"/>
          <w:sz w:val="18"/>
          <w:szCs w:val="18"/>
          <w:b w:val="1"/>
          <w:bCs w:val="1"/>
          <w:color w:val="auto"/>
        </w:rPr>
        <w:t>MATERIAL U.S. FEDERAL INCOME TAX CONSIDERATIONS FOR INVESTORS IN OUR COMMON STOCK AND PRE-FUNDED WARRANTS</w:t>
      </w:r>
    </w:p>
    <w:p>
      <w:pPr>
        <w:spacing w:after="0" w:line="15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describes the material U.S. federal income tax considerations of the acquisition, ownership and disposition of our common stock and pre-funded warrants acquired in this offering. This discussion does not address all aspects of U.S. federal income taxes, does not discuss the potential application of the alternative minimum tax or Medicare Contribution tax and does not deal with state or local taxes, U.S. federal gift and estate tax laws or any non-U.S. tax consequences that may be relevant to investors in light of their particular circumstances.</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Special rules different from those described below may apply to certain investors that are subject to special treatment under the Internal Revenue Code of 1986, as amended, or the Code, such as:</w:t>
      </w:r>
    </w:p>
    <w:p>
      <w:pPr>
        <w:spacing w:after="0" w:line="6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 banks and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 and tax-qualified retirement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governments and international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and traders in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Holders (as defined below) that own or are deemed to own (directly, indirectly or by attribution) more than 5% of our common stock or more than 5% of our pre-funded warrants;</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for U.S. federal income tax purposes to conform the timing of income accruals to their financial statements under Section 451(b) of the Code;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or pre-funded warrants as part of a “straddle,” “hedge,” “conversion transaction,” “synthetic security” or integrated investment or other risk reduction strategy;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for U.S. tax purposes is not the U.S. dollar;</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common stock or pre-funded warrants as “capital assets” within the meaning of Section 1221 of the Code (generally, for investment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or pre-funded warrants under the constructive sale provisions of the Code;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or pre-funded warrants pursuant to the exercise of any employee stock option or otherwise as compensation.</w:t>
      </w:r>
    </w:p>
    <w:p>
      <w:pPr>
        <w:spacing w:after="0" w:line="54"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Such investors are urged to consult their own tax advisors to determine the U.S. federal, state, local and other tax consequences that may be relevant to them.</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other pass-through entities or persons who hold our common stock or pre-funded warrants through partnerships or other entities which are pass-through entities for U.S. federal income tax purposes. If a partnership or other pass-through entity holds our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common stock or pre-funded warrants, the tax treatment of a partner will generally depend upon the status of the partner and the activities of the partnership or other pass-through entity. A partner in a partnership or other pass-through entity that will hold our common stock or pre-funded warrants should consult his, her or its own tax advisor regarding the tax consequences of the ownership and disposition of our common stock or pre-funded warrants through a partnership or other pass-through entity, as applicable.</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Furthermore, the discussion below is based upon the provisions of the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or the IRS, with respect to the statements made and the conclusions reached in the following summary, and there can be no assurance that the IRS will agree with such statements and conclusions or will not take a contrary position regarding the tax consequences described herein, or that any such contrary position would not be sustained by a court.</w:t>
      </w:r>
    </w:p>
    <w:p>
      <w:pPr>
        <w:spacing w:after="0" w:line="187" w:lineRule="exact"/>
        <w:rPr>
          <w:sz w:val="20"/>
          <w:szCs w:val="20"/>
          <w:color w:val="auto"/>
        </w:rPr>
      </w:pPr>
    </w:p>
    <w:p>
      <w:pPr>
        <w:ind w:left="120" w:right="140" w:firstLine="440"/>
        <w:spacing w:after="0" w:line="276" w:lineRule="auto"/>
        <w:rPr>
          <w:sz w:val="20"/>
          <w:szCs w:val="20"/>
          <w:color w:val="auto"/>
        </w:rPr>
      </w:pPr>
      <w:r>
        <w:rPr>
          <w:rFonts w:ascii="Times New Roman" w:cs="Times New Roman" w:eastAsia="Times New Roman" w:hAnsi="Times New Roman"/>
          <w:sz w:val="17"/>
          <w:szCs w:val="17"/>
          <w:color w:val="auto"/>
        </w:rPr>
        <w:t>For the purposes of this discussion, a “U.S. Holder” means a beneficial owner of our common stock or pre-funded warrants, other than a partnership or other pass-through entity, that is, for U.S. federal income tax purposes, (a) an individual who is a citizen or resident of the United States,</w:t>
      </w:r>
    </w:p>
    <w:p>
      <w:pPr>
        <w:spacing w:after="0" w:line="1" w:lineRule="exact"/>
        <w:rPr>
          <w:sz w:val="20"/>
          <w:szCs w:val="20"/>
          <w:color w:val="auto"/>
        </w:rPr>
      </w:pPr>
    </w:p>
    <w:p>
      <w:pPr>
        <w:ind w:left="120" w:right="60" w:hanging="4"/>
        <w:spacing w:after="0" w:line="253" w:lineRule="auto"/>
        <w:tabs>
          <w:tab w:leader="none" w:pos="3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”United States persons” (within the meaning of Section 7701(a)(30) of the Code) have the authority to control all substantial decisions of the trust or (2) has a valid election in effect under applicable U.S. Treasury regulations to be treated as a United States person.</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 “Non-U.S. Holder” means a beneficial owner of our common stock or pre-funded warrants, other than a partnership or other pass-through entity, that, for U.S. federal income tax purposes, is (i) a foreign corporation, (ii) nonresident alien individual, or (iii) a foreign estate or trust that in each case is not subject to U.S. federal income tax on a net-income basis on income or gain from common stock or pre-funded warrants.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An individual non-U.S. citizen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80"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 or pre-funded warrants.</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PERSONS CONSIDERING THE PURCHASE OF OUR COMMON STOCK OR PRE-FUNDED WARRANTS PURSUANT TO THIS OFFERING SHOULD CONSULT THEIR OWN TAX ADVISORS CONCERNING THE U.S. FEDERAL INCOME TAX CONSEQUENCES OF ACQUIRING, OWNING AND DISPOSING OF OUR COMMON STOCK OR PRE-FUNDED WARRANTS IN LIGHT OF THEIR PARTICULAR SITUATIONS AS WELL AS ANY CONSEQUENCES ARISING UNDER THE LAWS OF ANY OTHER TAXING JURISDICTION, INCLUDING ANY STATE, LOCAL OR NON-U.S. TAX CONSEQUENCES OR ANY U.S. FEDERAL NON-INCOME TAX CONSEQUENCES, AND THE POSSIBLE APPLICATION OF TAX TREATIES.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Characterization of the Pre-Funded Warrants for Tax Purposes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Although the characterization of the pre-funded warrants for U.S. federal income tax purposes is not entirely clear, because the exercise price of the pre-funded warrants is a nominal amount, we intend to treat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pre-funded warrants as our common stock for U.S. federal income tax purposes and a holder of pre-funded warrants should generally expect to be taxed in the same manner as a holder of common stock as described below. Accordingly, for U.S. federal income tax purposes, no gain or loss should be recognized upon the exercise of a pre-funded warrant (except to the extent of cash received in lieu of a fractional share), and upon exercise, the holding period of the share of common stock received should include the holding period of the pre-funded warrant. Similarly, the tax basis of a share of common stock received upon exercise of a pre-funded warrant should include the tax basis of the pre-funded warrant increased by the exercise price of $0.0001 per share. The balance of this discussion generally assumes that the characterization described above is respected for U.S. federal income tax purposes.</w:t>
      </w:r>
    </w:p>
    <w:p>
      <w:pPr>
        <w:spacing w:after="0" w:line="17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position with respect to the characterization of pre-funded warrants is not binding on the IRS and the IRS may treat the pre-funded warrants as warrants to acquire our common stock and, if so, the amount and character of a holder’s gain with respect to an investment in our pre-funded warrants could change. Each holder should consult its tax advisor regarding the characterization of pre-funded warrants for U.S. federal income tax purposes, and the consequences of an investment in the pre-funded warrants based on such holder’s own particular facts and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Common Stock and Pre-funded Warrants</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stated under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we do not expect to make distributions on our common stock (or pre-funded warrants) in the foreseeable future. In the event that we do make distributions of cash or other property, distributions paid on common stock (or pre-funded warrants) will be treated as a dividend to the extent paid out of our current or accumulated earnings and profits (as determined under U.S. federal income tax principles), and will be includible in your income as ordinary income when received. However, with respect to dividends received by individuals, such dividends are generally taxed at the lower applicable qualified dividends rate, provided certain holding period requirements are satisfied. Distributions in excess of our current and accumulated earnings and profits will be treated as a return of capital to the extent of a U.S. Holder’s tax basis in the common stock (or pre-funded warrants) and thereafter as capital gain from the sale or exchange of such common stock (or pre-funded warrants). The tax treatment of such gain is further described in “—</w:t>
      </w:r>
      <w:r>
        <w:rPr>
          <w:rFonts w:ascii="Times New Roman" w:cs="Times New Roman" w:eastAsia="Times New Roman" w:hAnsi="Times New Roman"/>
          <w:sz w:val="18"/>
          <w:szCs w:val="18"/>
          <w:i w:val="1"/>
          <w:iCs w:val="1"/>
          <w:color w:val="auto"/>
        </w:rPr>
        <w:t>Sale or Other Disposition of Common Stock or Pre-funded Warrants</w:t>
      </w:r>
      <w:r>
        <w:rPr>
          <w:rFonts w:ascii="Times New Roman" w:cs="Times New Roman" w:eastAsia="Times New Roman" w:hAnsi="Times New Roman"/>
          <w:sz w:val="18"/>
          <w:szCs w:val="18"/>
          <w:color w:val="auto"/>
        </w:rPr>
        <w:t>” below. Dividends received by a corporation may be eligible for a dividends received deduction, subject to applicable limitations. Any such distributions will also be subject to the discussions below under the section titled “—</w:t>
      </w: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U.S. Holder of a pre-funded warrant is entitled to receive certain distributions paid with respect to common stock prior to the exercise of the pre-funded warrant and, in such case, would be taxed in the same manner as a U.S. Holder of common stock that receives such a distribution. However, under certain circumstances, it is possible for the distributions to be held in abeyance for the U.S. Holder until a pre-funded warrant is exercised or the ownership limitations (described under “</w:t>
      </w:r>
      <w:r>
        <w:rPr>
          <w:rFonts w:ascii="Times New Roman" w:cs="Times New Roman" w:eastAsia="Times New Roman" w:hAnsi="Times New Roman"/>
          <w:sz w:val="18"/>
          <w:szCs w:val="18"/>
          <w:i w:val="1"/>
          <w:iCs w:val="1"/>
          <w:color w:val="auto"/>
        </w:rPr>
        <w:t>Description of Pre-Funded Warrants</w:t>
      </w:r>
      <w:r>
        <w:rPr>
          <w:rFonts w:ascii="Times New Roman" w:cs="Times New Roman" w:eastAsia="Times New Roman" w:hAnsi="Times New Roman"/>
          <w:sz w:val="18"/>
          <w:szCs w:val="18"/>
          <w:color w:val="auto"/>
        </w:rPr>
        <w:t>”) would not be exceeded, at which time such U.S. Holder shall be entitled to receive distributions. It is possible that such entitlement to distributions could cause the declaration of a distribution on our common stock to be currently taxable to U.S. Holders of pre-funded warrants, including under the principles governing Section 305 of the Code, even though the holders will not receive such distributions until a future date. Additionally, it is possible that other adjustments to the terms of the pre-funded warrants can be considered a constructive distribution under Section 305 of the Code. A holder of a pre-funded warrant should consult its tax advisor regarding the tax treatment of any distribution with respect to such pre-funded warrant that is held in abeyance in connection with any applicable limitation on the holder’s beneficial ownership of our common stock and the tax treatment of any other adjustments to the pre-funded warrants.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Common Stock or Pre-funded Warrants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For U.S. federal income tax purposes, gain or loss realized on the sale or other disposition of common stock or pre-funded warrants by a U.S. Holder will be capital gain or loss, and will be long-term capital gain or loss if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U.S. Holder has held the common stock or pre-funded warrants for more than one year. The amount of the gain or loss will equal the difference between the U.S. holder’s adjusted tax basis in the common stock or pre-funded warrants disposed of and the amount realized on the disposition. Long-term capital gains recognized by non-corporate U.S. Holders will be subject to reduced tax rates. The deductibility of capital losses is subject to limitations.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Information reporting requirements generally will apply to any payments of distributions on our common stock and pre-funded warrants, constructive distributions on our pre-funded warrants, and gross proceeds on the sale or other disposition of our common stock and pre-funded warrants, unless the U.S. Holder is an exempt recipient (such as a corporation), regardless of whether any tax was actually withheld. Backup withholding (currently at a 24% rate) will apply to those payments if the U.S. Holder fails to provide its correct taxpayer identification number, or certification of exempt status, or if the U.S. Holder is notified by the IRS that it has failed to report in full payments of interest and dividend income. Any amounts withheld under the backup withholding rules will be allowed as a refund or a credit against a U.S. Holder’s U.S. federal income tax liability provided the required information is furnished timely to the IRS.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Common Stock and Pre-funded Warrants</w:t>
      </w:r>
    </w:p>
    <w:p>
      <w:pPr>
        <w:spacing w:after="0" w:line="119" w:lineRule="exact"/>
        <w:rPr>
          <w:sz w:val="20"/>
          <w:szCs w:val="20"/>
          <w:color w:val="auto"/>
        </w:rPr>
      </w:pPr>
    </w:p>
    <w:p>
      <w:pPr>
        <w:ind w:left="120" w:right="160" w:firstLine="440"/>
        <w:spacing w:after="0" w:line="275" w:lineRule="auto"/>
        <w:rPr>
          <w:sz w:val="20"/>
          <w:szCs w:val="20"/>
          <w:color w:val="auto"/>
        </w:rPr>
      </w:pPr>
      <w:r>
        <w:rPr>
          <w:rFonts w:ascii="Times New Roman" w:cs="Times New Roman" w:eastAsia="Times New Roman" w:hAnsi="Times New Roman"/>
          <w:sz w:val="17"/>
          <w:szCs w:val="17"/>
          <w:color w:val="auto"/>
        </w:rPr>
        <w:t>As stated under “</w:t>
      </w:r>
      <w:r>
        <w:rPr>
          <w:rFonts w:ascii="Times New Roman" w:cs="Times New Roman" w:eastAsia="Times New Roman" w:hAnsi="Times New Roman"/>
          <w:sz w:val="17"/>
          <w:szCs w:val="17"/>
          <w:i w:val="1"/>
          <w:iCs w:val="1"/>
          <w:color w:val="auto"/>
        </w:rPr>
        <w:t>Dividend Policy</w:t>
      </w:r>
      <w:r>
        <w:rPr>
          <w:rFonts w:ascii="Times New Roman" w:cs="Times New Roman" w:eastAsia="Times New Roman" w:hAnsi="Times New Roman"/>
          <w:sz w:val="17"/>
          <w:szCs w:val="17"/>
          <w:color w:val="auto"/>
        </w:rPr>
        <w:t>,” we do not expect to make any distributions on our common stock (or pre-funded warrants) in the foreseeable future. If we do make distributions on our common stock (or pre-funded warrants), however, such distributions made to a Non-U.S. Holder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(or pre-funded warrants). Any remaining excess will be treated as gain realized as described below under the section titled “—</w:t>
      </w:r>
      <w:r>
        <w:rPr>
          <w:rFonts w:ascii="Times New Roman" w:cs="Times New Roman" w:eastAsia="Times New Roman" w:hAnsi="Times New Roman"/>
          <w:sz w:val="17"/>
          <w:szCs w:val="17"/>
          <w:i w:val="1"/>
          <w:iCs w:val="1"/>
          <w:color w:val="auto"/>
        </w:rPr>
        <w:t>Sale or Other Disposition of Common Stock and Pre-funded Warrants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120" w:right="180" w:firstLine="440"/>
        <w:spacing w:after="0" w:line="253" w:lineRule="auto"/>
        <w:rPr>
          <w:sz w:val="20"/>
          <w:szCs w:val="20"/>
          <w:color w:val="auto"/>
        </w:rPr>
      </w:pPr>
      <w:r>
        <w:rPr>
          <w:rFonts w:ascii="Times New Roman" w:cs="Times New Roman" w:eastAsia="Times New Roman" w:hAnsi="Times New Roman"/>
          <w:sz w:val="18"/>
          <w:szCs w:val="18"/>
          <w:color w:val="auto"/>
        </w:rPr>
        <w:t>Any distribution on our common stock (or pre-funded warrants)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A Non-U.S. holder that is eligible for a reduced rate of U.S. withholding tax under an income tax treaty should consult with its own tax advisor to determine if such holder is able to obtain a refund or credit of any excess amounts withheld by timely filing an appropriate claim for a refund with the IRS.</w:t>
      </w:r>
    </w:p>
    <w:p>
      <w:pPr>
        <w:spacing w:after="0" w:line="19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(or any applicable withholding agent) generally are not required to withhold tax on dividends paid (or constructive dividends deemed paid) to a Non-U.S. Holder that are effectively connected with the holder’s conduct of a trade or business within the United States (and, if required by an applicable income tax treaty, are attributable to a permanent establishment or fixed base that the holder maintains in the United States) if a properly executed IRS Form W-8ECI, stating that the dividends are so connected, is furnished to us (or, if shares of our common stock are held through a financial institution or other agent, to the applicable withholding agent).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general, such effectively connected dividends will be subject to U.S. federal income tax on a net income basis at the regular rates applicable to U.S. persons, unless a specific treaty exemption applies.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80"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A Non-U.S. Holder of a pre-funded warrant is entitled to receive certain distributions paid with respect to common stock prior to the exercise of the pre-funded warrant and, in such case, would be taxed in the same manner as a Non-U.S. Holder of common stock that receives such a distribution. However, under certain circumstances, it is possible for the distribution to be held in abeyance for a Non-U.S. Holder until a pre-funded warrant is exercised or the ownership limitations (described under “</w:t>
      </w:r>
      <w:r>
        <w:rPr>
          <w:rFonts w:ascii="Times New Roman" w:cs="Times New Roman" w:eastAsia="Times New Roman" w:hAnsi="Times New Roman"/>
          <w:sz w:val="17"/>
          <w:szCs w:val="17"/>
          <w:i w:val="1"/>
          <w:iCs w:val="1"/>
          <w:color w:val="auto"/>
        </w:rPr>
        <w:t>Description of Pre-Funded Warrants</w:t>
      </w:r>
      <w:r>
        <w:rPr>
          <w:rFonts w:ascii="Times New Roman" w:cs="Times New Roman" w:eastAsia="Times New Roman" w:hAnsi="Times New Roman"/>
          <w:sz w:val="17"/>
          <w:szCs w:val="17"/>
          <w:color w:val="auto"/>
        </w:rPr>
        <w:t>”) would not be exceeded, at which time the Non-U.S. Holder shall be entitled to receive distributions. It is possible that such entitlement to distributions could cause the declaration of a distribution on our common stock to be currently taxable to Non-U.S. Holders of pre-funded warrants, including under the principles governing Section 305 of the Code, even though such holders will not receive the distributions until a future date. Additionally, it is possible that other adjustments to the terms of the pre-funded warrants can be considered a constructive distribution under Section 305 of the Code. A holder of a pre-funded warrant should consult its tax advisor regarding the tax treatment of any distribution with respect to such pre-funded warrant that is held in abeyance in connection with any applicable limitation on the holder’s beneficial ownership of our common stock and the tax treatment of any other adjustments to the pre-funded warrants.</w:t>
      </w:r>
    </w:p>
    <w:p>
      <w:pPr>
        <w:spacing w:after="0" w:line="175" w:lineRule="exact"/>
        <w:rPr>
          <w:sz w:val="20"/>
          <w:szCs w:val="20"/>
          <w:color w:val="auto"/>
        </w:rPr>
      </w:pPr>
    </w:p>
    <w:p>
      <w:pPr>
        <w:ind w:left="120" w:right="580" w:firstLine="440"/>
        <w:spacing w:after="0" w:line="284" w:lineRule="auto"/>
        <w:rPr>
          <w:sz w:val="20"/>
          <w:szCs w:val="20"/>
          <w:color w:val="auto"/>
        </w:rPr>
      </w:pPr>
      <w:r>
        <w:rPr>
          <w:rFonts w:ascii="Times New Roman" w:cs="Times New Roman" w:eastAsia="Times New Roman" w:hAnsi="Times New Roman"/>
          <w:sz w:val="18"/>
          <w:szCs w:val="18"/>
          <w:color w:val="auto"/>
        </w:rPr>
        <w:t>See also the section below titled “—</w:t>
      </w:r>
      <w:r>
        <w:rPr>
          <w:rFonts w:ascii="Times New Roman" w:cs="Times New Roman" w:eastAsia="Times New Roman" w:hAnsi="Times New Roman"/>
          <w:sz w:val="18"/>
          <w:szCs w:val="18"/>
          <w:i w:val="1"/>
          <w:iCs w:val="1"/>
          <w:color w:val="auto"/>
        </w:rPr>
        <w:t>Foreign Accounts</w:t>
      </w:r>
      <w:r>
        <w:rPr>
          <w:rFonts w:ascii="Times New Roman" w:cs="Times New Roman" w:eastAsia="Times New Roman" w:hAnsi="Times New Roman"/>
          <w:sz w:val="18"/>
          <w:szCs w:val="18"/>
          <w:color w:val="auto"/>
        </w:rPr>
        <w:t>” for additional withholding rules that may apply to dividends paid to certain foreign financial institutions or non-financial foreign entities.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Common Stock and Pre-funded Warrants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Subject to the discussion below under the sections titled “—</w:t>
      </w: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Foreign Accounts</w:t>
      </w:r>
      <w:r>
        <w:rPr>
          <w:rFonts w:ascii="Times New Roman" w:cs="Times New Roman" w:eastAsia="Times New Roman" w:hAnsi="Times New Roman"/>
          <w:sz w:val="18"/>
          <w:szCs w:val="18"/>
          <w:color w:val="auto"/>
        </w:rPr>
        <w:t>,” a Non-U.S. Holder generally will not be subject to U.S. federal income or withholding tax with respect to gain realized on a sale or other disposition of our common stock or pre-funded warrants unless (a) the gain is effectively connected with a trade or business of the holder in the United States (and, if required by an applicable income tax treaty, is attributable to a permanent establishment or fixed base that the holder maintains in the United States), (b) the Non-U.S. Holder is a nonresident alien individual and is present in the United States for a period or periods aggregating 183 or more days in the taxable year of the disposition and certain other conditions are met, or (c) we are or have been a “United States real property holding corporation” within the meaning of Code Section 897(c)(2), unless any class of our stock is regularly traded on an established securities market and the Non-U.S. Holder disposes of such class of stock and holds no more than 5% of such class of stock, directly or indirectly, actually or constructively, during the shorter of the 5-year period ending on the date of the disposition or the period that the Non-U.S. Holder held such class of stock.</w:t>
      </w:r>
    </w:p>
    <w:p>
      <w:pPr>
        <w:spacing w:after="0" w:line="19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you are a Non-U.S. Holder described in (a) above, you will be required to pay tax on the net gain derived from the sale at the regular U.S. federal income tax rates applicable to U.S. persons, unless a specific treaty exemption applies. Corporate Non-U.S. Holders described in (a) above may also be subject to the additional branch profits tax at a 30% rate or such lower rate as may be specified by an applicable income tax treaty. An individual Non-U.S. Holder described in (b) above will be required to pay a flat 30% tax on the gain derived from the sale, which gain may be offset by certain U.S. source capital losses (even though such holder is not considered a resident of the United States), provided such holder has timely filed U.S. federal income tax returns with respect to such losses. With respect to (c) above, in general, we would be a U.S. real property holding corporation if interests in U.S. real estate comprised (by fair market value) at least half of our worldwide real property interests plus our other assets used or held for use in a trade or business. We believe that we are not, and do not anticipate becoming, a U.S. real property holding corporation. However, there can be no assurance that we will not become a U.S. real property holding corporation in the future. Special rules may apply to holders 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pre-funded warrants. Non-U.S. Holders of pre-funded warrants should consult their own tax advisors regarding the application of these rules to pre-funded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Generally, we or certain financial middlemen must report information to the IRS with respect to any distributions we pay on our common stock or pre-funded warrants and any constructive distributions deemed paid on pre-funded warrants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w:t>
      </w:r>
    </w:p>
    <w:p>
      <w:pPr>
        <w:spacing w:after="0" w:line="164"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current U.S. federal income tax law, U.S. information reporting and backup withholding requirements generally will apply to the proceeds of a disposition of our common stock or pre-funded warrants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9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If backup withholding is applied to a Non-U.S. Holder, such Non-U.S. holder should consult with its own tax advisor to determine whether such Non-U.S. Holder has overpaid U.S. federal income tax, and whether such Non-U.S. holder is able to obtain a tax refund or credit of the overpaid amount.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to, and separately from the withholding rules described above, U.S. federal withholding taxes may apply under the Foreign Account Tax Compliance Act, or FATCA, on certain types of payments, including dividends to non-U.S. financial institutions and certain other non-U.S. entities. Specifically, a 30% withholding tax may be imposed on dividends paid in respect of our common stock or pre-funded warrants, constructive distributions deemed paid with respect to pre-funded warrants and the gross proceeds of the disposition of our common stock or pre-funded warrants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Treasury Secretary has issued proposed regulations providing that the withholding provisions under FATCA do not apply with respect to payment of gross proceeds from a sale or other disposition, which may be relied upon by taxpayers until final regulations are issued. Prospective investors should consult their tax advisors regarding the potential application of withholding under FATCA to their investment in our common stock or pre-funded warrants.</w:t>
      </w:r>
    </w:p>
    <w:p>
      <w:pPr>
        <w:spacing w:after="0" w:line="180"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EACH PROSPECTIVE INVESTOR SHOULD CONSULT ITS OWN TAX ADVISOR REGARDING THE TAX CONSEQUENCES OF PURCHASING, HOLDING AND DISPOSING OF OUR COMMON STOCK AND PRE-FUNDED WARRANTS, INCLUDING THE CONSEQUENCES OF ANY PROPOSED CHANGE IN APPLICABLE LAW, AS WELL AS TAX CONSEQUENCES ARISING UNDER ANY STATE, LOCAL, NON-U.S. OR U.S. FEDERAL NON-INCOME TAX LAWS SUCH AS ESTATE AND GIFT TAX.</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offering the shares of common stock and pre-funded warrants described in this prospectus supplement through a number of underwriters. Jefferies LLC, Leerink Partners LLC, Stifel, Nicolaus &amp; Company, Incorporated and Cantor Fitzgerald &amp; Co. are acting as joint book-running managers of the offering and as representatives of the underwriters. We intend to enter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supplement, the number of shares of common stock and pre-funded warrants listed next to its name in the following table:</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820" w:type="dxa"/>
            <w:vAlign w:val="bottom"/>
            <w:vMerge w:val="restart"/>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820" w:type="dxa"/>
            <w:vAlign w:val="bottom"/>
            <w:vMerge w:val="continue"/>
          </w:tcPr>
          <w:p>
            <w:pPr>
              <w:spacing w:after="0"/>
              <w:rPr>
                <w:sz w:val="15"/>
                <w:szCs w:val="15"/>
                <w:color w:val="auto"/>
              </w:rPr>
            </w:pPr>
          </w:p>
        </w:tc>
        <w:tc>
          <w:tcPr>
            <w:tcW w:w="126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92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Jefferies LLC</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1,273,409</w:t>
            </w:r>
          </w:p>
        </w:tc>
        <w:tc>
          <w:tcPr>
            <w:tcW w:w="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59,091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1,077,500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548,546</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25,455</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391,818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18,182</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195,909</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9,091</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LifeSci Capital LLC</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176,318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8,181</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Wedbush Securities Inc.</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176,318</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8,181</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H.C. Wainwright &amp; Co., LLC</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78,364</w:t>
            </w:r>
          </w:p>
        </w:tc>
        <w:tc>
          <w:tcPr>
            <w:tcW w:w="3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3,637</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3,918,182</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181,818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are committed to purchase all the shares of common stock and pre-funded warrants offered by us if they purchase any shares or pre-funded warrants. The underwriting agreement also provides that if an underwriter defaults, the purchase commitments of non-defaulting underwriters may also be increased or the offering may be terminated.</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underwriters propose to offer the shares of common stock and pre-funded warrants directly to the public at the public offering price set forth on the cover page of this prospectus supplement and to certain dealers at that price less a concession not in excess of $1.98 per share. After the initial offering of the shares to the public, if all of the shares are not sold at the public offering price, the underwriters may change the offering price and the other selling terms. Sales of any shares made outside of the United States may be made by affiliates of the underwriters. The offering of the shares by the underwriters is subject to receipt and acceptance and subject to the underwriters’ right to reject any order in whole or in part.</w:t>
      </w:r>
    </w:p>
    <w:p>
      <w:pPr>
        <w:spacing w:after="0" w:line="183"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supplement, to purchase, from time to time, in whole or in part, up to an aggregate of 615,000 shares of common stock from us at the public offering price set forth on the cover page of this prospectus supplement, less underwriting discounts and commissions. If the underwriters exercise this option, each underwriter will be obligated, subject to specified conditions, to purchase a number of additional shares of common stock proportionate to that underwriter’s initial purchase commitment as indicated in the table above.</w:t>
      </w:r>
    </w:p>
    <w:p>
      <w:pPr>
        <w:spacing w:after="0" w:line="183"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underwriting fee is equal to the public offering price per share of common stock less the amount paid by the underwriters to us per share of common stock, or the offering price per pre-funded warrant less the amount paid by the underwriters to us per pre-funded warrant, as the case may be. The underwriting fee is $3.30 per share and per pre-funded warrant. The following table shows the per share, per pre-funded warrant and total</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underwriting discounts and commissions to be paid to the underwriters, assuming both no exercise and full exercise of the underwriters’ option to purchase additional shares.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w:t>
            </w:r>
          </w:p>
        </w:tc>
        <w:tc>
          <w:tcPr>
            <w:tcW w:w="320" w:type="dxa"/>
            <w:vAlign w:val="bottom"/>
          </w:tcPr>
          <w:p>
            <w:pPr>
              <w:spacing w:after="0"/>
              <w:rPr>
                <w:sz w:val="16"/>
                <w:szCs w:val="16"/>
                <w:color w:val="auto"/>
              </w:rPr>
            </w:pPr>
          </w:p>
        </w:tc>
        <w:tc>
          <w:tcPr>
            <w:tcW w:w="138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Without option to</w:t>
            </w: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2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With full option to</w:t>
            </w:r>
          </w:p>
        </w:tc>
        <w:tc>
          <w:tcPr>
            <w:tcW w:w="0" w:type="dxa"/>
            <w:vAlign w:val="bottom"/>
          </w:tcPr>
          <w:p>
            <w:pPr>
              <w:spacing w:after="0"/>
              <w:rPr>
                <w:sz w:val="1"/>
                <w:szCs w:val="1"/>
                <w:color w:val="auto"/>
              </w:rPr>
            </w:pPr>
          </w:p>
        </w:tc>
      </w:tr>
      <w:tr>
        <w:trPr>
          <w:trHeight w:val="107"/>
        </w:trPr>
        <w:tc>
          <w:tcPr>
            <w:tcW w:w="4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1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320" w:type="dxa"/>
            <w:vAlign w:val="bottom"/>
          </w:tcPr>
          <w:p>
            <w:pPr>
              <w:spacing w:after="0"/>
              <w:rPr>
                <w:sz w:val="12"/>
                <w:szCs w:val="12"/>
                <w:color w:val="auto"/>
              </w:rPr>
            </w:pPr>
          </w:p>
        </w:tc>
        <w:tc>
          <w:tcPr>
            <w:tcW w:w="13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purchase additional</w:t>
            </w:r>
          </w:p>
        </w:tc>
        <w:tc>
          <w:tcPr>
            <w:tcW w:w="520" w:type="dxa"/>
            <w:vAlign w:val="bottom"/>
          </w:tcPr>
          <w:p>
            <w:pPr>
              <w:spacing w:after="0"/>
              <w:rPr>
                <w:sz w:val="12"/>
                <w:szCs w:val="12"/>
                <w:color w:val="auto"/>
              </w:rPr>
            </w:pPr>
          </w:p>
        </w:tc>
        <w:tc>
          <w:tcPr>
            <w:tcW w:w="142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purchase additional</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320" w:type="dxa"/>
            <w:vAlign w:val="bottom"/>
          </w:tcPr>
          <w:p>
            <w:pPr>
              <w:spacing w:after="0"/>
              <w:rPr>
                <w:sz w:val="15"/>
                <w:szCs w:val="15"/>
                <w:color w:val="auto"/>
              </w:rPr>
            </w:pPr>
          </w:p>
        </w:tc>
        <w:tc>
          <w:tcPr>
            <w:tcW w:w="13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shares exercise</w:t>
            </w:r>
          </w:p>
        </w:tc>
        <w:tc>
          <w:tcPr>
            <w:tcW w:w="520" w:type="dxa"/>
            <w:vAlign w:val="bottom"/>
          </w:tcPr>
          <w:p>
            <w:pPr>
              <w:spacing w:after="0"/>
              <w:rPr>
                <w:sz w:val="15"/>
                <w:szCs w:val="15"/>
                <w:color w:val="auto"/>
              </w:rPr>
            </w:pPr>
          </w:p>
        </w:tc>
        <w:tc>
          <w:tcPr>
            <w:tcW w:w="14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shares exercise</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1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$55.00</w:t>
            </w:r>
          </w:p>
        </w:tc>
        <w:tc>
          <w:tcPr>
            <w:tcW w:w="12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$54.9999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225,499,981.82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259,324,981.82</w:t>
            </w:r>
          </w:p>
        </w:tc>
        <w:tc>
          <w:tcPr>
            <w:tcW w:w="0" w:type="dxa"/>
            <w:vAlign w:val="bottom"/>
          </w:tcPr>
          <w:p>
            <w:pPr>
              <w:spacing w:after="0"/>
              <w:rPr>
                <w:sz w:val="1"/>
                <w:szCs w:val="1"/>
                <w:color w:val="auto"/>
              </w:rPr>
            </w:pPr>
          </w:p>
        </w:tc>
      </w:tr>
      <w:tr>
        <w:trPr>
          <w:trHeight w:val="198"/>
        </w:trPr>
        <w:tc>
          <w:tcPr>
            <w:tcW w:w="4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Underwriting discounts and commissions to be paid</w:t>
            </w: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 us</w:t>
            </w: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$3.30</w:t>
            </w:r>
          </w:p>
        </w:tc>
        <w:tc>
          <w:tcPr>
            <w:tcW w:w="128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$3.3000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13,530,000.00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15,559,500.00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1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$51.70</w:t>
            </w:r>
          </w:p>
        </w:tc>
        <w:tc>
          <w:tcPr>
            <w:tcW w:w="12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$51.6999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211,969,981.82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243,765,481.82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estimate that the total expenses of this offering, including registration, filing and listing fees, printing fees and legal and accounting expenses, but excluding the underwriting discounts and commissions, will be approximately $0.4 million.</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 prospectus supplement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and all of our directors and officers have agreed that, without the prior written consent of Jefferies LLC and Leerink Partners LLC, we and they will not, and will not publicly disclose an intention to, during the period ending 45 days after the date of this prospectus supplement (the “restricted period”):</w:t>
      </w:r>
    </w:p>
    <w:p>
      <w:pPr>
        <w:spacing w:after="0" w:line="81" w:lineRule="exact"/>
        <w:rPr>
          <w:sz w:val="20"/>
          <w:szCs w:val="20"/>
          <w:color w:val="auto"/>
        </w:rPr>
      </w:pPr>
    </w:p>
    <w:p>
      <w:pPr>
        <w:ind w:left="1080" w:right="6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subject to the lock-up agreement;</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 relating to the offering of any shares of common stock or any securities convertible into or exercisable or exchangeable for common stock; or</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 subject to the lock-up agreement;</w:t>
      </w:r>
    </w:p>
    <w:p>
      <w:pPr>
        <w:spacing w:after="0" w:line="16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agrees that, without the prior written consent of Jefferies LLC and Leerink Partners LLC, we or such other person will not, during the restricted period, make any demand for, or exercise any right with respect to, the registration of any shares of common stock subject to the lock-up agreement or any security convertible into or exercisable or exchangeable for common stock.</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relation to us, the restrictions described above do not apply to:</w:t>
      </w:r>
    </w:p>
    <w:p>
      <w:pPr>
        <w:spacing w:after="0" w:line="131"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sold under the underwriting agreement;</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of common stock upon the exercise of an option or a warrant or the conversion of a security outstanding on the date of this prospectus supplement in the manner described in this prospectus supplement or the information incorporated by reference herein;</w:t>
      </w:r>
    </w:p>
    <w:p>
      <w:pPr>
        <w:spacing w:after="0" w:line="81" w:lineRule="exact"/>
        <w:rPr>
          <w:rFonts w:ascii="Times New Roman" w:cs="Times New Roman" w:eastAsia="Times New Roman" w:hAnsi="Times New Roman"/>
          <w:sz w:val="18"/>
          <w:szCs w:val="18"/>
          <w:color w:val="auto"/>
        </w:rPr>
      </w:pPr>
    </w:p>
    <w:p>
      <w:pPr>
        <w:ind w:left="1080" w:right="180" w:hanging="532"/>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by any person other than us relating to shares of common stock or other securities acquired in open market transactions after the completion of the offering of the shares; provided that no filing under Section 16(a) of the Securities Exchange Act of 1934, as amended (the “Exchange Act”), is required or voluntarily made in connection with subsequent sales of the common stock or other securities acquired in such open market transactions;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by us of registration statements on Form S-8 with respect to the employee benefit plans described in this prospectus supplement or the documents incorporated by reference herein;</w:t>
      </w:r>
    </w:p>
    <w:p>
      <w:pPr>
        <w:spacing w:after="0" w:line="67"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of common stock or options to purchase shares of common stock to our employees, officers, directors, advisors or consultants pursuant to employee benefit plans described in this prospectus supplement or in the information incorporated by reference herein, provided that, prior to the issuance of any such shares or the grant of any such options to any director or executive officer elected or appointed following the date of this prospectus supplement and prior to the end of the Restricted Period, we shall cause each such recipient of such grant or issuance to execute and deliver a “lock-up” agreement;</w:t>
      </w:r>
    </w:p>
    <w:p>
      <w:pPr>
        <w:spacing w:after="0" w:line="88" w:lineRule="exact"/>
        <w:rPr>
          <w:rFonts w:ascii="Times New Roman" w:cs="Times New Roman" w:eastAsia="Times New Roman" w:hAnsi="Times New Roman"/>
          <w:sz w:val="18"/>
          <w:szCs w:val="18"/>
          <w:color w:val="auto"/>
        </w:rPr>
      </w:pPr>
    </w:p>
    <w:p>
      <w:pPr>
        <w:ind w:left="1080" w:hanging="532"/>
        <w:spacing w:after="0" w:line="255"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issuance of or entry into an agreement to sell or issue shares of common stock in connection with our acquisition of one or more businesses, products, assets or technologies (whether by means of merger, stock purchase, asset purchase or otherwise) or in connection with joint ventures, collaboration or licensing agreements, marketing or distribution arrangements, commercial relationships or other strategic transactions; provided, that, the aggregate number of shares of our common stock that we may sell or issue or agree to sell or issue may not exceed 5% of the total number of shares of our common stock issued and outstanding immediately following the completion of the transactions contemplated by the underwriting agreement and provided further that we cause each recipient of such shares to execute and a lock up agreement;</w:t>
      </w:r>
    </w:p>
    <w:p>
      <w:pPr>
        <w:spacing w:after="0" w:line="94"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a shareholder, officer or director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restricted period; or</w:t>
      </w:r>
    </w:p>
    <w:p>
      <w:pPr>
        <w:spacing w:after="0" w:line="88"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Common Stock pursuant to a placement made under any “at-the-market” offering program described in the Time of Sale Prospectus and the Prospectus, provided that no shares may be offered or sold pursuant to such program during the period ending 30 days after the date of the Prospectus.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relation to our directors and executive officers, the restrictions described above do not apply to:</w:t>
      </w:r>
    </w:p>
    <w:p>
      <w:pPr>
        <w:spacing w:after="0" w:line="131" w:lineRule="exact"/>
        <w:rPr>
          <w:sz w:val="20"/>
          <w:szCs w:val="20"/>
          <w:color w:val="auto"/>
        </w:rPr>
      </w:pPr>
    </w:p>
    <w:p>
      <w:pPr>
        <w:ind w:left="1080" w:right="100" w:hanging="532"/>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shares of common stock or other securities acquired in this offering or in open market transactions after the completion of this offering, provided that no filing under Section 16(a) of the Exchange Act shall be required or shall be voluntarily made in connection with subsequent sales of common stock or other securities acquired in this offering or in such open market transactions;</w:t>
      </w:r>
    </w:p>
    <w:p>
      <w:pPr>
        <w:spacing w:after="0" w:line="81"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as a bona fide gift or to a charitable organization or educational institution in a transfer not involving a disposition for value;</w:t>
      </w:r>
    </w:p>
    <w:p>
      <w:pPr>
        <w:spacing w:after="0" w:line="67"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 to any immediate family member or any trust for the direct or indirect benefit of any immediate family member in a transaction not involving a disposition for value;</w:t>
      </w:r>
    </w:p>
    <w:p>
      <w:pPr>
        <w:spacing w:after="0" w:line="81" w:lineRule="exact"/>
        <w:rPr>
          <w:rFonts w:ascii="Times New Roman" w:cs="Times New Roman" w:eastAsia="Times New Roman" w:hAnsi="Times New Roman"/>
          <w:sz w:val="18"/>
          <w:szCs w:val="18"/>
          <w:color w:val="auto"/>
        </w:rPr>
      </w:pPr>
    </w:p>
    <w:p>
      <w:pPr>
        <w:ind w:left="1080" w:right="400" w:hanging="532"/>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shares of common stock or any security convertible into common stock to general or limited partners, members, beneficiaries or other equityholders, direct or indirect affiliates (as defined in Rule 405 promulgated under the Securities Act) or to an investment fund or other entity that controls or manages, or is under common control with certain holders and their affiliates;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by will, other testamentary document or intestate succession to the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60"/>
        <w:spacing w:after="0" w:line="312" w:lineRule="auto"/>
        <w:rPr>
          <w:sz w:val="20"/>
          <w:szCs w:val="20"/>
          <w:color w:val="auto"/>
        </w:rPr>
      </w:pPr>
      <w:r>
        <w:rPr>
          <w:rFonts w:ascii="Times New Roman" w:cs="Times New Roman" w:eastAsia="Times New Roman" w:hAnsi="Times New Roman"/>
          <w:sz w:val="17"/>
          <w:szCs w:val="17"/>
          <w:color w:val="auto"/>
        </w:rPr>
        <w:t>legal representative, heir, beneficiary or a member of their immediate family upon their death or (ii) by operation of law pursuant to orders of a court or regulatory agency, in connection with a negotiated divorce settlement or pursuant to a qualified domestic relations order;</w:t>
      </w:r>
    </w:p>
    <w:p>
      <w:pPr>
        <w:spacing w:after="0" w:line="45" w:lineRule="exact"/>
        <w:rPr>
          <w:sz w:val="20"/>
          <w:szCs w:val="20"/>
          <w:color w:val="auto"/>
        </w:rPr>
      </w:pPr>
    </w:p>
    <w:p>
      <w:pPr>
        <w:ind w:left="1080" w:right="40" w:hanging="532"/>
        <w:spacing w:after="0" w:line="255"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 to us pursuant to any contractual arrangement in effect on the date of this agreement and disclosed to the underwriter in writing that provides for the repurchase of common stock or other securities by us or in connection with the termination of employment with or service to us; provided that (i) the repurchase price for any such shares or securities shall not exceed the original purchase price (subject to appropriate adjustment in the event of any stock dividend, stock split, combination or other similar recapitalization) paid and (ii) any filing under Section 16(a) of the Exchange Act reporting a reduction in beneficial ownership of shares of common stock shall indicate by footnote disclosure or otherwise the nature of the transfer or disposition);</w:t>
      </w:r>
    </w:p>
    <w:p>
      <w:pPr>
        <w:spacing w:after="0" w:line="94" w:lineRule="exact"/>
        <w:rPr>
          <w:rFonts w:ascii="Times New Roman" w:cs="Times New Roman" w:eastAsia="Times New Roman" w:hAnsi="Times New Roman"/>
          <w:sz w:val="18"/>
          <w:szCs w:val="18"/>
          <w:color w:val="auto"/>
        </w:rPr>
      </w:pPr>
    </w:p>
    <w:p>
      <w:pPr>
        <w:ind w:left="1080" w:hanging="532"/>
        <w:spacing w:after="0" w:line="253"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other securities to us in connection with the conversion of any convertible security into, or the exercise of any option or warrant for, shares of common stock (including by way of “net” or “cashless” exercise solely to cover withholding tax obligations in connection with such exercise or transfer to us for the payment of taxes as a result of such exercise); provided that (i) such convertible security, option or warrant is described in the prospectus and is outstanding on the date thereof, (ii) any such shares of common stock received by the undersigned shall be subject to the terms of this agreement and (iii) no filing under Section 16(a) of the Exchange Act, reporting a reduction in beneficial ownership of shares of common stock, shall be required or shall be voluntarily made during the restricted period, other than a filing on a Form 4 that reports such disposition under the transaction code “F,” in which case, the filing shall clearly indicate in the footnotes thereto or comments section thereof that the filing relates to the exercise of a stock option or warrant, as the case may be, that no shares of common stock were sold by the reporting person and that the shares of common stock received upon exercise of the stock option or warrant are subject to a lock-up agreement with the underwriter of the offering;</w:t>
      </w:r>
    </w:p>
    <w:p>
      <w:pPr>
        <w:spacing w:after="0" w:line="97"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other securities to us in connection with the vesting or settlement of restricted stock units, so long as such sale is effected pursuant to our sell to cover policy solely in an amount sufficient to cover withhold taxes, provided that (i) to the extent a filing under Section 16(a) of the Exchange Act shall be required, the filing shall clearly indicate in the footnotes thereto that the filing relates to the circumstances described herein and (ii) no other public announcement shall be required or shall be made voluntary in connection with such transfer;</w:t>
      </w:r>
    </w:p>
    <w:p>
      <w:pPr>
        <w:spacing w:after="0" w:line="88" w:lineRule="exact"/>
        <w:rPr>
          <w:rFonts w:ascii="Times New Roman" w:cs="Times New Roman" w:eastAsia="Times New Roman" w:hAnsi="Times New Roman"/>
          <w:sz w:val="18"/>
          <w:szCs w:val="18"/>
          <w:color w:val="auto"/>
        </w:rPr>
      </w:pPr>
    </w:p>
    <w:p>
      <w:pPr>
        <w:ind w:left="1080" w:right="200" w:hanging="532"/>
        <w:spacing w:after="0" w:line="258"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on behalf of a stockholder, officer or director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undersigned or us regarding the establishment of such plan, such announcement or filing shall include a statement to the effect that no transfer of common stock may be made under such plan during the restricted period;</w:t>
      </w:r>
    </w:p>
    <w:p>
      <w:pPr>
        <w:spacing w:after="0" w:line="88" w:lineRule="exact"/>
        <w:rPr>
          <w:rFonts w:ascii="Times New Roman" w:cs="Times New Roman" w:eastAsia="Times New Roman" w:hAnsi="Times New Roman"/>
          <w:sz w:val="18"/>
          <w:szCs w:val="18"/>
          <w:color w:val="auto"/>
        </w:rPr>
      </w:pPr>
    </w:p>
    <w:p>
      <w:pPr>
        <w:ind w:left="1080" w:right="80" w:hanging="532"/>
        <w:spacing w:after="0" w:line="254"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securities convertible into or exercisable or exchangeable for common stock) pursuant to a bona fide third-party tender offer for shares of our capital stock made to all holders of our securities, merger, consolidation or other similar transaction approved by our board of directors and occurring after the closing of this offering, the result of which is that any person (as defined in Section 13(d)(3) of the Exchange Act), or group of persons, other than us, becomes the beneficial owner (as defined in Rules 13d-3 and 13d-5 of the Exchange Act) of more than 50% of the total voting power of our voting stock; provided that in the event that such change of control transaction is not completed, the shares of common stock (or any security convertible into or exercisable or exchangeable for common stock) owned by the stockholder, officer or director shall remain subject to the restrictions contained in the lock-up agreement and title to the such shares shall remain with the applicable stockholder, officer or director; or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532"/>
        <w:spacing w:after="0" w:line="258"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transfer of shares of common stock pursuant to a written trading plan pursuant to Rule 10b5-1 under the Exchange Act that has been entered into prior to the date of the lock-up agreement; provided that no amendments or other modifications are made to such plans during the restricted period and that, to the extent a public announcement or filing under the Exchange Act, if any, is required or voluntarily made regarding such sales or transfers, such announcement or filing shall include a statement to the effect that the sale or transfer was made pursuant to a trading plan pursuant to Rule 10b5-1 of the Exchange Act;</w:t>
      </w:r>
    </w:p>
    <w:p>
      <w:pPr>
        <w:spacing w:after="0" w:line="183"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provided that in the case of any transfer or distribution pursuant to clause (b), (c), (d) or (e), (i) each transferee, donee or distributee shall sign and deliver a lock-up agreement substantially in the form of the lock-up agreement signed by the transferor, donor or distributor and (ii) no filing under Section 16(a) of the Exchange Act, reporting a reduction in beneficial ownership of shares of common stock, shall be required or shall be voluntarily made during the restricted period (other than, with respect to clause (e) only, any Form 4 or Form 5 required to be filed under the Exchange Act if the undersigned is subject to Section 16 reporting under the Exchange Act due to their relationship with us, in which case any such filing will indicate by footnote disclosure or otherwise the nature of the transfer or disposition).</w:t>
      </w:r>
    </w:p>
    <w:p>
      <w:pPr>
        <w:spacing w:after="0" w:line="187"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Jefferies LLC and Leerink Partners LLC, in their sole discretion, may release the securities subject to any of the lock-up agreements with the underwriters described above, in whole or in part at any time.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quoted on the Nasdaq Global Market under the symbol “IRON.” We do not intend to list the pre-funded warrants on the Nasdaq Global Market, any other nationally recognized securities exchange or any other nationally recognized trading system.</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stabilizing transactions, which involve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90"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common stock or preventing or retarding a decline in the market price of the common stock, and, as a result, the price of the</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040"/>
          </w:cols>
          <w:pgMar w:left="320" w:top="455" w:right="5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176"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In addition, in connection with this offering certain of the underwriters may engage in passive market making transactions in our common stock on The Nasdaq Stock Market prior to the pricing and completion of this offering. Passive market making consists of displaying bids on The Nasdaq Stock Market no higher than the bid prices of independent market makers and making purchases at prices no higher than these independent bids and effected in response to order flow. Net purchases by a passive market maker on each day are generally limited to a specified percentage of the passive market maker’s average daily trading volume in the common stock during a specified period and must be discontinued when such limit is reached. Passive market making may cause the price of our common stock to be higher than the price that otherwise would exist in the open market in the absence of these transactions. If passive market making is commenced, it may be discontinued at any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121" w:lineRule="exact"/>
        <w:rPr>
          <w:sz w:val="20"/>
          <w:szCs w:val="20"/>
          <w:color w:val="auto"/>
        </w:rPr>
      </w:pPr>
    </w:p>
    <w:p>
      <w:pPr>
        <w:ind w:left="120" w:right="160" w:firstLine="440"/>
        <w:spacing w:after="0" w:line="277" w:lineRule="auto"/>
        <w:rPr>
          <w:sz w:val="20"/>
          <w:szCs w:val="20"/>
          <w:color w:val="auto"/>
        </w:rPr>
      </w:pPr>
      <w:r>
        <w:rPr>
          <w:rFonts w:ascii="Times New Roman" w:cs="Times New Roman" w:eastAsia="Times New Roman" w:hAnsi="Times New Roman"/>
          <w:sz w:val="17"/>
          <w:szCs w:val="17"/>
          <w:color w:val="auto"/>
        </w:rPr>
        <w:t>In relation to each Member State of the European Economic Area (each a “Relevant State”), no shares or pre-funded warrants have been offered or will be offered pursuant to the offering to the public in that Relevant State prior to the publication of a prospectus in relation to the shares or pre-funded warrants which has been approved by the competent authority in that Relevant State or, where appropriate, approved in another Relevant State and notified to the competent authority in that Relevant State, all in accordance with the Prospectus Regulation, except that offers of shares or pre-funded warrants may be made to the public in that Relevant State at any time under the following exemptions under the Prospectus Regulation:</w:t>
      </w:r>
    </w:p>
    <w:p>
      <w:pPr>
        <w:spacing w:after="0" w:line="73"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3" w:lineRule="exact"/>
        <w:rPr>
          <w:sz w:val="20"/>
          <w:szCs w:val="20"/>
          <w:color w:val="auto"/>
        </w:rPr>
      </w:pPr>
    </w:p>
    <w:p>
      <w:pPr>
        <w:ind w:left="120" w:right="340"/>
        <w:spacing w:after="0" w:line="284" w:lineRule="auto"/>
        <w:rPr>
          <w:sz w:val="20"/>
          <w:szCs w:val="20"/>
          <w:color w:val="auto"/>
        </w:rPr>
      </w:pPr>
      <w:r>
        <w:rPr>
          <w:rFonts w:ascii="Times New Roman" w:cs="Times New Roman" w:eastAsia="Times New Roman" w:hAnsi="Times New Roman"/>
          <w:sz w:val="18"/>
          <w:szCs w:val="18"/>
          <w:i w:val="1"/>
          <w:iCs w:val="1"/>
          <w:color w:val="auto"/>
        </w:rPr>
        <w:t>provided that no such offer of shares or pre-funded warrants shall require us or any underwriter to publish a prospectus pursuant to Article 3 of the Prospectus Regulation or supplement a prospectus pursuant to Article 23 of</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200"/>
        <w:spacing w:after="0" w:line="267" w:lineRule="auto"/>
        <w:rPr>
          <w:sz w:val="20"/>
          <w:szCs w:val="20"/>
          <w:color w:val="auto"/>
        </w:rPr>
      </w:pPr>
      <w:r>
        <w:rPr>
          <w:rFonts w:ascii="Times New Roman" w:cs="Times New Roman" w:eastAsia="Times New Roman" w:hAnsi="Times New Roman"/>
          <w:sz w:val="18"/>
          <w:szCs w:val="18"/>
          <w:i w:val="1"/>
          <w:iCs w:val="1"/>
          <w:color w:val="auto"/>
        </w:rPr>
        <w:t>the Prospectus Regulation and each person who initially acquires any shares or pre-funded warrants or to whom any offer is made will be deemed to have represented, acknowledged and agreed to and with each of the underwriters and us that it is a “qualified investor” within the meaning of Article 2(e) of the Prospectus Regulation.</w:t>
      </w:r>
    </w:p>
    <w:p>
      <w:pPr>
        <w:spacing w:after="0" w:line="175"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In the case of any shares or pre-funded warrants being offered to a financial intermediary as that term is used in the Prospectus Regulation, each such financial intermediary will be deemed to have represented, acknowledged and agreed that the shares or pre-funded warrants acquired by it in the offer have not been acquired on a non-discretionary basis on behalf of, nor have they been acquired with a view to their offer or resale to, persons in circumstances which may give rise to an offer of any shares or pre-funded warrants to the public other than their offer or resale in a Relevant State to qualified investors as so defined or in circumstances in which the prior consent of the underwriters has been obtained to each such proposed offer or resale.</w:t>
      </w:r>
    </w:p>
    <w:p>
      <w:pPr>
        <w:spacing w:after="0" w:line="187" w:lineRule="exact"/>
        <w:rPr>
          <w:sz w:val="20"/>
          <w:szCs w:val="20"/>
          <w:color w:val="auto"/>
        </w:rPr>
      </w:pPr>
    </w:p>
    <w:p>
      <w:pPr>
        <w:jc w:val="both"/>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to the public” in relation to the shares in any Relevant State means the communication in any form and by any means of sufficient information on the terms of the offer and any shares or pre-funded warrants to be offered so as to enable an investor to decide to purchase or subscribe for any shares or pre-funded warrants, and the expression “Prospectus Regulation” means Regulation (EU)</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2017/1129.</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No shares or pre-funded warrants have been offered or will be offered pursuant to the offering to the public in the United Kingdom prior to the publication of a prospectus in relation to the shares or pre-funded warrants which has been approved by the Financial Conduct Authority, except that the shares or pre-funded warrants may be offered to the public in the United Kingdom at any time:</w:t>
      </w:r>
    </w:p>
    <w:p>
      <w:pPr>
        <w:spacing w:after="0" w:line="81" w:lineRule="exact"/>
        <w:rPr>
          <w:sz w:val="20"/>
          <w:szCs w:val="20"/>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(FSMA);</w:t>
      </w:r>
    </w:p>
    <w:p>
      <w:pPr>
        <w:spacing w:after="0" w:line="223"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shares or pre-funded warrants shall require us or any underwriter to publish a prospectus pursuant to Section 85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FSMA or supplement a prospectus pursuant to Article 23 of the U.K. Prospectus Regulation. For the purposes of this provision, the expression an “offer to the public” in relation to the shares or pre-funded warrants in the United Kingdom means the communication in any form and by any means of sufficient information on the terms of the offer and any shares or pre-funded warrants to be offered so as to enable an investor to decide to purchase or subscribe for any shares or pre-funded warrants and the expression “U.K. Prospectus Regulation” means Regulation (EU) 2017/1129 as it forms part of domestic law by virtue of the European Union (Withdrawal) Act 2018.</w:t>
      </w:r>
    </w:p>
    <w:p>
      <w:pPr>
        <w:spacing w:after="0" w:line="184"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w:t>
      </w:r>
    </w:p>
    <w:p>
      <w:pPr>
        <w:spacing w:after="0" w:line="3" w:lineRule="exact"/>
        <w:rPr>
          <w:sz w:val="20"/>
          <w:szCs w:val="20"/>
          <w:color w:val="auto"/>
        </w:rPr>
      </w:pPr>
    </w:p>
    <w:p>
      <w:pPr>
        <w:jc w:val="both"/>
        <w:ind w:left="120" w:right="180" w:hanging="4"/>
        <w:spacing w:after="0" w:line="253" w:lineRule="auto"/>
        <w:tabs>
          <w:tab w:leader="none" w:pos="3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Order (all such persons together being referred to as “relevant persons”) or otherwise in circumstances which have not resulted and will not result in an offer to the public of the shares or pre-funded warrants in the United Kingdom within the meaning of the FSMA. In the United Kingdom, any investment or investment activity to which this document relates is only available to, and will be engaged in with, relevant persons. Any person in the UK who is not a relevant person must not act on or rely upon this document or any of its contents.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shares or pre-funded warrants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or pre-funded warrants must be made in accordance with an exemption from, or in a transaction not subject to, the prospectus requirements of applicable securities laws.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shares or pre-funded warrants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the pre-funded warrants or the offering may be publicly distributed or otherwise made publicly available in Switzerland.</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or pre-funded warrants have been or will be filed with or approved by any Swiss regulatory authority. In particular, this document will not be filed with, and the offer of shares or pre-funded warrants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 or pre-funded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shares or pre-funded warrants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or pre-funded warrants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or pre-funded warrants which are or are intended to be disposed of only to persons outside Hong Kong or only to “professional investors” as defined in the SFO and any rules made thereunder.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representatives have acknowledged that this prospectus supplement and the accompanying prospectus have not been registered as a prospectus with the Monetary Authority of Singapore. Accordingly, the representatives have represented and agreed that it has not offered or sold any shares or pre-funded warrants or caused the shares or pre-funded warrants to be made the subject of an invitation for subscription or purchase and will not offer or sell any shares or pre-funded warrants or cause the shares or pre-funded warrants to be made the subject of an invitation for subscription or purchase, and has not circulated or distributed, nor will it circulate or distribute, this prospectus supplement and the accompanying prospectus or any other document or material in connection with the offer or sale, or invitation for subscription or purchase, of the shares or pre-funded warrants, whether directly or indirectly, to any person in Singapore other than:</w:t>
      </w:r>
    </w:p>
    <w:p>
      <w:pPr>
        <w:spacing w:after="0" w:line="94" w:lineRule="exact"/>
        <w:rPr>
          <w:sz w:val="20"/>
          <w:szCs w:val="20"/>
          <w:color w:val="auto"/>
        </w:rPr>
      </w:pPr>
    </w:p>
    <w:p>
      <w:pPr>
        <w:ind w:left="1080" w:right="2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67" w:lineRule="exact"/>
        <w:rPr>
          <w:rFonts w:ascii="Times New Roman" w:cs="Times New Roman" w:eastAsia="Times New Roman" w:hAnsi="Times New Roman"/>
          <w:sz w:val="18"/>
          <w:szCs w:val="18"/>
          <w:color w:val="auto"/>
        </w:rPr>
      </w:pPr>
    </w:p>
    <w:p>
      <w:pPr>
        <w:ind w:left="1080" w:right="90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shares or pre-funded warrants are subscribed or purchased under Section 275 of the SFA by a relevant person which is:</w:t>
      </w:r>
    </w:p>
    <w:p>
      <w:pPr>
        <w:spacing w:after="0" w:line="131" w:lineRule="exact"/>
        <w:rPr>
          <w:sz w:val="20"/>
          <w:szCs w:val="20"/>
          <w:color w:val="auto"/>
        </w:rPr>
      </w:pPr>
    </w:p>
    <w:p>
      <w:pPr>
        <w:ind w:left="1080" w:right="100" w:hanging="532"/>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or pre-funded warrants pursuant to an offer made under Section 275 of the SFA except:</w:t>
      </w:r>
    </w:p>
    <w:p>
      <w:pPr>
        <w:spacing w:after="0" w:line="81"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of the SFA;</w:t>
      </w:r>
    </w:p>
    <w:p>
      <w:pPr>
        <w:spacing w:after="0" w:line="11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76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shares or pre-funded warrants have not been and will not be registered pursuant to Article 4, Paragraph 1 of the Financial Instruments and Exchange Act. Accordingly, none of the shares, pre-funded warrants,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Arab Emirates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shares or pre-funded warrants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or the Dubai Financial Services Authority.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Israel</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State of Israel this prospectus supplement shall not be regarded as an offer to the public to purchase shares of common stock or pre-funded warrants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supplement or make, distribute or direct an offer to subscribe for our common stock or pre-funded warrants to any person within the State of Israel, other than to Qualified Investors and up to 35 Addressed Investors.</w:t>
      </w:r>
    </w:p>
    <w:p>
      <w:pPr>
        <w:spacing w:after="0" w:line="19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Qualified Investors may have to submit written evidence that they meet the definitions set out in of the First Addendum to the Israeli Securities Law, 5728—1968. In particular, we may request, as a condition to be offered common stock or pre-funded warrants,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 1968 regarding Qualified Investors is applicable to it; (iii) that it will abide by all provisions set forth in the Israeli Securities Law, 5728—1968 and the regulations promulgated thereunder in connection with the offer to be issued common stock or pre-funded warrants; (iv) that the shares of common stock or pre-funded warrants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shares of common stock and pre-funded warrants offered hereby will be passed upon for us by Goodwin Procter LLP, Boston, Massachusetts. Wilmer Cutler Pickering Hale and Dorr LLP, New York, New York, is acting as counsel to the underwriters in connection with this offering.</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000"/>
          </w:cols>
          <w:pgMar w:left="320" w:top="455" w:right="5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consolidated financial statements of Disc Medicine, Inc. appearing in Disc Medicine, Inc.’s Annual Report (Form 10-K) for the year ended December 31, 2023,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0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0880"/>
          </w:cols>
          <w:pgMar w:left="320" w:top="455" w:right="6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and on our investor website at www.discmedicine.com. Information contained on our website is not incorporated by reference into this prospectus supplement or the accompanying prospectus, and you should not consider any information on, or that can be accessed from, our website as part of this prospectus supplement or the accompanying prospectus.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SEC. Certain information in the registration statement has been omitted from this prospectus supplement in accordance with the rules of the SEC. For more detail about us and any securities that may be offered by this prospectus supplement, you may examine the registration statement of which this prospectus supplement forms a part, including its exhibits and schedules. Statements contained in this prospectus supplement and the accompanying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040"/>
          </w:cols>
          <w:pgMar w:left="320" w:top="455" w:right="5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supplement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except as to any portion of any future report or document that is not deemed filed under such provisions until the offering of the securities offered hereby is terminated or completed:</w:t>
      </w:r>
    </w:p>
    <w:p>
      <w:pPr>
        <w:spacing w:after="0" w:line="94"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6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March 21, 2024;</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Quarterly Reports on Form 10-Q for the quarters ended March 31, 2024, June 30, 2024 and September 30, 2024, filed with the SEC on </w:t>
      </w:r>
      <w:hyperlink r:id="rId62">
        <w:r>
          <w:rPr>
            <w:rFonts w:ascii="Times New Roman" w:cs="Times New Roman" w:eastAsia="Times New Roman" w:hAnsi="Times New Roman"/>
            <w:sz w:val="18"/>
            <w:szCs w:val="18"/>
            <w:u w:val="single" w:color="auto"/>
            <w:color w:val="0000EE"/>
          </w:rPr>
          <w:t>May 9,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3">
        <w:r>
          <w:rPr>
            <w:rFonts w:ascii="Times New Roman" w:cs="Times New Roman" w:eastAsia="Times New Roman" w:hAnsi="Times New Roman"/>
            <w:sz w:val="18"/>
            <w:szCs w:val="18"/>
            <w:u w:val="single" w:color="auto"/>
            <w:color w:val="0000EE"/>
          </w:rPr>
          <w:t>August 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64">
        <w:r>
          <w:rPr>
            <w:rFonts w:ascii="Times New Roman" w:cs="Times New Roman" w:eastAsia="Times New Roman" w:hAnsi="Times New Roman"/>
            <w:sz w:val="18"/>
            <w:szCs w:val="18"/>
            <w:u w:val="single" w:color="auto"/>
            <w:color w:val="0000EE"/>
          </w:rPr>
          <w:t>November 12,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67" w:lineRule="exact"/>
        <w:rPr>
          <w:rFonts w:ascii="Times New Roman" w:cs="Times New Roman" w:eastAsia="Times New Roman" w:hAnsi="Times New Roman"/>
          <w:sz w:val="18"/>
          <w:szCs w:val="18"/>
          <w:color w:val="0000EE"/>
        </w:rPr>
      </w:pPr>
    </w:p>
    <w:p>
      <w:pPr>
        <w:ind w:left="1080" w:right="200" w:hanging="424"/>
        <w:spacing w:after="0" w:line="266" w:lineRule="auto"/>
        <w:tabs>
          <w:tab w:leader="none" w:pos="1080" w:val="left"/>
        </w:tabs>
        <w:numPr>
          <w:ilvl w:val="0"/>
          <w:numId w:val="2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Current Reports on Form 8-K filed with the SEC on </w:t>
      </w:r>
      <w:hyperlink r:id="rId65">
        <w:r>
          <w:rPr>
            <w:rFonts w:ascii="Times New Roman" w:cs="Times New Roman" w:eastAsia="Times New Roman" w:hAnsi="Times New Roman"/>
            <w:sz w:val="18"/>
            <w:szCs w:val="18"/>
            <w:u w:val="single" w:color="auto"/>
            <w:color w:val="0000EE"/>
          </w:rPr>
          <w:t>February 7, 2024</w:t>
        </w:r>
      </w:hyperlink>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u w:val="single" w:color="auto"/>
            <w:color w:val="0000EE"/>
          </w:rPr>
          <w:t>April 2, 2024</w:t>
        </w:r>
      </w:hyperlink>
      <w:r>
        <w:rPr>
          <w:rFonts w:ascii="Times New Roman" w:cs="Times New Roman" w:eastAsia="Times New Roman" w:hAnsi="Times New Roman"/>
          <w:sz w:val="18"/>
          <w:szCs w:val="18"/>
          <w:color w:val="auto"/>
        </w:rPr>
        <w:t xml:space="preserve">, </w:t>
      </w:r>
      <w:hyperlink r:id="rId67">
        <w:r>
          <w:rPr>
            <w:rFonts w:ascii="Times New Roman" w:cs="Times New Roman" w:eastAsia="Times New Roman" w:hAnsi="Times New Roman"/>
            <w:sz w:val="18"/>
            <w:szCs w:val="18"/>
            <w:u w:val="single" w:color="auto"/>
            <w:color w:val="0000EE"/>
          </w:rPr>
          <w:t>June 14, 2024</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June 14, 2024</w:t>
        </w:r>
      </w:hyperlink>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u w:val="single" w:color="auto"/>
            <w:color w:val="0000EE"/>
          </w:rPr>
          <w:t>June 14, 2024</w:t>
        </w:r>
      </w:hyperlink>
      <w:r>
        <w:rPr>
          <w:rFonts w:ascii="Times New Roman" w:cs="Times New Roman" w:eastAsia="Times New Roman" w:hAnsi="Times New Roman"/>
          <w:sz w:val="18"/>
          <w:szCs w:val="18"/>
          <w:color w:val="auto"/>
        </w:rPr>
        <w:t xml:space="preserve">, </w:t>
      </w:r>
      <w:hyperlink r:id="rId70">
        <w:r>
          <w:rPr>
            <w:rFonts w:ascii="Times New Roman" w:cs="Times New Roman" w:eastAsia="Times New Roman" w:hAnsi="Times New Roman"/>
            <w:sz w:val="18"/>
            <w:szCs w:val="18"/>
            <w:u w:val="single" w:color="auto"/>
            <w:color w:val="0000EE"/>
          </w:rPr>
          <w:t>October 25,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15,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January 10,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January 21,</w:t>
        </w:r>
      </w:hyperlink>
      <w:r>
        <w:rPr>
          <w:rFonts w:ascii="Times New Roman" w:cs="Times New Roman" w:eastAsia="Times New Roman" w:hAnsi="Times New Roman"/>
          <w:sz w:val="18"/>
          <w:szCs w:val="18"/>
          <w:color w:val="0000EE"/>
        </w:rPr>
        <w:t xml:space="preserve"> </w:t>
      </w:r>
      <w:hyperlink r:id="rId70">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excluding information furnished pursuant to Item 7.01); and</w:t>
        </w:r>
      </w:hyperlink>
    </w:p>
    <w:p>
      <w:pPr>
        <w:spacing w:after="0" w:line="81" w:lineRule="exact"/>
        <w:rPr>
          <w:rFonts w:ascii="Times New Roman" w:cs="Times New Roman" w:eastAsia="Times New Roman" w:hAnsi="Times New Roman"/>
          <w:sz w:val="18"/>
          <w:szCs w:val="18"/>
          <w:color w:val="0000EE"/>
        </w:rPr>
      </w:pPr>
    </w:p>
    <w:p>
      <w:pPr>
        <w:ind w:left="1080" w:hanging="424"/>
        <w:spacing w:after="0" w:line="258"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71">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August 10, 2020, and as set forth by the description of our common stock set forth in </w:t>
      </w:r>
      <w:hyperlink r:id="rId72">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Form 10-K for the year ended December 31, 2021, filed with the SEC on March 10, 2022, and as further supplemented by the description of our common stock set forth in our Registration Statement on </w:t>
      </w:r>
      <w:hyperlink r:id="rId73">
        <w:r>
          <w:rPr>
            <w:rFonts w:ascii="Times New Roman" w:cs="Times New Roman" w:eastAsia="Times New Roman" w:hAnsi="Times New Roman"/>
            <w:sz w:val="18"/>
            <w:szCs w:val="18"/>
            <w:u w:val="single" w:color="auto"/>
            <w:color w:val="0000EE"/>
          </w:rPr>
          <w:t>Form S-4/A</w:t>
        </w:r>
      </w:hyperlink>
      <w:r>
        <w:rPr>
          <w:rFonts w:ascii="Times New Roman" w:cs="Times New Roman" w:eastAsia="Times New Roman" w:hAnsi="Times New Roman"/>
          <w:sz w:val="18"/>
          <w:szCs w:val="18"/>
          <w:color w:val="auto"/>
        </w:rPr>
        <w:t>, filed with the SEC on December 1, 2022, including any amendments or reports filed for the purpose of updating such description.</w:t>
      </w:r>
    </w:p>
    <w:p>
      <w:pPr>
        <w:spacing w:after="0" w:line="183"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(617) 674-9274</w:t>
      </w:r>
    </w:p>
    <w:p>
      <w:pPr>
        <w:spacing w:after="0" w:line="205" w:lineRule="exact"/>
        <w:rPr>
          <w:rFonts w:ascii="Times New Roman" w:cs="Times New Roman" w:eastAsia="Times New Roman" w:hAnsi="Times New Roman"/>
          <w:sz w:val="18"/>
          <w:szCs w:val="18"/>
          <w:color w:val="auto"/>
        </w:rPr>
      </w:pPr>
    </w:p>
    <w:p>
      <w:pPr>
        <w:ind w:left="120" w:right="80" w:firstLine="440"/>
        <w:spacing w:after="0" w:line="290" w:lineRule="auto"/>
        <w:rPr>
          <w:sz w:val="20"/>
          <w:szCs w:val="20"/>
          <w:color w:val="auto"/>
        </w:rPr>
      </w:pPr>
      <w:r>
        <w:rPr>
          <w:rFonts w:ascii="Times New Roman" w:cs="Times New Roman" w:eastAsia="Times New Roman" w:hAnsi="Times New Roman"/>
          <w:sz w:val="17"/>
          <w:szCs w:val="17"/>
          <w:color w:val="auto"/>
        </w:rPr>
        <w:t xml:space="preserve">You may also access these documents, free of charge on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xml:space="preserve"> or on our website at </w:t>
      </w:r>
      <w:r>
        <w:rPr>
          <w:rFonts w:ascii="Times New Roman" w:cs="Times New Roman" w:eastAsia="Times New Roman" w:hAnsi="Times New Roman"/>
          <w:sz w:val="17"/>
          <w:szCs w:val="17"/>
          <w:i w:val="1"/>
          <w:iCs w:val="1"/>
          <w:color w:val="auto"/>
        </w:rPr>
        <w:t>www.discmedicine.com</w:t>
      </w:r>
      <w:r>
        <w:rPr>
          <w:rFonts w:ascii="Times New Roman" w:cs="Times New Roman" w:eastAsia="Times New Roman" w:hAnsi="Times New Roman"/>
          <w:sz w:val="17"/>
          <w:szCs w:val="17"/>
          <w:color w:val="auto"/>
        </w:rPr>
        <w:t>. Information contained on our website is not incorporated by reference into this prospectus supplement or the accompanying prospectus, and you should not consider any information on, or that can be accessed from, our website as part of this prospectus supplement or the accompanying prospectus.</w:t>
      </w:r>
    </w:p>
    <w:p>
      <w:pPr>
        <w:spacing w:after="0" w:line="157" w:lineRule="exact"/>
        <w:rPr>
          <w:rFonts w:ascii="Times New Roman" w:cs="Times New Roman" w:eastAsia="Times New Roman" w:hAnsi="Times New Roman"/>
          <w:sz w:val="18"/>
          <w:szCs w:val="18"/>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supplement or the accompanying prospectus.</w:t>
      </w:r>
    </w:p>
    <w:p>
      <w:pPr>
        <w:spacing w:after="0" w:line="176" w:lineRule="exact"/>
        <w:rPr>
          <w:rFonts w:ascii="Times New Roman" w:cs="Times New Roman" w:eastAsia="Times New Roman" w:hAnsi="Times New Roman"/>
          <w:sz w:val="18"/>
          <w:szCs w:val="18"/>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08"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173990</wp:posOffset>
            </wp:positionV>
            <wp:extent cx="3737610" cy="5918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373761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From time to time, we may offer and sell, in one or more series or classes, our Common Stock, Preferred Stock, Debt Securities, Warrants or Units, in each case in one or more issuances and at prices and on terms that we will determine at the time of the offering.</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prospectus describes the general manner in which any of these securities may be offered using this prospectus. We will specify in an accompanying prospectus supplement the terms of the securities offered and other details regarding the offering thereof. The supplement may also add, update or change information contained in this prospectus with respect to that offering.</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“IRON.” On August 7, 2024, the closing price of our common stock, as reported on The Nasdaq Global Market, was $41.27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right="160" w:firstLine="440"/>
        <w:spacing w:after="0" w:line="238"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You should review carefully the risks and uncertainties described under the heading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on page 10 of this prospectus and under any similar heading in the documents that are incorporated by reference into this prospectus, as well as “</w:t>
      </w:r>
      <w:r>
        <w:rPr>
          <w:rFonts w:ascii="Times New Roman" w:cs="Times New Roman" w:eastAsia="Times New Roman" w:hAnsi="Times New Roman"/>
          <w:sz w:val="22"/>
          <w:szCs w:val="22"/>
          <w:b w:val="1"/>
          <w:bCs w:val="1"/>
          <w:i w:val="1"/>
          <w:iCs w:val="1"/>
          <w:color w:val="auto"/>
        </w:rPr>
        <w:t>Special Note Regarding Forward-Looking Statements</w:t>
      </w:r>
      <w:r>
        <w:rPr>
          <w:rFonts w:ascii="Times New Roman" w:cs="Times New Roman" w:eastAsia="Times New Roman" w:hAnsi="Times New Roman"/>
          <w:sz w:val="22"/>
          <w:szCs w:val="22"/>
          <w:b w:val="1"/>
          <w:bCs w:val="1"/>
          <w:color w:val="auto"/>
        </w:rPr>
        <w:t>” on page 4 of this prospectus. You should read the entire prospectus and any applicable prospectus supplement carefully before you make your investment decision.</w:t>
      </w:r>
    </w:p>
    <w:p>
      <w:pPr>
        <w:spacing w:after="0" w:line="19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Distribution</w:t>
      </w:r>
      <w:r>
        <w:rPr>
          <w:rFonts w:ascii="Times New Roman" w:cs="Times New Roman" w:eastAsia="Times New Roman" w:hAnsi="Times New Roman"/>
          <w:sz w:val="18"/>
          <w:szCs w:val="18"/>
          <w:color w:val="auto"/>
        </w:rPr>
        <w:t>” in this prospectus. We will also describe in an applicable prospectus supplement the way(s) in which we expect to use the net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receive from any sale.</w:t>
      </w:r>
    </w:p>
    <w:p>
      <w:pPr>
        <w:spacing w:after="0" w:line="179"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or sell any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8, 2024.</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800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9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ABOUT THE COMPANY</w:t>
            </w:r>
          </w:p>
        </w:tc>
        <w:tc>
          <w:tcPr>
            <w:tcW w:w="3380" w:type="dxa"/>
            <w:vAlign w:val="bottom"/>
            <w:tcBorders>
              <w:top w:val="single" w:sz="8" w:color="0000EE"/>
            </w:tcBorders>
            <w:gridSpan w:val="10"/>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6400" w:type="dxa"/>
            <w:vAlign w:val="bottom"/>
            <w:gridSpan w:val="1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6420" w:type="dxa"/>
            <w:vAlign w:val="bottom"/>
            <w:gridSpan w:val="13"/>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GENERAL DESCRIPTION OF SECURITIES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33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62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20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598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17"/>
                <w:szCs w:val="17"/>
                <w:color w:val="auto"/>
              </w:rPr>
            </w:pPr>
          </w:p>
        </w:tc>
        <w:tc>
          <w:tcPr>
            <w:tcW w:w="5960" w:type="dxa"/>
            <w:vAlign w:val="bottom"/>
            <w:gridSpan w:val="9"/>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and in an applicable prospectus supplement to this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We are not making an offer to sell these securities or soliciting any offer to buy these securities in any jurisdiction where the offer or sale is not permitted.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w:t>
      </w:r>
    </w:p>
    <w:p>
      <w:pPr>
        <w:spacing w:after="0" w:line="185"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On December 29, 2022, we acquired Disc Medicine Opco, Inc. (formerly Disc Medicine, Inc.), or Private Disc, pursuant to an agreement and plan of merger, or the Merger, and we changed our name to Disc Medicine, Inc. on December 29, 2022. As used in this prospectus,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that we have filed with the Securities and Exchange Commission, or the SEC, as a “well-known seasoned issuer” as defined in Rule 405 of the Securities Act of 1933, as amended, or the Securities Act.</w:t>
      </w:r>
    </w:p>
    <w:p>
      <w:pPr>
        <w:spacing w:after="0" w:line="162"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Under this process, we may sell the securities described in this prospectus in one or more offerings. This prospectus describes the general manner in which we may offer the securities described in this prospectus. Each time we sell securities pursuant to this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w:t>
      </w:r>
    </w:p>
    <w:p>
      <w:pPr>
        <w:spacing w:after="0" w:line="192"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This prospectus, together with any accompanying prospectus supplement together with any additional information incorporated by reference, contains important information you should know before investing in our securities, including important information about us and the securities being offered. You should carefully read both documents, as well as the additional information contained in the documents described under “</w:t>
      </w:r>
      <w:r>
        <w:rPr>
          <w:rFonts w:ascii="Times New Roman" w:cs="Times New Roman" w:eastAsia="Times New Roman" w:hAnsi="Times New Roman"/>
          <w:sz w:val="17"/>
          <w:szCs w:val="17"/>
          <w:i w:val="1"/>
          <w:iCs w:val="1"/>
          <w:color w:val="auto"/>
        </w:rPr>
        <w:t>Where You Can Find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More Information” </w:t>
      </w:r>
      <w:r>
        <w:rPr>
          <w:rFonts w:ascii="Times New Roman" w:cs="Times New Roman" w:eastAsia="Times New Roman" w:hAnsi="Times New Roman"/>
          <w:sz w:val="17"/>
          <w:szCs w:val="17"/>
          <w:color w:val="auto"/>
        </w:rPr>
        <w:t>and “</w:t>
      </w:r>
      <w:r>
        <w:rPr>
          <w:rFonts w:ascii="Times New Roman" w:cs="Times New Roman" w:eastAsia="Times New Roman" w:hAnsi="Times New Roman"/>
          <w:sz w:val="17"/>
          <w:szCs w:val="17"/>
          <w:i w:val="1"/>
          <w:iCs w:val="1"/>
          <w:color w:val="auto"/>
        </w:rPr>
        <w:t>Incorporation of Certain Information by Reference</w:t>
      </w:r>
      <w:r>
        <w:rPr>
          <w:rFonts w:ascii="Times New Roman" w:cs="Times New Roman" w:eastAsia="Times New Roman" w:hAnsi="Times New Roman"/>
          <w:sz w:val="17"/>
          <w:szCs w:val="17"/>
          <w:color w:val="auto"/>
        </w:rPr>
        <w:t>” in both this prospectus and the applicable prospectus supplement, and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particular the annual, quarterly and current reports and other documents we file with the SEC. Neither this prospectus nor any accompanying prospectus supplement is an offer to sell these securities or is soliciting an offer to buy these securities in any jurisdiction where the offer or sale is not permitted.</w:t>
      </w:r>
    </w:p>
    <w:p>
      <w:pPr>
        <w:spacing w:after="0" w:line="3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of 1933, as amended, or the Securities Act, with respect to the securities offered by this prospectus and any applicable prospectus supplement. This prospectus and the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w:t>
      </w:r>
    </w:p>
    <w:p>
      <w:pPr>
        <w:spacing w:after="0" w:line="188"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120" w:right="220"/>
        <w:spacing w:after="0" w:line="267" w:lineRule="auto"/>
        <w:rPr>
          <w:sz w:val="20"/>
          <w:szCs w:val="20"/>
          <w:color w:val="auto"/>
        </w:rPr>
      </w:pPr>
      <w:r>
        <w:rPr>
          <w:rFonts w:ascii="Times New Roman" w:cs="Times New Roman" w:eastAsia="Times New Roman" w:hAnsi="Times New Roman"/>
          <w:sz w:val="18"/>
          <w:szCs w:val="18"/>
          <w:color w:val="auto"/>
        </w:rPr>
        <w:t xml:space="preserve">We also make these documents available on our website at </w:t>
      </w:r>
      <w:r>
        <w:rPr>
          <w:rFonts w:ascii="Times New Roman" w:cs="Times New Roman" w:eastAsia="Times New Roman" w:hAnsi="Times New Roman"/>
          <w:sz w:val="18"/>
          <w:szCs w:val="18"/>
          <w:i w:val="1"/>
          <w:iCs w:val="1"/>
          <w:color w:val="auto"/>
        </w:rPr>
        <w:t>www.discmedicine.com</w:t>
      </w:r>
      <w:r>
        <w:rPr>
          <w:rFonts w:ascii="Times New Roman" w:cs="Times New Roman" w:eastAsia="Times New Roman" w:hAnsi="Times New Roman"/>
          <w:sz w:val="18"/>
          <w:szCs w:val="18"/>
          <w:color w:val="auto"/>
        </w:rPr>
        <w:t>. Our website and the information contained or connected to our website is not incorporated by reference in this prospectus or any prospectus supplement, and you should not consider it part of this prospectus or any prospectus supplement.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the applicable prospectus supplement itself or in any subsequently filed incorporated document. This prospectus and any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w:t>
      </w:r>
    </w:p>
    <w:p>
      <w:pPr>
        <w:spacing w:after="0" w:line="94" w:lineRule="exact"/>
        <w:rPr>
          <w:sz w:val="20"/>
          <w:szCs w:val="20"/>
          <w:color w:val="auto"/>
        </w:rPr>
      </w:pPr>
    </w:p>
    <w:p>
      <w:pPr>
        <w:ind w:left="540" w:hanging="316"/>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fiscal year ended December 31, 2023, filed with the SEC on </w:t>
      </w:r>
      <w:hyperlink r:id="rId82">
        <w:r>
          <w:rPr>
            <w:rFonts w:ascii="Times New Roman" w:cs="Times New Roman" w:eastAsia="Times New Roman" w:hAnsi="Times New Roman"/>
            <w:sz w:val="18"/>
            <w:szCs w:val="18"/>
            <w:u w:val="single" w:color="auto"/>
            <w:color w:val="0000EE"/>
          </w:rPr>
          <w:t>March 21,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540" w:right="320" w:hanging="316"/>
        <w:spacing w:after="0" w:line="282" w:lineRule="auto"/>
        <w:tabs>
          <w:tab w:leader="none" w:pos="540" w:val="left"/>
        </w:tabs>
        <w:numPr>
          <w:ilvl w:val="0"/>
          <w:numId w:val="26"/>
        </w:numPr>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auto"/>
          </w:rPr>
          <w:t xml:space="preserve">Quarterly Reports on Form 10-Q for the quarters ended March 31, 2024 and June 30, 2024, filed with the SEC on </w:t>
        </w:r>
        <w:r>
          <w:rPr>
            <w:rFonts w:ascii="Times New Roman" w:cs="Times New Roman" w:eastAsia="Times New Roman" w:hAnsi="Times New Roman"/>
            <w:sz w:val="18"/>
            <w:szCs w:val="18"/>
            <w:u w:val="single" w:color="auto"/>
            <w:color w:val="0000EE"/>
          </w:rPr>
          <w:t>May 9, 2024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August 8,</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 respectively;</w:t>
        </w:r>
      </w:hyperlink>
    </w:p>
    <w:p>
      <w:pPr>
        <w:spacing w:after="0" w:line="67" w:lineRule="exact"/>
        <w:rPr>
          <w:rFonts w:ascii="Times New Roman" w:cs="Times New Roman" w:eastAsia="Times New Roman" w:hAnsi="Times New Roman"/>
          <w:sz w:val="18"/>
          <w:szCs w:val="18"/>
          <w:color w:val="0000EE"/>
        </w:rPr>
      </w:pPr>
    </w:p>
    <w:p>
      <w:pPr>
        <w:ind w:left="540" w:right="380" w:hanging="316"/>
        <w:spacing w:after="0" w:line="282"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83">
        <w:r>
          <w:rPr>
            <w:rFonts w:ascii="Times New Roman" w:cs="Times New Roman" w:eastAsia="Times New Roman" w:hAnsi="Times New Roman"/>
            <w:sz w:val="18"/>
            <w:szCs w:val="18"/>
            <w:u w:val="single" w:color="auto"/>
            <w:color w:val="0000EE"/>
          </w:rPr>
          <w:t>February 7, 2024</w:t>
        </w:r>
      </w:hyperlink>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u w:val="single" w:color="auto"/>
            <w:color w:val="0000EE"/>
          </w:rPr>
          <w:t>April 2, 2024</w:t>
        </w:r>
      </w:hyperlink>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u w:val="single" w:color="auto"/>
            <w:color w:val="0000EE"/>
          </w:rPr>
          <w:t>June 14, 2024</w:t>
        </w:r>
      </w:hyperlink>
      <w:r>
        <w:rPr>
          <w:rFonts w:ascii="Times New Roman" w:cs="Times New Roman" w:eastAsia="Times New Roman" w:hAnsi="Times New Roman"/>
          <w:sz w:val="18"/>
          <w:szCs w:val="18"/>
          <w:color w:val="auto"/>
        </w:rPr>
        <w:t xml:space="preserve">, </w:t>
      </w:r>
      <w:hyperlink r:id="rId86">
        <w:r>
          <w:rPr>
            <w:rFonts w:ascii="Times New Roman" w:cs="Times New Roman" w:eastAsia="Times New Roman" w:hAnsi="Times New Roman"/>
            <w:sz w:val="18"/>
            <w:szCs w:val="18"/>
            <w:u w:val="single" w:color="auto"/>
            <w:color w:val="0000EE"/>
          </w:rPr>
          <w:t>June 14,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(in each case, excluding information furnished pursuant to Item 7.01) and </w:t>
      </w:r>
      <w:hyperlink r:id="rId87">
        <w:r>
          <w:rPr>
            <w:rFonts w:ascii="Times New Roman" w:cs="Times New Roman" w:eastAsia="Times New Roman" w:hAnsi="Times New Roman"/>
            <w:sz w:val="18"/>
            <w:szCs w:val="18"/>
            <w:u w:val="single" w:color="auto"/>
            <w:color w:val="0000EE"/>
          </w:rPr>
          <w:t>June 14,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540" w:right="120" w:hanging="316"/>
        <w:spacing w:after="0" w:line="258"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71">
        <w:r>
          <w:rPr>
            <w:rFonts w:ascii="Times New Roman" w:cs="Times New Roman" w:eastAsia="Times New Roman" w:hAnsi="Times New Roman"/>
            <w:sz w:val="18"/>
            <w:szCs w:val="18"/>
            <w:u w:val="single" w:color="auto"/>
            <w:color w:val="0000EE"/>
          </w:rPr>
          <w:t>August 10, 2020</w:t>
        </w:r>
      </w:hyperlink>
      <w:r>
        <w:rPr>
          <w:rFonts w:ascii="Times New Roman" w:cs="Times New Roman" w:eastAsia="Times New Roman" w:hAnsi="Times New Roman"/>
          <w:sz w:val="18"/>
          <w:szCs w:val="18"/>
          <w:color w:val="auto"/>
        </w:rPr>
        <w:t xml:space="preserve">, and as set forth by the description of the Registrant’s common stock set forth in </w:t>
      </w:r>
      <w:hyperlink r:id="rId72">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Annual Report on Form 10-K for the year ended December 31, 2021, filed with the SEC on </w:t>
      </w:r>
      <w:hyperlink r:id="rId88">
        <w:r>
          <w:rPr>
            <w:rFonts w:ascii="Times New Roman" w:cs="Times New Roman" w:eastAsia="Times New Roman" w:hAnsi="Times New Roman"/>
            <w:sz w:val="18"/>
            <w:szCs w:val="18"/>
            <w:u w:val="single" w:color="auto"/>
            <w:color w:val="0000EE"/>
          </w:rPr>
          <w:t>March 10, 2022</w:t>
        </w:r>
      </w:hyperlink>
      <w:r>
        <w:rPr>
          <w:rFonts w:ascii="Times New Roman" w:cs="Times New Roman" w:eastAsia="Times New Roman" w:hAnsi="Times New Roman"/>
          <w:sz w:val="18"/>
          <w:szCs w:val="18"/>
          <w:color w:val="auto"/>
        </w:rPr>
        <w:t xml:space="preserve">, and as further supplemented by the description of the Registrant’s common stock set forth in the Registrant’s Registration Statement on Form S-4/A, filed with the SEC on </w:t>
      </w:r>
      <w:hyperlink r:id="rId73">
        <w:r>
          <w:rPr>
            <w:rFonts w:ascii="Times New Roman" w:cs="Times New Roman" w:eastAsia="Times New Roman" w:hAnsi="Times New Roman"/>
            <w:sz w:val="18"/>
            <w:szCs w:val="18"/>
            <w:u w:val="single" w:color="auto"/>
            <w:color w:val="0000EE"/>
          </w:rPr>
          <w:t>December 1, 2022</w:t>
        </w:r>
      </w:hyperlink>
      <w:r>
        <w:rPr>
          <w:rFonts w:ascii="Times New Roman" w:cs="Times New Roman" w:eastAsia="Times New Roman" w:hAnsi="Times New Roman"/>
          <w:sz w:val="18"/>
          <w:szCs w:val="18"/>
          <w:color w:val="auto"/>
        </w:rPr>
        <w:t>, including any amendments or reports filed for the purpose of updating such description.</w:t>
      </w:r>
    </w:p>
    <w:p>
      <w:pPr>
        <w:spacing w:after="0" w:line="183" w:lineRule="exact"/>
        <w:rPr>
          <w:rFonts w:ascii="Times New Roman" w:cs="Times New Roman" w:eastAsia="Times New Roman" w:hAnsi="Times New Roman"/>
          <w:sz w:val="18"/>
          <w:szCs w:val="18"/>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w:t>
      </w:r>
    </w:p>
    <w:p>
      <w:pPr>
        <w:spacing w:after="0" w:line="189" w:lineRule="exact"/>
        <w:rPr>
          <w:rFonts w:ascii="Times New Roman" w:cs="Times New Roman" w:eastAsia="Times New Roman" w:hAnsi="Times New Roman"/>
          <w:sz w:val="18"/>
          <w:szCs w:val="18"/>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 this prospectus or the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w:t>
      </w:r>
    </w:p>
    <w:p>
      <w:pPr>
        <w:spacing w:after="0" w:line="187" w:lineRule="exact"/>
        <w:rPr>
          <w:rFonts w:ascii="Times New Roman" w:cs="Times New Roman" w:eastAsia="Times New Roman" w:hAnsi="Times New Roman"/>
          <w:sz w:val="18"/>
          <w:szCs w:val="18"/>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Documents incorporated by reference are available from us without charge, excluding all exhibits unless specifically incorporated by reference as an exhibit to this prospectus and the applicable prospectus supplement.</w:t>
      </w:r>
    </w:p>
    <w:p>
      <w:pPr>
        <w:spacing w:after="0" w:line="94"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Prospective investors may obtain documents incorporated by reference in this prospectus and the applicable prospectus supplement at no cost by requesting them in writing or by telephone from us at our executive offices at:</w:t>
      </w:r>
    </w:p>
    <w:p>
      <w:pPr>
        <w:spacing w:after="0" w:line="5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5500" w:hanging="438"/>
        <w:spacing w:after="0"/>
        <w:tabs>
          <w:tab w:leader="none" w:pos="5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674-9274</w:t>
      </w:r>
    </w:p>
    <w:p>
      <w:pPr>
        <w:spacing w:after="0" w:line="13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ectPr>
          <w:pgSz w:w="11900" w:h="16838" w:orient="portrait"/>
          <w:cols w:equalWidth="0" w:num="1">
            <w:col w:w="10520"/>
          </w:cols>
          <w:pgMar w:left="320" w:top="455" w:right="10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This prospectus, together with any accompanying prospectus supplement,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facts contained in this prospectus, including statements regarding our strategy, future operations, future financial position, future revenue, projected costs, prospects, plan, objectives of management and expected market growth, are forward-looking statements. You can identify these forward-looking statements by the use of words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include, among other things:</w:t>
      </w:r>
    </w:p>
    <w:p>
      <w:pPr>
        <w:spacing w:after="0" w:line="97" w:lineRule="exact"/>
        <w:rPr>
          <w:sz w:val="20"/>
          <w:szCs w:val="20"/>
          <w:color w:val="auto"/>
        </w:rPr>
      </w:pPr>
    </w:p>
    <w:p>
      <w:pPr>
        <w:ind w:left="1080" w:right="8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our ongoing Phase 1b/2 clinical trials of DISC-0974 and our ongoing Phase 1 clinical trial of DISC-3405, and including statements regarding the timing of initiation and completion of studies or trials and related preparatory work, the period during which the results of the trials will become available, and our research and development programs;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the current conflicts between Russia and Ukraine and between Israel and Hamas, economic sanctions and economic slowdowns or recessions that may result from such developments which could harm our research and development efforts as well as the value of our common stock and our ability to access capital markets; and</w:t>
      </w:r>
    </w:p>
    <w:p>
      <w:pPr>
        <w:spacing w:after="0" w:line="8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in this prospectus and any related prospectus supplement or free writing prospectus, and in any other documents incorporated herein or therein (including in our most recent annual report on Form 10-K, subsequent quarterly reports on Form 10-Q and other filings we make with the SEC pursuant to Section 13(a), 13(c), 14 or 15(d) of the Exchange Act). Any forward-looking statement in this prospectus or any related prospectus supplement or free writing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and Industry Data and Estimates</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This prospectus, together with any accompanying prospectus supplement and the information incorporated herein or therein by reference, also contains estimates, projections and other information concerning our industry, our business and the markets for our product candidates,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We have not independently verified the accuracy and completeness of such data, and in some cases, we do not expressly refer to the sources from which these data are derived.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Disc Medicine, Inc., the Disc logo and our other registered or common law trademarks, trade names or service marks appearing in this prospectus are owned by us. This prospectus, any applicable prospectus supplement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76" w:lineRule="auto"/>
        <w:rPr>
          <w:sz w:val="20"/>
          <w:szCs w:val="20"/>
          <w:color w:val="auto"/>
        </w:rPr>
      </w:pPr>
      <w:r>
        <w:rPr>
          <w:rFonts w:ascii="Times New Roman" w:cs="Times New Roman" w:eastAsia="Times New Roman" w:hAnsi="Times New Roman"/>
          <w:sz w:val="17"/>
          <w:szCs w:val="17"/>
          <w:color w:val="auto"/>
        </w:rPr>
        <w:t>any information incorporated herein or therein may contain references to our trademarks and to trademarks belonging to other entities. Solely for convenience, trademarks and trade names referred to in this prospectus, including logos, artwork and other visual displays, generally appear without the</w:t>
      </w:r>
    </w:p>
    <w:p>
      <w:pPr>
        <w:spacing w:after="0" w:line="1" w:lineRule="exact"/>
        <w:rPr>
          <w:sz w:val="20"/>
          <w:szCs w:val="20"/>
          <w:color w:val="auto"/>
        </w:rPr>
      </w:pPr>
    </w:p>
    <w:p>
      <w:pPr>
        <w:ind w:left="120" w:hanging="4"/>
        <w:spacing w:after="0" w:line="227" w:lineRule="auto"/>
        <w:tabs>
          <w:tab w:leader="none" w:pos="267" w:val="left"/>
        </w:tabs>
        <w:numPr>
          <w:ilvl w:val="0"/>
          <w:numId w:val="3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 All trademarks, service marks and trade names included or incorporated by reference in this prospectus, any applicable prospectus supplement or any related free writing prospectus are the property of their respective owners.</w:t>
      </w:r>
    </w:p>
    <w:p>
      <w:pPr>
        <w:spacing w:after="0" w:line="1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THE COMPANY</w:t>
      </w:r>
    </w:p>
    <w:p>
      <w:pPr>
        <w:spacing w:after="0" w:line="227"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highlights information about the Registrant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188"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In July 2022, we initiated BEACON, a Phase 2 open-label, parallel-dose clinical trial of bitopertin in EPP and XLP patients that is being conducted at sites in Australia. In October 2022, we initiated AURORA, a Phase 2, randomized, double-blind, placebo-controlled clinical trial of bitopertin in EPP patients that is being conducted at sites in the United States. We presented interim data from BEACON in June and December 2023, and we presented topline data from AURORA in April 2024. Additional analyses of the BEACON and AURORA trials were presented in June 2024. We expect to have regulatory interactions to define optimal registrational endpoints moving forward in EPP in the second half of 2024. We entered into a collaborative research and development agreement with the National Institutes of Health, or NIH, to conduct an NIH-sponsored clinical trial of bitopertin in DBA. The FDA authorized the clinical trial to proceed and the trial began in July 2023. We are planning additional trials of bitopertin in other indications.</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and was in-licensed from AbbVie Deutschland GmbH &amp; Co. KG, or AbbVie.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and presented additional interim data for anemia of MF in June 2024, including safety and changes in hepcidin, iron, and hemoglobin levels for additional patients, as well as longer follow-up. We anticipate presenting additional interim data for non-dialysis dependent CKD and anemia in second half of 2024. In addition, we are developing a preclinical anti-hemojuvelin, or HJV, monoclonal antibody, DISC-0998, which also targets hepcidin suppression and was in-licensed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a Phase 1 clinical trial in healthy adult volunteers was initiated in October 2023. Interim data was presented from the single-ascending dose (SAD) portion of the Phase 1 clinical trial of DISC-3405 in healthy volunteers in June 2024. We anticipate presenting data from the multiple-ascending dose (MAD) portion of the Phase 1 healthy volunteer study of DISC-3405 in the fourth quarter of 2024. We expect to develop DISC-3405 for the treatment of PV and other hematologic disorders.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with Gemini</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In accordance with the Merger Agreement, the Merger Sub merged with and into Private Disc, with Private Disc surviving as a wholly-owned subsidiary of the Company (the “merger”). Gemini changed its name to Disc Medicine Inc., and Private Disc, which remains as a wholly-owned subsidiary of the Company, changed its name to Disc Medicine Opco, Inc. On December 30, 2022, the combined company’s common stock began trading on The Nasdaq Capital Market under the ticker symbol “IRON.”</w:t>
      </w:r>
    </w:p>
    <w:p>
      <w:pPr>
        <w:spacing w:after="0" w:line="18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Except as otherwise indicated, references herein to “Disc,” the “Company,” or the “combined company”, refer to Disc Medicine, Inc. on a post-merger basis, and the term “Private Disc” refers to the business of privately-held Disc Medicine, Inc., prior to completion of the merger. References to Gemini refer to Gemini Therapeutics, Inc. prior to completion of the merger.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Disc Medicine, Inc. was originally incorporated under the laws of the state of Delaware in October 2017, and changed its name to Disc Medicine Opco, Inc., or Disc Opco, in December 2022. On December 29, 2022, we completed our business combination with Gemini, in accordance with the terms of the Merger Agreement, pursuant to which, among other matters, Merger Sub merged with and into Disc Opco, with Disc Opco continuing as a wholly owned subsidiary of us and the surviving corporation of the merger, or the Merger. In connection with the closing of the Merger, Gemini changed its name to Disc Medicine, Inc.</w:t>
      </w:r>
    </w:p>
    <w:p>
      <w:pPr>
        <w:spacing w:after="0" w:line="183"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321 Arsenal Street, Suite 101, Watertown, MA 02472, and our telephone number is (617) 674-9274. Our website address is www.discmedicine.com. We do not incorporate the information on or accessible through our website into this prospectus, and you should not consider any information on, or that can be accessed through, our website as part of this prospectus. Our common stock is listed on Nasdaq under the symbol “IRON.”</w:t>
      </w:r>
    </w:p>
    <w:p>
      <w:pPr>
        <w:spacing w:after="0" w:line="180"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and Current Reports on Form 8-K and amendments to those reports filed or furnished pursuant to Section 13(a) or 15(d) of the Exchange Act are available, free of charge, on or through our website as soon as reasonably practicable after such reports and amendments are electronically filed with or furnished to the SEC. The SEC maintains an Internet site that contains reports, proxy and information statements and other information regarding our filings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Company, please refer to other documents we have filed with the SEC and that are incorporated by reference into this prospectus, as listed under the heading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40"/>
          </w:cols>
          <w:pgMar w:left="320" w:top="455" w:right="5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w:t>
      </w:r>
    </w:p>
    <w:p>
      <w:pPr>
        <w:spacing w:after="0" w:line="81" w:lineRule="exact"/>
        <w:rPr>
          <w:sz w:val="20"/>
          <w:szCs w:val="20"/>
          <w:color w:val="auto"/>
        </w:rPr>
      </w:pPr>
    </w:p>
    <w:p>
      <w:pPr>
        <w:ind w:left="1080" w:right="42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only disclose two years of audited financial statements in addition to any required unaudited interim financial statements with correspondingly reduced “Management’s Discussion and Analysis of Financial Condition and Results of Operations” disclosure;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130"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advisory votes on executive compensation or to obtain stockholder approval of any golden parachute arrangements not previously approved;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may take advantage of these exemptions until the end of the fiscal year following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2025;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 Subject to certain conditions, as an emerging growth company, we may rely on certain of these exemptions, including without limitation, omitting an auditor’s attestation report on our system of internal controls over financial reporting otherwise required by Section 404(b) of the Sarbanes-Oxley Act of 2002.</w:t>
      </w:r>
    </w:p>
    <w:p>
      <w:pPr>
        <w:spacing w:after="0" w:line="19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certain risks. Before you invest in any of our common stock, preferred stock, debt securities, warrants or units, in addition to the other information included in, or incorporated by reference into, this prospectus, you should carefully consider the risk factors contained in our most recent Annual Report on Form 10-K, which is on file with the SEC and is incorporated herein by reference, as updated by our subsequent annual, quarterly and other reports we file with the SEC, as well as any amendments thereto, which are incorporated by reference into this prospectus.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information about how to obtain a copy of these documents. You should also carefully consider the risks and other information that may be contained in, or incorporated by reference into, any prospectus supplement relating to specific offerings of securities.</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320" w:top="455" w:right="5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Unless otherwise described in the applicable prospectus supplement, we intend to use the net proceeds from the sale of any securities described in this prospectus for general corporate purposes, which may include research and development and preclinical and clinical development costs to support the advancement of our product candidates; working capital; capital expenditures; general and administrative expenses; and other general corporate purposes.</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1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do not anticipate paying any cash dividends in the foreseeable future. Payment of cash dividends, if any, in the future will solely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1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60"/>
          </w:cols>
          <w:pgMar w:left="320" w:top="455" w:right="8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GENERAL DESCRIPTION OF SECURITIES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offer shares of common or preferred stock, various series of senior or subordinated debt securities, warrants, or units consisting of combinations of the foregoing, in each case from time to time under this prospectus, together with the applicable prospectus supplement, at prices and on terms to be determined by market conditions at the time of offering. This prospectus provides you with a general description of the securities we may offer. At the time we offer a particular type or series of securities, we will provide an applicable prospectus supplement describing the specific amounts, prices and other important terms of the securities, including, to the extent applicable:</w:t>
      </w:r>
    </w:p>
    <w:p>
      <w:pPr>
        <w:spacing w:after="0" w:line="89"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dividends or other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pacing w:after="0" w:line="130" w:lineRule="exact"/>
        <w:rPr>
          <w:rFonts w:ascii="Times New Roman" w:cs="Times New Roman" w:eastAsia="Times New Roman" w:hAnsi="Times New Roman"/>
          <w:sz w:val="18"/>
          <w:szCs w:val="18"/>
          <w:color w:val="auto"/>
        </w:rPr>
      </w:pPr>
    </w:p>
    <w:p>
      <w:pPr>
        <w:jc w:val="both"/>
        <w:ind w:left="1080" w:right="1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settlement or sinking fund terms, including prices or rates, and any provisions for changes to or adjustments in such prices or rates and in the securities or other property receivable upon conversion, exercise, exchange or settlement;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listing arrangements;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U.S. federal income tax considerations.</w:t>
      </w:r>
    </w:p>
    <w:p>
      <w:pPr>
        <w:spacing w:after="0" w:line="225"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offer or sell securities unless accompanied by an applicable prospectus supplement. The applicable prospectus supplement may add, update or change information contained in this prospectus or in documents incorporated by reference in this prospectus. You should read the applicable prospectus supplement related to any securities being offered.</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may sell the securities to or through underwriters, dealers or agents, directly to purchasers or through a combination of any of these methods of sale or as otherwise set forth under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We and our underwriters, dealers or agents reserve the right to accept or reject all or part of any proposed purchase of securities. If we do offer securities through underwriters or agents, we will include in the applicable prospectus supplement (i) the names of the underwriters or agents and applicable fees, discounts and commissions to be paid to them; (ii) details regarding over-allotment options, if any; and (iii) net proceeds to us.</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descriptions are not complete and may not contain all the information you should consider before investing in any securities we may offer hereunder; they are summarized from, and qualified by reference to, our amended and restated certificate of incorporation, amended and restated bylaws and the other documents referred to in the descriptions, all of which are or will be publicly filed with the SEC, as applicable. See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following summary description of our common stock and preferred stock, together with the additional information we include in any applicable prospectus supplements, summarizes the material terms and provisions of our capital stock. The following description of our capital stock is intended as a summary only, does not purport to be complete and is subject to, and qualified in its entirety by, our amended and restated certificate of incorporation and amended and restated bylaws, which are exhibits to the registration statement of which this prospectus forms a part, and by applicable law. The terms of our common stock and preferred stock may also be affected by Delaware law.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100,000,000 shares of common stock, par value $0.0001 per share, and 10,000,000 shares of preferred stock, par value $0.0001 per share, all of which preferred stock is undesignated. As of June 30, 2024, we had 29,707,997 shares of our common stock outstanding and no shares of preferred stock outstanding. Unless our board of directors determines otherwise, we will issue all shares of our capital stock in uncertificated form.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80"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When we issue shares of common stock under this prospectus, when issued and paid for, the shares will be validly issued, fully paid and non-assessable.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“IRON.” On August 7, 2024, the closing price for our common stock, as reported on The Nasdaq Global Market, was $41.27 per share. As of June 30, 2024, we had estimated approximately 19 stockholders of record.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Broadridge Corporate Issuer Solutions, LLC. The transfer agent and registrar’s address is 51 Mercedes Way, Edgewood, NY 11717.</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We have no shares of preferred stock outstanding, and we have no present plan to issue any shares of preferred stock.</w:t>
      </w:r>
    </w:p>
    <w:p>
      <w:pPr>
        <w:spacing w:after="0" w:line="180"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in one or more series and determine the number of shares in the series and its rights and preferences is to eliminate delays associated with a stockholder vote on specific issuances. Examples of rights and preferences that our board of directors may fix are:</w:t>
      </w:r>
    </w:p>
    <w:p>
      <w:pPr>
        <w:spacing w:after="0" w:line="8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redemption;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preferences.</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Series of Preferred Stock</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will incorporate by reference as an exhibit to the registration statement, which includes this prospectus, the form of any certificate of designation that describes the terms of any additional series of preferred stock we may offer pursuant to this prospectus. This description and the applicable prospectus supplement will include:</w:t>
      </w:r>
    </w:p>
    <w:p>
      <w:pPr>
        <w:spacing w:after="0" w:line="81"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authorized;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United States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When we issue shares of preferred stock under this prospectus, the shares will fully be paid and nonassessable and will not be subject to any preemptive or similar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holders of an estimated 5.0 million shares of our common stock, or their transferees, are entitled to the registration rights set forth below with respect to registration of the resale of such shares under the Securities Act pursuant to the investors’ rights agreement, by and among us and certain of our stockholders. Generally, in an underwritten offering, the managing underwriter, if any, has the right, subject to specified conditions and limitations, to limit the number of shares the holders may include.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Registration Rights Agreement</w:t>
      </w:r>
    </w:p>
    <w:p>
      <w:pPr>
        <w:spacing w:after="0" w:line="121" w:lineRule="exact"/>
        <w:rPr>
          <w:sz w:val="20"/>
          <w:szCs w:val="20"/>
          <w:color w:val="auto"/>
        </w:rPr>
      </w:pPr>
    </w:p>
    <w:p>
      <w:pPr>
        <w:jc w:val="both"/>
        <w:ind w:left="120" w:right="600"/>
        <w:spacing w:after="0" w:line="266" w:lineRule="auto"/>
        <w:rPr>
          <w:sz w:val="20"/>
          <w:szCs w:val="20"/>
          <w:color w:val="auto"/>
        </w:rPr>
      </w:pPr>
      <w:r>
        <w:rPr>
          <w:rFonts w:ascii="Times New Roman" w:cs="Times New Roman" w:eastAsia="Times New Roman" w:hAnsi="Times New Roman"/>
          <w:sz w:val="18"/>
          <w:szCs w:val="18"/>
          <w:color w:val="auto"/>
        </w:rPr>
        <w:t>We are party to a registration rights agreement, or the 2022 Registration Rights Agreement, with certain holders of our capital stock, or the 2022 Investors, pursuant to which we (i) agreed to register for resale shares of our common stock issued to the 2022 Investors pursuant to the Merger Agreement, or the Registrable Securities, and (ii) granted certain other registration rights to the 2022 Investors.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particular, the 2022 Registration Rights Agreement provides for the following registration rights:</w:t>
      </w:r>
    </w:p>
    <w:p>
      <w:pPr>
        <w:spacing w:after="0" w:line="129" w:lineRule="exact"/>
        <w:rPr>
          <w:sz w:val="20"/>
          <w:szCs w:val="20"/>
          <w:color w:val="auto"/>
        </w:rPr>
      </w:pPr>
    </w:p>
    <w:p>
      <w:pPr>
        <w:ind w:left="1080" w:right="60" w:hanging="424"/>
        <w:spacing w:after="0" w:line="267"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 rights</w:t>
      </w:r>
      <w:r>
        <w:rPr>
          <w:rFonts w:ascii="Times New Roman" w:cs="Times New Roman" w:eastAsia="Times New Roman" w:hAnsi="Times New Roman"/>
          <w:sz w:val="18"/>
          <w:szCs w:val="18"/>
          <w:color w:val="auto"/>
        </w:rPr>
        <w:t>. Following the completion of the merger as contemplated by the Merger Agreement, we were required to file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 a shelf registration statement registering the resale of the Registrable Securities, and use our commercially reasonable efforts to have such registration statement declared effective by the SEC as promptly as possible.</w:t>
      </w:r>
    </w:p>
    <w:p>
      <w:pPr>
        <w:spacing w:after="0" w:line="78"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 and indemnification</w:t>
      </w:r>
      <w:r>
        <w:rPr>
          <w:rFonts w:ascii="Times New Roman" w:cs="Times New Roman" w:eastAsia="Times New Roman" w:hAnsi="Times New Roman"/>
          <w:sz w:val="18"/>
          <w:szCs w:val="18"/>
          <w:color w:val="auto"/>
        </w:rPr>
        <w:t>. The fees, costs and expenses of registrations pursuant to the registration rights granted to the 2022 Investors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2022 Registration Rights Agreement will be borne by us. The 2022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2021 Registration Rights Agreement</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are a party to a registration rights agreement, or the 2021 Registration Rights Agreement, pursuant to which, among other things, certain holders of capital stock, including certain investors of FS Development Corporation, a Delaware corporation, or the FSDC Investors, certain entities affiliated with Atlas Ventures, entities affiliated with Lightstone Ventures, OrbiMed Private Investments VI, LP, and Wu Capital Investment LLC, or collectively, the Major Investors and together with the FSDC Investors, the Investors, were granted certain registration rights with respect to Registrable Securities, as defined in the 2021 Registration Rights Agreement, held by them, subject to certain conditions and limitations.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particular, the 2021 Registration Rights Agreement provides for the following registration rights:</w:t>
      </w:r>
    </w:p>
    <w:p>
      <w:pPr>
        <w:spacing w:after="0" w:line="129" w:lineRule="exact"/>
        <w:rPr>
          <w:sz w:val="20"/>
          <w:szCs w:val="20"/>
          <w:color w:val="auto"/>
        </w:rPr>
      </w:pPr>
    </w:p>
    <w:p>
      <w:pPr>
        <w:ind w:left="1080" w:hanging="424"/>
        <w:spacing w:after="0" w:line="258"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Demand registration rights</w:t>
      </w:r>
      <w:r>
        <w:rPr>
          <w:rFonts w:ascii="Times New Roman" w:cs="Times New Roman" w:eastAsia="Times New Roman" w:hAnsi="Times New Roman"/>
          <w:sz w:val="18"/>
          <w:szCs w:val="18"/>
          <w:color w:val="auto"/>
        </w:rPr>
        <w:t>. We are required, upon the written request of either (i) FSDC Investors holding a majority of the Registrable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held by all FSDC Investors or (ii) Major Investors holding a majority of the Registrable Securities held by all Major Investors, to file a registration statement under the Securities Act on Form S-1 or any similar long-form registration statement or, if then available, on Form S-3, and use reasonable best efforts to effect the registration of all or part of their registrable securities requested to be included in such registration by the Investors.</w:t>
      </w:r>
    </w:p>
    <w:p>
      <w:pPr>
        <w:spacing w:after="0" w:line="88"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 rights</w:t>
      </w:r>
      <w:r>
        <w:rPr>
          <w:rFonts w:ascii="Times New Roman" w:cs="Times New Roman" w:eastAsia="Times New Roman" w:hAnsi="Times New Roman"/>
          <w:sz w:val="18"/>
          <w:szCs w:val="18"/>
          <w:color w:val="auto"/>
        </w:rPr>
        <w:t>. A shelf registration statement pursuant to Rule 415 of Securities Act, was filed on February 17, 2021 and became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on April 28, 2021. At any time we have an effective shelf registration statement, if we receive a request from Investors holding registrable securities with an estimated market value of at least $5,000,000, to effect an underwritten shelf takedown, we shall use our reasonable best efforts to as expeditiously as possible effect the underwritten shelf takedown.</w:t>
      </w:r>
    </w:p>
    <w:p>
      <w:pPr>
        <w:spacing w:after="0" w:line="85" w:lineRule="exact"/>
        <w:rPr>
          <w:rFonts w:ascii="Times New Roman" w:cs="Times New Roman" w:eastAsia="Times New Roman" w:hAnsi="Times New Roman"/>
          <w:sz w:val="18"/>
          <w:szCs w:val="18"/>
          <w:color w:val="auto"/>
        </w:rPr>
      </w:pPr>
    </w:p>
    <w:p>
      <w:pPr>
        <w:ind w:left="1080" w:right="240" w:hanging="424"/>
        <w:spacing w:after="0" w:line="257"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Limits on demand registration rights and shelf registration rights. </w:t>
      </w:r>
      <w:r>
        <w:rPr>
          <w:rFonts w:ascii="Times New Roman" w:cs="Times New Roman" w:eastAsia="Times New Roman" w:hAnsi="Times New Roman"/>
          <w:sz w:val="18"/>
          <w:szCs w:val="18"/>
          <w:color w:val="auto"/>
        </w:rPr>
        <w:t>We shall not be obligated to effect: (a) more than one (1) demand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Investors, including those made under a shelf registration statement.</w:t>
      </w:r>
    </w:p>
    <w:p>
      <w:pPr>
        <w:spacing w:after="0" w:line="87"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At any time after the first anniversary of the closing date, if we propose to file a registration statement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 any of our equity securities under the Securities Act or to conduct a public offering, either for our own account or for the account of any other person, subject to certain exceptions, the Investors are entitled to include their registrable securities in such registration statement, subject to customary cut-back rights.</w:t>
      </w:r>
    </w:p>
    <w:p>
      <w:pPr>
        <w:spacing w:after="0" w:line="85" w:lineRule="exact"/>
        <w:rPr>
          <w:rFonts w:ascii="Times New Roman" w:cs="Times New Roman" w:eastAsia="Times New Roman" w:hAnsi="Times New Roman"/>
          <w:sz w:val="18"/>
          <w:szCs w:val="18"/>
          <w:color w:val="auto"/>
        </w:rPr>
      </w:pPr>
    </w:p>
    <w:p>
      <w:pPr>
        <w:ind w:left="1080" w:right="240" w:hanging="424"/>
        <w:spacing w:after="0" w:line="258"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 and indemnification</w:t>
      </w:r>
      <w:r>
        <w:rPr>
          <w:rFonts w:ascii="Times New Roman" w:cs="Times New Roman" w:eastAsia="Times New Roman" w:hAnsi="Times New Roman"/>
          <w:sz w:val="18"/>
          <w:szCs w:val="18"/>
          <w:color w:val="auto"/>
        </w:rPr>
        <w:t>. All fees, costs and expenses of underwritten registrations will be borne by us and underwriting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selling commissions will be borne by the holders of the shares being registered. The 2021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88" w:lineRule="exact"/>
        <w:rPr>
          <w:rFonts w:ascii="Times New Roman" w:cs="Times New Roman" w:eastAsia="Times New Roman" w:hAnsi="Times New Roman"/>
          <w:sz w:val="18"/>
          <w:szCs w:val="18"/>
          <w:color w:val="auto"/>
        </w:rPr>
      </w:pPr>
    </w:p>
    <w:p>
      <w:pPr>
        <w:ind w:left="1080" w:right="20" w:hanging="424"/>
        <w:spacing w:after="0" w:line="257"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Registrable securities</w:t>
      </w:r>
      <w:r>
        <w:rPr>
          <w:rFonts w:ascii="Times New Roman" w:cs="Times New Roman" w:eastAsia="Times New Roman" w:hAnsi="Times New Roman"/>
          <w:sz w:val="18"/>
          <w:szCs w:val="18"/>
          <w:color w:val="auto"/>
        </w:rPr>
        <w:t>. Securities of ours shall cease to be registrable securities upon the earlier of (i) tenth anniversary of February 5,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 the date as of which (1) a registration statement with respect to the sale of such securities shall have become effective under the Securities Act and such securities shall have been disposed of in accordance with such registration statement, or (2)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 (y) if such Investor is an individual and such Investor is a director or an executive officer of Disc or FS Development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60"/>
        <w:spacing w:after="0" w:line="266" w:lineRule="auto"/>
        <w:rPr>
          <w:sz w:val="20"/>
          <w:szCs w:val="20"/>
          <w:color w:val="auto"/>
        </w:rPr>
      </w:pPr>
      <w:r>
        <w:rPr>
          <w:rFonts w:ascii="Times New Roman" w:cs="Times New Roman" w:eastAsia="Times New Roman" w:hAnsi="Times New Roman"/>
          <w:sz w:val="18"/>
          <w:szCs w:val="18"/>
          <w:color w:val="auto"/>
        </w:rPr>
        <w:t>Corporation as of immediately prior to the consummation of the business combination, the date when such Investor is permitted to sell the Registrable Securities under Rule 144 (or any similar provision) under the Securities Act without limitation on the amount of securities sold or the manner of sale.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Delaware General Corporation Law does not require stockholder approval for any issuance of authorized shares. However, the listing requirements of Nasdaq, which would apply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our Amended and Restated Certificate of Incorporation and Amended and Restated Bylaws and Delaware Law</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83"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are not governed by Section 203 of the Delaware General Corporation Law.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21"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a special meeting of stockholders may be called at any time by our board of directors, but such special meetings may not be called by the stockholders or any other person or persons.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contain advance notice procedures with respect to stockholder proposals and the nomination of candidates for election as directors, other than nominations made by or at the direction of our board of directors or a committee of our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stockholder action by written consent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amended and restated certificate of incorporation does not allow stockholders to act by written consent without a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election and removal of directors; filling vacancies</w:t>
      </w:r>
    </w:p>
    <w:p>
      <w:pPr>
        <w:spacing w:after="0" w:line="22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Our board of directors is divided into three classes, divided as nearly as equal in number as possible.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66-2/3% of the voting power of the then outstanding voting stock. Any vacancy on our board of directors, however occurring, including a vacancy resulting from an increase in the size of the board, may only be filled by a resolution of the board of directors.</w:t>
      </w:r>
    </w:p>
    <w:p>
      <w:pPr>
        <w:spacing w:after="0" w:line="18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employees or stockholders to us or to our stockholders; any action asserting a claim against us arising pursuant to the Delaware General Corporation Law, our amended and restated certificate of incorporation or our amended and restated bylaws (as either may be amended from time to time); any action to interpret, apply, enforce or determine the validity of our amended and restated certificate of incorporation or our amended and restated bylaws;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the Securities Act. In addition, unless we consent in writing to the selection of an alternative forum, the United States District Court for the District of Massachusetts will be the sole and exclusive forum for resolving any action asserting a claim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and amended and restated bylaws preclude stockholders that assert claims under the Exchange Act from bringing such claims in state or federal court, subject to applicable law.</w:t>
      </w:r>
    </w:p>
    <w:p>
      <w:pPr>
        <w:spacing w:after="0" w:line="196"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 or bylaws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amended and restated bylaws may be amended or repealed by our board of directors or by the affirmative vote of the holders of not less than two-thirds of the voting power of all of the shares of the capital stock of our Company entitled to vote on such amendment or repeal, voting as one class; provided, however, that if our board of directors recommends that stockholders approve such amendment or repeal, such amendment or repeal shall only require the affirmative vote of the majority of the outstanding shares of capital stock entitled to vote on such amendment or repeal, voting together as a single class. The affirmative vote of the holders of the majority of the outstanding shares of capital stock of our Company entitled to vote thereon as a class, and the affirmative vote of the holders of a majority of the outstanding shares of each class entitled to vote thereon as a class voting together as a single class, will be required to amend certain provisions of our amended and restated certificate of incorporation.</w:t>
      </w:r>
    </w:p>
    <w:p>
      <w:pPr>
        <w:spacing w:after="0" w:line="18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our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or free writing prospectus will describe the specific terms of any debt securities offered through that prospectus supplement or free writing prospectus. The terms of any debt securities we offer under a prospectus supplement or free writing prospectus may differ from the terms we describe below. Unless the context requires otherwise, whenever we refer to the “indentures,” we also are referring to any supplemental indentures that specify the terms of a particular series of debt securities.</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will issue any senior debt securities under the senior indenture that we will enter into with the trustee named in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or free writing prospectus and any related free writing prospectuses related to the debt securities that we may offer under this prospectus, as well as the complete applicable indenture that contains the terms of the debt securities. Except as we may otherwise indicate, the terms of the senior indenture and the subordinated indenture are identical.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or free writing prospectus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being offered, and if a series, the total amount authorized and the total amount outstanding;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will issue the series of debt securities in global form, and, if so, the terms and who the depository will be;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payments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the conditions upon which, and the price at which, we may, at our option, redeem the series of debt securities pursuant to any optional or provisional redemption provisions and the terms of those redemption provisions;</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distributions in respect of our capital stock or the capital stock of our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capital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restrictions on our subsidiaries’ ability to pay dividends, make distributions or transfer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 other restricted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sale-leaseback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stockholders or affiliates;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stock of our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consolidation or merger;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require us to maintain any interest coverage, fixed charge, cash flow-based, asset-based or other financial ratios;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material or special United States federal income tax considerations applicable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describing any book-entry features;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the provisions in the indenture on discharge;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2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Unless we provide otherwise in the prospectus supplement or free writing prospectus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or free writing prospectus applicable to a particular series of debt securities, the following are events of default under the indentures with respect to any series of debt securities that we may issue:</w:t>
      </w:r>
    </w:p>
    <w:p>
      <w:pPr>
        <w:spacing w:after="0" w:line="67"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payable and our failure continues for 90 days and the time for payment has not been extended;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premium or sinking fund payment, if any, when due and payable at maturity, upon redemption or repurchase or otherwise, and the time for payment has not been extended;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25"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We will describe in each applicable prospectus supplement or free writing prospectus any additional events of default relating to the relevant series of debt securities.</w:t>
      </w:r>
    </w:p>
    <w:p>
      <w:pPr>
        <w:spacing w:after="0" w:line="16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specified in the last bullet point above occurs with respect to us, the unpaid principal, premium, if any, and accrued interest, if any, of each issue of debt securities then outstanding shall be due and payable without any notice or other action on the part of the trustee or any holder.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93"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indentures or to appoint a receiver or trustee, or to seek other remedies if:</w:t>
      </w:r>
    </w:p>
    <w:p>
      <w:pPr>
        <w:spacing w:after="0" w:line="67"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w:t>
      </w:r>
    </w:p>
    <w:p>
      <w:pPr>
        <w:spacing w:after="0" w:line="81"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 or other defaults that may be specified in the applicable prospectus supplement or free writing prospectus.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67"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w:t>
      </w:r>
      <w:r>
        <w:rPr>
          <w:rFonts w:ascii="Times New Roman" w:cs="Times New Roman" w:eastAsia="Times New Roman" w:hAnsi="Times New Roman"/>
          <w:sz w:val="18"/>
          <w:szCs w:val="18"/>
          <w:i w:val="1"/>
          <w:iCs w:val="1"/>
          <w:color w:val="auto"/>
        </w:rPr>
        <w:t>Description of Debt Securities-Consolidation, Merger or Sale</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under</w:t>
      </w:r>
    </w:p>
    <w:p>
      <w:pPr>
        <w:spacing w:after="0" w:line="27" w:lineRule="exact"/>
        <w:rPr>
          <w:rFonts w:ascii="Times New Roman" w:cs="Times New Roman" w:eastAsia="Times New Roman" w:hAnsi="Times New Roman"/>
          <w:sz w:val="18"/>
          <w:szCs w:val="18"/>
          <w:color w:val="auto"/>
        </w:rPr>
      </w:pPr>
    </w:p>
    <w:p>
      <w:pPr>
        <w:ind w:left="108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Debt Securities-General</w:t>
      </w:r>
      <w:r>
        <w:rPr>
          <w:rFonts w:ascii="Times New Roman" w:cs="Times New Roman" w:eastAsia="Times New Roman" w:hAnsi="Times New Roman"/>
          <w:sz w:val="18"/>
          <w:szCs w:val="18"/>
          <w:color w:val="auto"/>
        </w:rPr>
        <w:t>,” to establish the form of any certifications required to be furnished pursuant to the terms of the indenture or any series of debt securities, or to add to the rights of the holders of any series of debt securities;</w:t>
      </w:r>
    </w:p>
    <w:p>
      <w:pPr>
        <w:spacing w:after="0" w:line="8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and to make all appropriate changes for such purpose;</w:t>
      </w:r>
    </w:p>
    <w:p>
      <w:pPr>
        <w:spacing w:after="0" w:line="130"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w:t>
      </w:r>
    </w:p>
    <w:p>
      <w:pPr>
        <w:spacing w:after="0" w:line="89"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stated maturity of the series of debt securities;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or repurchase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Each indenture provides that, subject to the terms of the indenture and any limitation otherwise provided in the prospectus supplement or free writing prospectus applicable to a particular series of debt securities, we can elect to be discharged from our obligations with respect to one or more series of debt securities, except for specified obligations, including obligations to:</w:t>
      </w:r>
    </w:p>
    <w:p>
      <w:pPr>
        <w:spacing w:after="0" w:line="81"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or free writing prospectus, in denominations of $1,000</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and any integral multiple 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or free writing prospectus with respect to that series. At the option of the holder, subject to the terms of the indentures and the limitations applicable to global securities described in the applicable prospectus supplement or free writing prospectus, the holder of the debt securities of any series can exchange the debt securities for other debt securities of the same series, in any authorized denomination and of like tenor and aggregate principal amount.</w:t>
      </w:r>
    </w:p>
    <w:p>
      <w:pPr>
        <w:spacing w:after="0" w:line="18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or free writing prospectus,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spacing w:after="0" w:line="183"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or free writing prospectus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w:t>
      </w:r>
    </w:p>
    <w:p>
      <w:pPr>
        <w:spacing w:after="0" w:line="85" w:lineRule="exact"/>
        <w:rPr>
          <w:sz w:val="20"/>
          <w:szCs w:val="20"/>
          <w:color w:val="auto"/>
        </w:rPr>
      </w:pPr>
    </w:p>
    <w:p>
      <w:pPr>
        <w:jc w:val="both"/>
        <w:ind w:left="1080" w:right="260" w:hanging="424"/>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w:t>
      </w:r>
    </w:p>
    <w:p>
      <w:pPr>
        <w:spacing w:after="0" w:line="17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or free writing prospectus,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or free writing prospectus, we will make interest payments by check that we will mail to the holder or by wire transfer to certain holders. Unless we otherwise indicate in the applicable prospectus supplement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free writing prospectus, we will designate the corporate trust office of the trustee as our sole paying agent for payments with respect to debt securities of each series. We will name in the applicable prospectus supplement or free writing prospectus any other paying agents that we initially designate for the debt securities of a particular series. We will maintain a paying agent in each place of payment for the debt securities of a particular series.</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 of Debt Securities</w:t>
      </w:r>
    </w:p>
    <w:p>
      <w:pPr>
        <w:spacing w:after="0" w:line="121"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The subordinated debt securities will be subordinate and junior in priority of payment to certain of our other indebtedness to the extent described in a prospectus supplement or free writing prospectus. The subordinated indenture does not limit the amount of subordinated debt securities that we may issue. It also does not limit us from issuing any other secured or unsecured debt.</w:t>
      </w:r>
    </w:p>
    <w:p>
      <w:pPr>
        <w:spacing w:after="0" w:line="176"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senior debt securities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80"/>
          </w:cols>
          <w:pgMar w:left="320" w:top="455"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20"/>
        <w:spacing w:after="0" w:line="266"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76"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131"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during which, and places at which, the warrants are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85" w:lineRule="exact"/>
        <w:rPr>
          <w:sz w:val="20"/>
          <w:szCs w:val="20"/>
          <w:color w:val="auto"/>
        </w:rPr>
      </w:pPr>
    </w:p>
    <w:p>
      <w:pPr>
        <w:ind w:left="1080" w:right="2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 xml:space="preserve"> and</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Description of Warrants</w:t>
      </w:r>
      <w:r>
        <w:rPr>
          <w:rFonts w:ascii="Times New Roman" w:cs="Times New Roman" w:eastAsia="Times New Roman" w:hAnsi="Times New Roman"/>
          <w:sz w:val="17"/>
          <w:szCs w:val="17"/>
          <w:color w:val="auto"/>
        </w:rPr>
        <w:t>” will apply to the securities included in each unit, to the extent relevant and as may be updated in any prospectus supplements.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Agreements</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without Consent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any provisions of the governing unit agreement that differ from those described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 Consent</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67" w:lineRule="exact"/>
        <w:rPr>
          <w:sz w:val="20"/>
          <w:szCs w:val="20"/>
          <w:color w:val="auto"/>
        </w:rPr>
      </w:pPr>
    </w:p>
    <w:p>
      <w:pPr>
        <w:ind w:left="1080" w:right="14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1080" w:right="36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312" w:lineRule="auto"/>
        <w:tabs>
          <w:tab w:leader="none" w:pos="10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40"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 Agreements Will Not Be Qualified under Trust Indenture Act</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Transactions Permitted; No Restrictive Covenants or Events of Default</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5"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unit agreements and the units will be governed by New York law.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will issue each unit in global, i.e., book-entry, 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unit and all securities comprising the unit will be issued in the same form.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w:t>
      </w:r>
    </w:p>
    <w:p>
      <w:pPr>
        <w:spacing w:after="0" w:line="225"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67" w:lineRule="exact"/>
        <w:rPr>
          <w:sz w:val="20"/>
          <w:szCs w:val="20"/>
          <w:color w:val="auto"/>
        </w:rPr>
      </w:pPr>
    </w:p>
    <w:p>
      <w:pPr>
        <w:ind w:left="1080" w:right="26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85"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Only the depositary will be entitled to transfer or exchange a unit in global form, since it will be the sole holder of the unit.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and Notices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may sell the offered securities in and outside the United States (1) through underwriters or dealers, (2) directly to one or more purchasers, including to a limited number of institutional purchasers, to a single purchaser or to our affiliates and stockholders, (3) through agents or (4) through a combination of any of these methods.</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underwriters or dealers are used in the sale, the securities will be acquired by the underwriters or dealers for their own account and may be resold from time to time in one or more transactions, including:</w:t>
      </w:r>
    </w:p>
    <w:p>
      <w:pPr>
        <w:spacing w:after="0" w:line="67"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transactions 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within the meaning of Rule 415(a)(4) of the Securities Act, to or through a market maker or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market maker or into an existing trading market on an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those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applicable prospectus supplement will set forth the following information to the extent applicable:</w:t>
      </w:r>
    </w:p>
    <w:p>
      <w:pPr>
        <w:spacing w:after="0" w:line="131"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w:t>
      </w:r>
    </w:p>
    <w:p>
      <w:pPr>
        <w:spacing w:after="0" w:line="188"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In order to facilitate the offering of securities, the underwriters may engage in transactions that stabilize, maintain or otherwise affect the price of the securities. Specifically, the underwriters may overallot in connection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with the offering, creating a short position in the securities for their account. In addition, to cover overallotments 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w:t>
      </w:r>
    </w:p>
    <w:p>
      <w:pPr>
        <w:spacing w:after="0" w:line="18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w:t>
      </w:r>
    </w:p>
    <w:p>
      <w:pPr>
        <w:spacing w:after="0" w:line="180"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If any securities are offered through dealers, we will sell the securities to them as principals. They may then resell those securities to the public at varying prices determined by the dealers at the time of resale.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sell the securities directly to purchasers.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Nasdaq Global Market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At-the-Market Offerings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To the extent that we make sales through one or more underwriters or agents in at-the-market offerings, we will do so pursuant to the terms of a sales agency financing agreement or other at-the-market offering arrangement between us, on the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Remarketing Arrangements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Each underwriter, dealer and agent participating in the distribution of any of the securities that are issuable in bearer form will agree that it will not offer, sell or deliver, directly or indirectly, securities in bearer form in the United States or to United States persons, other than qualifying financial institutions, during the restricted period, as defined in United States Treasury Regulations Section 1.163-5(c)(2)(i)(D)(7).</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Goodwin Procter LLP, Boston, Massachusetts. Additional legal matters may be passed on for us, or any underwriters, dealers or agents by counsel we will name in the applicable prospectus supplement.</w:t>
      </w:r>
    </w:p>
    <w:p>
      <w:pPr>
        <w:spacing w:after="0" w:line="37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Disc Medicine, Inc. appearing in Disc Medicine, Inc.’s Annual Report (Form 10-K) for the year ended December 31, 2023,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320" w:top="455" w:right="6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652780</wp:posOffset>
            </wp:positionV>
            <wp:extent cx="3446145" cy="5397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3446145" cy="539750"/>
                    </a:xfrm>
                    <a:prstGeom prst="rect">
                      <a:avLst/>
                    </a:prstGeom>
                    <a:noFill/>
                  </pic:spPr>
                </pic:pic>
              </a:graphicData>
            </a:graphic>
          </wp:anchor>
        </w:drawing>
      </w:r>
    </w:p>
    <w:p>
      <w:pPr>
        <w:sectPr>
          <w:pgSz w:w="11900" w:h="16838" w:orient="portrait"/>
          <w:cols w:equalWidth="0" w:num="1">
            <w:col w:w="10680"/>
          </w:cols>
          <w:pgMar w:left="320" w:top="455"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25"/>
          <w:szCs w:val="25"/>
          <w:b w:val="1"/>
          <w:bCs w:val="1"/>
          <w:color w:val="auto"/>
        </w:rPr>
        <w:t>3,918,182 Shares of Common Stock</w:t>
      </w:r>
    </w:p>
    <w:p>
      <w:pPr>
        <w:spacing w:after="0" w:line="22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25"/>
          <w:szCs w:val="25"/>
          <w:b w:val="1"/>
          <w:bCs w:val="1"/>
          <w:color w:val="auto"/>
        </w:rPr>
        <w:t>Pre-Funded Warrants to Purchase 181,818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1550035</wp:posOffset>
            </wp:positionV>
            <wp:extent cx="1474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311" w:lineRule="exact"/>
        <w:rPr>
          <w:sz w:val="20"/>
          <w:szCs w:val="20"/>
          <w:color w:val="auto"/>
        </w:rPr>
      </w:pPr>
    </w:p>
    <w:tbl>
      <w:tblPr>
        <w:tblLayout w:type="fixed"/>
        <w:tblInd w:w="500" w:type="dxa"/>
        <w:tblCellMar>
          <w:top w:w="0" w:type="dxa"/>
          <w:left w:w="0" w:type="dxa"/>
          <w:bottom w:w="0" w:type="dxa"/>
          <w:right w:w="0" w:type="dxa"/>
        </w:tblCellMar>
      </w:tblPr>
      <w:tr>
        <w:trPr>
          <w:trHeight w:val="334"/>
        </w:trPr>
        <w:tc>
          <w:tcPr>
            <w:tcW w:w="2520" w:type="dxa"/>
            <w:vAlign w:val="bottom"/>
          </w:tcPr>
          <w:p>
            <w:pPr>
              <w:ind w:left="160"/>
              <w:spacing w:after="0"/>
              <w:rPr>
                <w:sz w:val="20"/>
                <w:szCs w:val="20"/>
                <w:color w:val="auto"/>
              </w:rPr>
            </w:pPr>
            <w:r>
              <w:rPr>
                <w:rFonts w:ascii="Times New Roman" w:cs="Times New Roman" w:eastAsia="Times New Roman" w:hAnsi="Times New Roman"/>
                <w:sz w:val="25"/>
                <w:szCs w:val="25"/>
                <w:b w:val="1"/>
                <w:bCs w:val="1"/>
                <w:color w:val="auto"/>
              </w:rPr>
              <w:t>Jefferies</w:t>
            </w:r>
          </w:p>
        </w:tc>
        <w:tc>
          <w:tcPr>
            <w:tcW w:w="4540" w:type="dxa"/>
            <w:vAlign w:val="bottom"/>
            <w:gridSpan w:val="4"/>
          </w:tcPr>
          <w:p>
            <w:pPr>
              <w:ind w:left="420"/>
              <w:spacing w:after="0"/>
              <w:rPr>
                <w:sz w:val="20"/>
                <w:szCs w:val="20"/>
                <w:color w:val="auto"/>
              </w:rPr>
            </w:pPr>
            <w:r>
              <w:rPr>
                <w:rFonts w:ascii="Times New Roman" w:cs="Times New Roman" w:eastAsia="Times New Roman" w:hAnsi="Times New Roman"/>
                <w:sz w:val="25"/>
                <w:szCs w:val="25"/>
                <w:b w:val="1"/>
                <w:bCs w:val="1"/>
                <w:color w:val="auto"/>
              </w:rPr>
              <w:t>Leerink Partners</w:t>
            </w:r>
          </w:p>
        </w:tc>
        <w:tc>
          <w:tcPr>
            <w:tcW w:w="780" w:type="dxa"/>
            <w:vAlign w:val="bottom"/>
          </w:tcPr>
          <w:p>
            <w:pPr>
              <w:ind w:left="60"/>
              <w:spacing w:after="0"/>
              <w:rPr>
                <w:sz w:val="20"/>
                <w:szCs w:val="20"/>
                <w:color w:val="auto"/>
              </w:rPr>
            </w:pPr>
            <w:r>
              <w:rPr>
                <w:rFonts w:ascii="Times New Roman" w:cs="Times New Roman" w:eastAsia="Times New Roman" w:hAnsi="Times New Roman"/>
                <w:sz w:val="25"/>
                <w:szCs w:val="25"/>
                <w:b w:val="1"/>
                <w:bCs w:val="1"/>
                <w:color w:val="auto"/>
              </w:rPr>
              <w:t>Stifel</w:t>
            </w:r>
          </w:p>
        </w:tc>
        <w:tc>
          <w:tcPr>
            <w:tcW w:w="2340" w:type="dxa"/>
            <w:vAlign w:val="bottom"/>
          </w:tcPr>
          <w:p>
            <w:pPr>
              <w:ind w:left="1480"/>
              <w:spacing w:after="0"/>
              <w:rPr>
                <w:sz w:val="20"/>
                <w:szCs w:val="20"/>
                <w:color w:val="auto"/>
              </w:rPr>
            </w:pPr>
            <w:r>
              <w:rPr>
                <w:rFonts w:ascii="Times New Roman" w:cs="Times New Roman" w:eastAsia="Times New Roman" w:hAnsi="Times New Roman"/>
                <w:sz w:val="25"/>
                <w:szCs w:val="25"/>
                <w:b w:val="1"/>
                <w:bCs w:val="1"/>
                <w:color w:val="auto"/>
              </w:rPr>
              <w:t>Cantor</w:t>
            </w:r>
          </w:p>
        </w:tc>
      </w:tr>
      <w:tr>
        <w:trPr>
          <w:trHeight w:val="424"/>
        </w:trPr>
        <w:tc>
          <w:tcPr>
            <w:tcW w:w="2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Co-Managers</w:t>
            </w:r>
          </w:p>
        </w:tc>
        <w:tc>
          <w:tcPr>
            <w:tcW w:w="7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565"/>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BMO Capital Markets</w:t>
            </w:r>
          </w:p>
        </w:tc>
        <w:tc>
          <w:tcPr>
            <w:tcW w:w="1960" w:type="dxa"/>
            <w:vAlign w:val="bottom"/>
            <w:gridSpan w:val="2"/>
          </w:tcPr>
          <w:p>
            <w:pPr>
              <w:ind w:left="440"/>
              <w:spacing w:after="0"/>
              <w:rPr>
                <w:sz w:val="20"/>
                <w:szCs w:val="20"/>
                <w:color w:val="auto"/>
              </w:rPr>
            </w:pPr>
            <w:r>
              <w:rPr>
                <w:rFonts w:ascii="Times New Roman" w:cs="Times New Roman" w:eastAsia="Times New Roman" w:hAnsi="Times New Roman"/>
                <w:sz w:val="22"/>
                <w:szCs w:val="22"/>
                <w:b w:val="1"/>
                <w:bCs w:val="1"/>
                <w:color w:val="auto"/>
              </w:rPr>
              <w:t>LifeSci Capital</w:t>
            </w:r>
          </w:p>
        </w:tc>
        <w:tc>
          <w:tcPr>
            <w:tcW w:w="2580" w:type="dxa"/>
            <w:vAlign w:val="bottom"/>
            <w:gridSpan w:val="2"/>
          </w:tcPr>
          <w:p>
            <w:pPr>
              <w:ind w:left="760"/>
              <w:spacing w:after="0"/>
              <w:rPr>
                <w:sz w:val="20"/>
                <w:szCs w:val="20"/>
                <w:color w:val="auto"/>
              </w:rPr>
            </w:pPr>
            <w:r>
              <w:rPr>
                <w:rFonts w:ascii="Times New Roman" w:cs="Times New Roman" w:eastAsia="Times New Roman" w:hAnsi="Times New Roman"/>
                <w:sz w:val="22"/>
                <w:szCs w:val="22"/>
                <w:b w:val="1"/>
                <w:bCs w:val="1"/>
                <w:color w:val="auto"/>
                <w:w w:val="98"/>
              </w:rPr>
              <w:t>Wedbush PacGrow</w:t>
            </w:r>
          </w:p>
        </w:tc>
        <w:tc>
          <w:tcPr>
            <w:tcW w:w="780" w:type="dxa"/>
            <w:vAlign w:val="bottom"/>
          </w:tcPr>
          <w:p>
            <w:pPr>
              <w:spacing w:after="0"/>
              <w:rPr>
                <w:sz w:val="24"/>
                <w:szCs w:val="24"/>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w w:val="96"/>
              </w:rPr>
              <w:t>H.C. Wainwright &amp; Co.</w:t>
            </w:r>
          </w:p>
        </w:tc>
      </w:tr>
      <w:tr>
        <w:trPr>
          <w:trHeight w:val="339"/>
        </w:trPr>
        <w:tc>
          <w:tcPr>
            <w:tcW w:w="2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January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457200</wp:posOffset>
            </wp:positionV>
            <wp:extent cx="6995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516890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680"/>
          </w:cols>
          <w:pgMar w:left="320" w:top="455" w:right="899" w:bottom="1440" w:gutter="0" w:footer="0" w:header="0"/>
          <w:type w:val="continuous"/>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424(b)(5)</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980" w:type="dxa"/>
            <w:vAlign w:val="bottom"/>
            <w:tcBorders>
              <w:top w:val="single" w:sz="8" w:color="auto"/>
              <w:left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520" w:type="dxa"/>
            <w:vAlign w:val="bottom"/>
            <w:tcBorders>
              <w:top w:val="single" w:sz="8" w:color="auto"/>
              <w:right w:val="single" w:sz="8" w:color="auto"/>
            </w:tcBorders>
          </w:tcPr>
          <w:p>
            <w:pPr>
              <w:spacing w:after="0"/>
              <w:rPr>
                <w:sz w:val="12"/>
                <w:szCs w:val="12"/>
                <w:color w:val="auto"/>
              </w:rPr>
            </w:pPr>
          </w:p>
        </w:tc>
        <w:tc>
          <w:tcPr>
            <w:tcW w:w="50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Filing Fee</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Paid In</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with</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1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Proposed</w:t>
            </w:r>
          </w:p>
        </w:tc>
        <w:tc>
          <w:tcPr>
            <w:tcW w:w="1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Unsold</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1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1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0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ind w:left="140"/>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11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1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0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540" w:type="dxa"/>
            <w:vAlign w:val="bottom"/>
            <w:tcBorders>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Initial</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to be</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2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1100" w:type="dxa"/>
            <w:vAlign w:val="bottom"/>
            <w:tcBorders>
              <w:right w:val="single" w:sz="8" w:color="auto"/>
            </w:tcBorders>
          </w:tcPr>
          <w:p>
            <w:pPr>
              <w:jc w:val="right"/>
              <w:ind w:right="276"/>
              <w:spacing w:after="0" w:line="135" w:lineRule="exact"/>
              <w:rPr>
                <w:sz w:val="20"/>
                <w:szCs w:val="20"/>
                <w:color w:val="auto"/>
              </w:rPr>
            </w:pPr>
            <w:r>
              <w:rPr>
                <w:rFonts w:ascii="Times New Roman" w:cs="Times New Roman" w:eastAsia="Times New Roman" w:hAnsi="Times New Roman"/>
                <w:sz w:val="13"/>
                <w:szCs w:val="13"/>
                <w:color w:val="auto"/>
              </w:rPr>
              <w:t>Amount</w:t>
            </w: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Price Per</w:t>
            </w:r>
          </w:p>
        </w:tc>
        <w:tc>
          <w:tcPr>
            <w:tcW w:w="11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Fee</w:t>
            </w: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c>
          <w:tcPr>
            <w:tcW w:w="540" w:type="dxa"/>
            <w:vAlign w:val="bottom"/>
            <w:tcBorders>
              <w:right w:val="single" w:sz="8" w:color="auto"/>
            </w:tcBorders>
          </w:tcPr>
          <w:p>
            <w:pPr>
              <w:ind w:left="160"/>
              <w:spacing w:after="0" w:line="135" w:lineRule="exact"/>
              <w:rPr>
                <w:sz w:val="20"/>
                <w:szCs w:val="20"/>
                <w:color w:val="auto"/>
              </w:rPr>
            </w:pPr>
            <w:r>
              <w:rPr>
                <w:rFonts w:ascii="Times New Roman" w:cs="Times New Roman" w:eastAsia="Times New Roman" w:hAnsi="Times New Roman"/>
                <w:sz w:val="13"/>
                <w:szCs w:val="13"/>
                <w:color w:val="auto"/>
              </w:rPr>
              <w:t>Form</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effective</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Carried</w:t>
            </w:r>
          </w:p>
        </w:tc>
        <w:tc>
          <w:tcPr>
            <w:tcW w:w="0" w:type="dxa"/>
            <w:vAlign w:val="bottom"/>
          </w:tcPr>
          <w:p>
            <w:pPr>
              <w:spacing w:after="0"/>
              <w:rPr>
                <w:sz w:val="1"/>
                <w:szCs w:val="1"/>
                <w:color w:val="auto"/>
              </w:rPr>
            </w:pPr>
          </w:p>
        </w:tc>
      </w:tr>
      <w:tr>
        <w:trPr>
          <w:trHeight w:val="165"/>
        </w:trPr>
        <w:tc>
          <w:tcPr>
            <w:tcW w:w="98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100" w:type="dxa"/>
            <w:vAlign w:val="bottom"/>
            <w:tcBorders>
              <w:bottom w:val="single" w:sz="8" w:color="auto"/>
              <w:right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rPr>
              <w:t>Registered</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Unit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Fee(1)</w:t>
            </w:r>
          </w:p>
        </w:tc>
        <w:tc>
          <w:tcPr>
            <w:tcW w:w="5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Type</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Number</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date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Forward</w:t>
            </w:r>
          </w:p>
        </w:tc>
        <w:tc>
          <w:tcPr>
            <w:tcW w:w="0" w:type="dxa"/>
            <w:vAlign w:val="bottom"/>
          </w:tcPr>
          <w:p>
            <w:pPr>
              <w:spacing w:after="0"/>
              <w:rPr>
                <w:sz w:val="1"/>
                <w:szCs w:val="1"/>
                <w:color w:val="auto"/>
              </w:rPr>
            </w:pPr>
          </w:p>
        </w:tc>
      </w:tr>
      <w:tr>
        <w:trPr>
          <w:trHeight w:val="233"/>
        </w:trPr>
        <w:tc>
          <w:tcPr>
            <w:tcW w:w="98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3"/>
          </w:tcPr>
          <w:p>
            <w:pPr>
              <w:jc w:val="center"/>
              <w:ind w:left="616"/>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10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80" w:type="dxa"/>
            <w:vAlign w:val="bottom"/>
            <w:tcBorders>
              <w:left w:val="single" w:sz="8" w:color="auto"/>
              <w:right w:val="single" w:sz="8" w:color="auto"/>
            </w:tcBorders>
            <w:vMerge w:val="restart"/>
          </w:tcPr>
          <w:p>
            <w:pPr>
              <w:jc w:val="center"/>
              <w:ind w:left="51"/>
              <w:spacing w:after="0"/>
              <w:rPr>
                <w:sz w:val="20"/>
                <w:szCs w:val="20"/>
                <w:color w:val="auto"/>
              </w:rPr>
            </w:pPr>
            <w:r>
              <w:rPr>
                <w:rFonts w:ascii="Times New Roman" w:cs="Times New Roman" w:eastAsia="Times New Roman" w:hAnsi="Times New Roman"/>
                <w:sz w:val="18"/>
                <w:szCs w:val="18"/>
                <w:color w:val="auto"/>
                <w:w w:val="99"/>
              </w:rPr>
              <w:t>Fees to Be</w:t>
            </w:r>
          </w:p>
        </w:tc>
        <w:tc>
          <w:tcPr>
            <w:tcW w:w="6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7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980" w:type="dxa"/>
            <w:vAlign w:val="bottom"/>
            <w:tcBorders>
              <w:left w:val="single" w:sz="8" w:color="auto"/>
              <w:right w:val="single" w:sz="8" w:color="auto"/>
            </w:tcBorders>
            <w:vMerge w:val="continue"/>
          </w:tcPr>
          <w:p>
            <w:pPr>
              <w:spacing w:after="0"/>
              <w:rPr>
                <w:sz w:val="15"/>
                <w:szCs w:val="15"/>
                <w:color w:val="auto"/>
              </w:rPr>
            </w:pPr>
          </w:p>
        </w:tc>
        <w:tc>
          <w:tcPr>
            <w:tcW w:w="64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rPr>
              <w:t> Equity</w:t>
            </w:r>
          </w:p>
        </w:tc>
        <w:tc>
          <w:tcPr>
            <w:tcW w:w="126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$0.0001 per</w:t>
            </w:r>
          </w:p>
        </w:tc>
        <w:tc>
          <w:tcPr>
            <w:tcW w:w="72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7"/>
              </w:rPr>
              <w:t>457(r)</w:t>
            </w:r>
          </w:p>
        </w:tc>
        <w:tc>
          <w:tcPr>
            <w:tcW w:w="1100" w:type="dxa"/>
            <w:vAlign w:val="bottom"/>
            <w:tcBorders>
              <w:right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4,715,000 (2)</w:t>
            </w:r>
          </w:p>
        </w:tc>
        <w:tc>
          <w:tcPr>
            <w:tcW w:w="88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6"/>
              </w:rPr>
              <w:t>$55.00</w:t>
            </w:r>
          </w:p>
        </w:tc>
        <w:tc>
          <w:tcPr>
            <w:tcW w:w="1120" w:type="dxa"/>
            <w:vAlign w:val="bottom"/>
            <w:tcBorders>
              <w:right w:val="single" w:sz="8" w:color="auto"/>
            </w:tcBorders>
          </w:tcPr>
          <w:p>
            <w:pPr>
              <w:ind w:left="60"/>
              <w:spacing w:after="0" w:line="181" w:lineRule="exact"/>
              <w:rPr>
                <w:sz w:val="20"/>
                <w:szCs w:val="20"/>
                <w:color w:val="auto"/>
              </w:rPr>
            </w:pPr>
            <w:r>
              <w:rPr>
                <w:rFonts w:ascii="Times New Roman" w:cs="Times New Roman" w:eastAsia="Times New Roman" w:hAnsi="Times New Roman"/>
                <w:sz w:val="18"/>
                <w:szCs w:val="18"/>
                <w:color w:val="auto"/>
              </w:rPr>
              <w:t>$259,325,000</w:t>
            </w:r>
          </w:p>
        </w:tc>
        <w:tc>
          <w:tcPr>
            <w:tcW w:w="100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0.00015310</w:t>
            </w:r>
          </w:p>
        </w:tc>
        <w:tc>
          <w:tcPr>
            <w:tcW w:w="96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$39,702.66</w:t>
            </w:r>
          </w:p>
        </w:tc>
        <w:tc>
          <w:tcPr>
            <w:tcW w:w="54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80" w:type="dxa"/>
            <w:vAlign w:val="bottom"/>
            <w:tcBorders>
              <w:left w:val="single" w:sz="8" w:color="auto"/>
              <w:right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color w:val="auto"/>
                <w:w w:val="99"/>
              </w:rPr>
              <w:t>Paid</w:t>
            </w:r>
          </w:p>
        </w:tc>
        <w:tc>
          <w:tcPr>
            <w:tcW w:w="6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7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980" w:type="dxa"/>
            <w:vAlign w:val="bottom"/>
            <w:tcBorders>
              <w:left w:val="single" w:sz="8" w:color="auto"/>
              <w:right w:val="single" w:sz="8" w:color="auto"/>
            </w:tcBorders>
            <w:vMerge w:val="restart"/>
          </w:tcPr>
          <w:p>
            <w:pPr>
              <w:jc w:val="center"/>
              <w:ind w:left="51"/>
              <w:spacing w:after="0"/>
              <w:rPr>
                <w:sz w:val="20"/>
                <w:szCs w:val="20"/>
                <w:color w:val="auto"/>
              </w:rPr>
            </w:pPr>
            <w:r>
              <w:rPr>
                <w:rFonts w:ascii="Times New Roman" w:cs="Times New Roman" w:eastAsia="Times New Roman" w:hAnsi="Times New Roman"/>
                <w:sz w:val="18"/>
                <w:szCs w:val="18"/>
                <w:color w:val="auto"/>
                <w:w w:val="99"/>
              </w:rPr>
              <w:t>Fees to Be</w:t>
            </w:r>
          </w:p>
        </w:tc>
        <w:tc>
          <w:tcPr>
            <w:tcW w:w="6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Pre-funded</w:t>
            </w:r>
          </w:p>
        </w:tc>
        <w:tc>
          <w:tcPr>
            <w:tcW w:w="7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98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Equity</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warrants to</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1100" w:type="dxa"/>
            <w:vAlign w:val="bottom"/>
            <w:tcBorders>
              <w:right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181,818</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$55.00 (3)</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(3)</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0.00015310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(3)</w:t>
            </w:r>
          </w:p>
        </w:tc>
        <w:tc>
          <w:tcPr>
            <w:tcW w:w="54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980" w:type="dxa"/>
            <w:vAlign w:val="bottom"/>
            <w:tcBorders>
              <w:left w:val="single" w:sz="8" w:color="auto"/>
              <w:right w:val="single" w:sz="8" w:color="auto"/>
            </w:tcBorders>
          </w:tcPr>
          <w:p>
            <w:pPr>
              <w:jc w:val="center"/>
              <w:ind w:left="51"/>
              <w:spacing w:after="0" w:line="144" w:lineRule="exact"/>
              <w:rPr>
                <w:sz w:val="20"/>
                <w:szCs w:val="20"/>
                <w:color w:val="auto"/>
              </w:rPr>
            </w:pPr>
            <w:r>
              <w:rPr>
                <w:rFonts w:ascii="Times New Roman" w:cs="Times New Roman" w:eastAsia="Times New Roman" w:hAnsi="Times New Roman"/>
                <w:sz w:val="16"/>
                <w:szCs w:val="16"/>
                <w:color w:val="auto"/>
              </w:rPr>
              <w:t>Paid</w:t>
            </w:r>
          </w:p>
        </w:tc>
        <w:tc>
          <w:tcPr>
            <w:tcW w:w="6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6"/>
                <w:szCs w:val="16"/>
                <w:color w:val="auto"/>
              </w:rPr>
              <w:t>purchase</w:t>
            </w:r>
          </w:p>
        </w:tc>
        <w:tc>
          <w:tcPr>
            <w:tcW w:w="72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7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80" w:type="dxa"/>
            <w:vAlign w:val="bottom"/>
            <w:tcBorders>
              <w:left w:val="single" w:sz="8" w:color="auto"/>
              <w:right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rPr>
              <w:t>Fees</w:t>
            </w:r>
          </w:p>
        </w:tc>
        <w:tc>
          <w:tcPr>
            <w:tcW w:w="6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left w:val="single" w:sz="8" w:color="auto"/>
              <w:right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color w:val="auto"/>
                <w:w w:val="98"/>
              </w:rPr>
              <w:t>Previously</w:t>
            </w:r>
          </w:p>
        </w:tc>
        <w:tc>
          <w:tcPr>
            <w:tcW w:w="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8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Borders>
              <w:left w:val="single" w:sz="8" w:color="auto"/>
              <w:right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color w:val="auto"/>
                <w:w w:val="99"/>
              </w:rPr>
              <w:t>Paid</w:t>
            </w:r>
          </w:p>
        </w:tc>
        <w:tc>
          <w:tcPr>
            <w:tcW w:w="64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98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3"/>
          </w:tcPr>
          <w:p>
            <w:pPr>
              <w:jc w:val="center"/>
              <w:ind w:left="636"/>
              <w:spacing w:after="0"/>
              <w:rPr>
                <w:sz w:val="20"/>
                <w:szCs w:val="20"/>
                <w:color w:val="auto"/>
              </w:rPr>
            </w:pPr>
            <w:r>
              <w:rPr>
                <w:rFonts w:ascii="Times New Roman" w:cs="Times New Roman" w:eastAsia="Times New Roman" w:hAnsi="Times New Roman"/>
                <w:sz w:val="18"/>
                <w:szCs w:val="18"/>
                <w:color w:val="auto"/>
                <w:w w:val="99"/>
              </w:rPr>
              <w:t>Carry Forward Securities</w:t>
            </w:r>
          </w:p>
        </w:tc>
        <w:tc>
          <w:tcPr>
            <w:tcW w:w="10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80" w:type="dxa"/>
            <w:vAlign w:val="bottom"/>
            <w:tcBorders>
              <w:left w:val="single" w:sz="8" w:color="auto"/>
              <w:right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rPr>
              <w:t>Carry</w:t>
            </w:r>
          </w:p>
        </w:tc>
        <w:tc>
          <w:tcPr>
            <w:tcW w:w="6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left w:val="single" w:sz="8" w:color="auto"/>
              <w:right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rPr>
              <w:t>Forward</w:t>
            </w:r>
          </w:p>
        </w:tc>
        <w:tc>
          <w:tcPr>
            <w:tcW w:w="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8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980" w:type="dxa"/>
            <w:vAlign w:val="bottom"/>
            <w:tcBorders>
              <w:left w:val="single" w:sz="8" w:color="auto"/>
              <w:right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w w:val="98"/>
              </w:rPr>
              <w:t>Securities</w:t>
            </w:r>
          </w:p>
        </w:tc>
        <w:tc>
          <w:tcPr>
            <w:tcW w:w="64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Total Offering Amounts </w:t>
            </w:r>
          </w:p>
        </w:tc>
        <w:tc>
          <w:tcPr>
            <w:tcW w:w="8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$259,325,000 </w:t>
            </w:r>
          </w:p>
        </w:tc>
        <w:tc>
          <w:tcPr>
            <w:tcW w:w="10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$39,702.66 </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0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Fees Previously Paid </w:t>
            </w:r>
          </w:p>
        </w:tc>
        <w:tc>
          <w:tcPr>
            <w:tcW w:w="8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 Offsets </w:t>
            </w:r>
          </w:p>
        </w:tc>
        <w:tc>
          <w:tcPr>
            <w:tcW w:w="8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Net Fee Due </w:t>
            </w:r>
          </w:p>
        </w:tc>
        <w:tc>
          <w:tcPr>
            <w:tcW w:w="8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$39,702.66 </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424" w:hanging="424"/>
        <w:spacing w:after="0" w:line="257"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457(r) under the Securities Act of 1933, as amended (the “Securities Act”). The fee payable in connection with the offering pursuant to this prospectus supplement has been paid in accordance with Rule 456(b) under the Securities Act, and represents deferred payment of the registration fees in connection with the registrant’s Registration Statement on Form S-3ASR (File No. 333-281359).</w:t>
      </w:r>
    </w:p>
    <w:p>
      <w:pPr>
        <w:spacing w:after="0" w:line="1" w:lineRule="exact"/>
        <w:rPr>
          <w:rFonts w:ascii="Times New Roman" w:cs="Times New Roman" w:eastAsia="Times New Roman" w:hAnsi="Times New Roman"/>
          <w:sz w:val="18"/>
          <w:szCs w:val="18"/>
          <w:color w:val="auto"/>
        </w:rPr>
      </w:pPr>
    </w:p>
    <w:p>
      <w:pPr>
        <w:ind w:left="424" w:right="120" w:hanging="424"/>
        <w:spacing w:after="0" w:line="250"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615,000 shares of common stock that the underwriters have an option to purchase and 181,818 shares of common stock that are issuable upon the exercise of the pre-funded warrants referenced below.</w:t>
      </w:r>
    </w:p>
    <w:p>
      <w:pPr>
        <w:ind w:left="424" w:right="220" w:hanging="424"/>
        <w:spacing w:after="0" w:line="255"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sum of the offering price of $54.9999 per pre-funded warrant and the exercise price of $0.0001 per share issuable pursuant to the pre-funded warrants. Pursuant to Securities and Exchange Commission staff interpretation, the entire fee is allocated to the common stock underlying the pre-funded warrants.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1)"/>
      <w:numFmt w:val="lowerRoman"/>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1)"/>
      <w:numFmt w:val="lowerLetter"/>
      <w:start w:val="2"/>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1)"/>
      <w:numFmt w:val="lowerLetter"/>
      <w:start w:val="1"/>
    </w:lvl>
  </w:abstractNum>
  <w:abstractNum w:abstractNumId="14">
    <w:nsid w:val="5072367"/>
    <w:multiLevelType w:val="hybridMultilevel"/>
    <w:lvl w:ilvl="0">
      <w:lvlJc w:val="left"/>
      <w:lvlText w:val="%1)"/>
      <w:numFmt w:val="lowerLetter"/>
      <w:start w:val="4"/>
    </w:lvl>
  </w:abstractNum>
  <w:abstractNum w:abstractNumId="15">
    <w:nsid w:val="3804823E"/>
    <w:multiLevelType w:val="hybridMultilevel"/>
    <w:lvl w:ilvl="0">
      <w:lvlJc w:val="left"/>
      <w:lvlText w:val="%1)"/>
      <w:numFmt w:val="lowerLetter"/>
      <w:start w:val="1"/>
    </w:lvl>
  </w:abstractNum>
  <w:abstractNum w:abstractNumId="16">
    <w:nsid w:val="77465F01"/>
    <w:multiLevelType w:val="hybridMultilevel"/>
    <w:lvl w:ilvl="0">
      <w:lvlJc w:val="left"/>
      <w:lvlText w:val="%1)"/>
      <w:numFmt w:val="lowerLetter"/>
      <w:start w:val="6"/>
    </w:lvl>
  </w:abstractNum>
  <w:abstractNum w:abstractNumId="17">
    <w:nsid w:val="7724C67E"/>
    <w:multiLevelType w:val="hybridMultilevel"/>
    <w:lvl w:ilvl="0">
      <w:lvlJc w:val="left"/>
      <w:lvlText w:val="%1)"/>
      <w:numFmt w:val="lowerLetter"/>
      <w:start w:val="11"/>
    </w:lvl>
  </w:abstractNum>
  <w:abstractNum w:abstractNumId="18">
    <w:nsid w:val="5C482A97"/>
    <w:multiLevelType w:val="hybridMultilevel"/>
    <w:lvl w:ilvl="0">
      <w:lvlJc w:val="left"/>
      <w:lvlText w:val="%1)"/>
      <w:numFmt w:val="lowerLetter"/>
      <w:start w:val="1"/>
    </w:lvl>
  </w:abstractNum>
  <w:abstractNum w:abstractNumId="19">
    <w:nsid w:val="2463B9EA"/>
    <w:multiLevelType w:val="hybridMultilevel"/>
    <w:lvl w:ilvl="0">
      <w:lvlJc w:val="left"/>
      <w:lvlText w:val="%1)"/>
      <w:numFmt w:val="lowerLetter"/>
      <w:start w:val="1"/>
    </w:lvl>
  </w:abstractNum>
  <w:abstractNum w:abstractNumId="20">
    <w:nsid w:val="5E884ADC"/>
    <w:multiLevelType w:val="hybridMultilevel"/>
    <w:lvl w:ilvl="0">
      <w:lvlJc w:val="left"/>
      <w:lvlText w:val="(%1)"/>
      <w:numFmt w:val="lowerLetter"/>
      <w:start w:val="4"/>
    </w:lvl>
  </w:abstractNum>
  <w:abstractNum w:abstractNumId="21">
    <w:nsid w:val="51EAD36B"/>
    <w:multiLevelType w:val="hybridMultilevel"/>
    <w:lvl w:ilvl="0">
      <w:lvlJc w:val="left"/>
      <w:lvlText w:val="%1)"/>
      <w:numFmt w:val="lowerLetter"/>
      <w:start w:val="1"/>
    </w:lvl>
  </w:abstractNum>
  <w:abstractNum w:abstractNumId="22">
    <w:nsid w:val="2D517796"/>
    <w:multiLevelType w:val="hybridMultilevel"/>
    <w:lvl w:ilvl="0">
      <w:lvlJc w:val="left"/>
      <w:lvlText w:val="%1)"/>
      <w:numFmt w:val="lowerLetter"/>
      <w:start w:val="1"/>
    </w:lvl>
  </w:abstractNum>
  <w:abstractNum w:abstractNumId="23">
    <w:nsid w:val="580BD78F"/>
    <w:multiLevelType w:val="hybridMultilevel"/>
    <w:lvl w:ilvl="0">
      <w:lvlJc w:val="left"/>
      <w:lvlText w:val="%1."/>
      <w:numFmt w:val="lowerRoman"/>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1)"/>
      <w:numFmt w:val="decimal"/>
      <w:start w:val="617"/>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jpe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9" Type="http://schemas.openxmlformats.org/officeDocument/2006/relationships/image" Target="media/image62.png"/><Relationship Id="rId90" Type="http://schemas.openxmlformats.org/officeDocument/2006/relationships/image" Target="media/image63.png"/><Relationship Id="rId91"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jpe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61" Type="http://schemas.openxmlformats.org/officeDocument/2006/relationships/hyperlink" Target="http://www.sec.gov/ix?doc=/Archives/edgar/data/1816736/000095017024034432/iron-20231231.htm" TargetMode="External"/><Relationship Id="rId62" Type="http://schemas.openxmlformats.org/officeDocument/2006/relationships/hyperlink" Target="http://www.sec.gov/ix?doc=/Archives/edgar/data/1816736/000095017024056304/iron-20240331.htm" TargetMode="External"/><Relationship Id="rId63" Type="http://schemas.openxmlformats.org/officeDocument/2006/relationships/hyperlink" Target="http://www.sec.gov/ix?doc=/Archives/edgar/data/1816736/000095017024093357/iron-20240630.htm" TargetMode="External"/><Relationship Id="rId64" Type="http://schemas.openxmlformats.org/officeDocument/2006/relationships/hyperlink" Target="http://www.sec.gov/ix?doc=/Archives/edgar/data/1816736/000095017024124650/iron-20240930.htm" TargetMode="External"/><Relationship Id="rId65" Type="http://schemas.openxmlformats.org/officeDocument/2006/relationships/hyperlink" Target="http://www.sec.gov/ix?doc=/Archives/edgar/data/1816736/000119312524025951/d758257d8k.htm" TargetMode="External"/><Relationship Id="rId66" Type="http://schemas.openxmlformats.org/officeDocument/2006/relationships/hyperlink" Target="http://www.sec.gov/ix?doc=/Archives/edgar/data/1816736/000119312524084937/d815786d8k.htm" TargetMode="External"/><Relationship Id="rId67" Type="http://schemas.openxmlformats.org/officeDocument/2006/relationships/hyperlink" Target="http://www.sec.gov/ix?doc=/Archives/edgar/data/1816736/000119312524161170/d826950d8k.htm" TargetMode="External"/><Relationship Id="rId68" Type="http://schemas.openxmlformats.org/officeDocument/2006/relationships/hyperlink" Target="http://www.sec.gov/ix?doc=/Archives/edgar/data/1816736/000119312524161587/d828009d8k.htm" TargetMode="External"/><Relationship Id="rId69" Type="http://schemas.openxmlformats.org/officeDocument/2006/relationships/hyperlink" Target="http://www.sec.gov/ix?doc=/Archives/edgar/data/1816736/000119312524161603/d829753d8k.htm" TargetMode="External"/><Relationship Id="rId70" Type="http://schemas.openxmlformats.org/officeDocument/2006/relationships/hyperlink" Target="http://www.sec.gov/ix?doc=/Archives/edgar/data/0001816736/000119312525009095/d858127d8k.htm" TargetMode="External"/><Relationship Id="rId71" Type="http://schemas.openxmlformats.org/officeDocument/2006/relationships/hyperlink" Target="http://www.sec.gov/Archives/edgar/data/1816736/000121390020021145/ea125295-8a12b_fsdevelop.htm" TargetMode="External"/><Relationship Id="rId72" Type="http://schemas.openxmlformats.org/officeDocument/2006/relationships/hyperlink" Target="http://www.sec.gov/Archives/edgar/data/1816736/000095017022003288/gmtx-ex4_4.htm" TargetMode="External"/><Relationship Id="rId73" Type="http://schemas.openxmlformats.org/officeDocument/2006/relationships/hyperlink" Target="http://www.sec.gov/Archives/edgar/data/1816736/000114036122043943/ny20005172x8_s4a.htm" TargetMode="External"/><Relationship Id="rId82" Type="http://schemas.openxmlformats.org/officeDocument/2006/relationships/hyperlink" Target="http://www.sec.gov/ix?doc=/Archives/edgar/data/0001816736/000095017024034432/iron-20231231.htm" TargetMode="External"/><Relationship Id="rId83" Type="http://schemas.openxmlformats.org/officeDocument/2006/relationships/hyperlink" Target="http://www.sec.gov/ix?doc=/Archives/edgar/data/0001816736/000119312524025951/d758257d8k.htm" TargetMode="External"/><Relationship Id="rId84" Type="http://schemas.openxmlformats.org/officeDocument/2006/relationships/hyperlink" Target="http://www.sec.gov/ix?doc=/Archives/edgar/data/0001816736/000119312524084937/d815786d8k.htm" TargetMode="External"/><Relationship Id="rId85" Type="http://schemas.openxmlformats.org/officeDocument/2006/relationships/hyperlink" Target="http://www.sec.gov/ix?doc=/Archives/edgar/data/0001816736/000119312524161170/d826950d8k.htm" TargetMode="External"/><Relationship Id="rId86" Type="http://schemas.openxmlformats.org/officeDocument/2006/relationships/hyperlink" Target="http://www.sec.gov/ix?doc=/Archives/edgar/data/0001816736/000119312524161587/d828009d8k.htm" TargetMode="External"/><Relationship Id="rId87" Type="http://schemas.openxmlformats.org/officeDocument/2006/relationships/hyperlink" Target="http://www.sec.gov/ix?doc=/Archives/edgar/data/0001816736/000119312524161603/d829753d8k.htm" TargetMode="External"/><Relationship Id="rId88" Type="http://schemas.openxmlformats.org/officeDocument/2006/relationships/hyperlink" Target="http://www.sec.gov/ix?doc=/Archives/edgar/data/1816736/000095017022003288/gmtx-2021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2025-01-23T16:34:01Z</dcterms:created>
  <dcterms:modified xsi:type="dcterms:W3CDTF">2025-01-23T16:34:01Z</dcterms:modified>
</cp:coreProperties>
</file>