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0001388325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40"/>
        <w:gridCol w:w="4965"/>
      </w:tblGrid>
      <w:tr>
        <w:trPr/>
        <w:tc>
          <w:tcPr>
            <w:tcW w:w="5240" w:type="dxa"/>
            <w:tcBorders/>
            <w:vAlign w:val="center"/>
          </w:tcPr>
          <w:p>
            <w:pPr>
              <w:pStyle w:val="TableContents"/>
              <w:bidi w:val="0"/>
              <w:spacing w:before="0" w:after="283"/>
              <w:jc w:val="left"/>
              <w:rPr/>
            </w:pPr>
            <w:r>
              <w:rPr/>
              <w:t>Name of Issuer</w:t>
            </w:r>
          </w:p>
        </w:tc>
        <w:tc>
          <w:tcPr>
            <w:tcW w:w="4965" w:type="dxa"/>
            <w:tcBorders/>
            <w:vAlign w:val="center"/>
          </w:tcPr>
          <w:p>
            <w:pPr>
              <w:pStyle w:val="TableContents"/>
              <w:bidi w:val="0"/>
              <w:spacing w:before="0" w:after="0"/>
              <w:jc w:val="left"/>
              <w:rPr/>
            </w:pPr>
            <w:r>
              <w:rPr/>
              <w:t>Disc Medicine, Inc.</w:t>
            </w:r>
          </w:p>
        </w:tc>
      </w:tr>
      <w:tr>
        <w:trPr/>
        <w:tc>
          <w:tcPr>
            <w:tcW w:w="5240" w:type="dxa"/>
            <w:tcBorders/>
            <w:vAlign w:val="center"/>
          </w:tcPr>
          <w:p>
            <w:pPr>
              <w:pStyle w:val="TableContents"/>
              <w:bidi w:val="0"/>
              <w:spacing w:before="0" w:after="283"/>
              <w:jc w:val="left"/>
              <w:rPr/>
            </w:pPr>
            <w:r>
              <w:rPr/>
              <w:t>SEC File Number</w:t>
            </w:r>
          </w:p>
        </w:tc>
        <w:tc>
          <w:tcPr>
            <w:tcW w:w="4965" w:type="dxa"/>
            <w:tcBorders/>
            <w:vAlign w:val="center"/>
          </w:tcPr>
          <w:p>
            <w:pPr>
              <w:pStyle w:val="TableContents"/>
              <w:bidi w:val="0"/>
              <w:spacing w:before="0" w:after="0"/>
              <w:jc w:val="left"/>
              <w:rPr/>
            </w:pPr>
            <w:r>
              <w:rPr/>
              <w:t>001-39438</w:t>
            </w:r>
          </w:p>
        </w:tc>
      </w:tr>
      <w:tr>
        <w:trPr/>
        <w:tc>
          <w:tcPr>
            <w:tcW w:w="5240" w:type="dxa"/>
            <w:tcBorders/>
            <w:vAlign w:val="center"/>
          </w:tcPr>
          <w:p>
            <w:pPr>
              <w:pStyle w:val="TableContents"/>
              <w:bidi w:val="0"/>
              <w:spacing w:before="0" w:after="283"/>
              <w:jc w:val="left"/>
              <w:rPr/>
            </w:pPr>
            <w:r>
              <w:rPr/>
              <w:t>Address of Issuer</w:t>
            </w:r>
          </w:p>
        </w:tc>
        <w:tc>
          <w:tcPr>
            <w:tcW w:w="4965" w:type="dxa"/>
            <w:tcBorders/>
            <w:vAlign w:val="center"/>
          </w:tcPr>
          <w:p>
            <w:pPr>
              <w:pStyle w:val="TableContents"/>
              <w:bidi w:val="0"/>
              <w:spacing w:before="0" w:after="0"/>
              <w:jc w:val="left"/>
              <w:rPr/>
            </w:pPr>
            <w:r>
              <w:rPr/>
              <w:t>300 ONE KENDALL SQUARE, 3RD FLOOR</w:t>
              <w:br/>
              <w:t>CAMBRIDGE</w:t>
              <w:br/>
              <w:t xml:space="preserve">MASSACHUSETTS </w:t>
              <w:br/>
              <w:t>02139</w:t>
            </w:r>
          </w:p>
        </w:tc>
      </w:tr>
      <w:tr>
        <w:trPr/>
        <w:tc>
          <w:tcPr>
            <w:tcW w:w="5240" w:type="dxa"/>
            <w:tcBorders/>
            <w:vAlign w:val="center"/>
          </w:tcPr>
          <w:p>
            <w:pPr>
              <w:pStyle w:val="TableContents"/>
              <w:bidi w:val="0"/>
              <w:spacing w:before="0" w:after="283"/>
              <w:jc w:val="left"/>
              <w:rPr/>
            </w:pPr>
            <w:r>
              <w:rPr/>
              <w:t>Phone</w:t>
            </w:r>
          </w:p>
        </w:tc>
        <w:tc>
          <w:tcPr>
            <w:tcW w:w="4965" w:type="dxa"/>
            <w:tcBorders/>
            <w:vAlign w:val="center"/>
          </w:tcPr>
          <w:p>
            <w:pPr>
              <w:pStyle w:val="TableContents"/>
              <w:bidi w:val="0"/>
              <w:spacing w:before="0" w:after="0"/>
              <w:jc w:val="left"/>
              <w:rPr/>
            </w:pPr>
            <w:r>
              <w:rPr/>
              <w:t>(617) 401-4400</w:t>
            </w:r>
          </w:p>
        </w:tc>
      </w:tr>
      <w:tr>
        <w:trPr/>
        <w:tc>
          <w:tcPr>
            <w:tcW w:w="5240" w:type="dxa"/>
            <w:tcBorders/>
            <w:vAlign w:val="center"/>
          </w:tcPr>
          <w:p>
            <w:pPr>
              <w:pStyle w:val="TableContents"/>
              <w:bidi w:val="0"/>
              <w:spacing w:before="0" w:after="283"/>
              <w:jc w:val="left"/>
              <w:rPr/>
            </w:pPr>
            <w:r>
              <w:rPr/>
              <w:t>Name of Person for Whose Account the Securities are To Be Sold</w:t>
            </w:r>
          </w:p>
        </w:tc>
        <w:tc>
          <w:tcPr>
            <w:tcW w:w="4965" w:type="dxa"/>
            <w:tcBorders/>
            <w:vAlign w:val="center"/>
          </w:tcPr>
          <w:p>
            <w:pPr>
              <w:pStyle w:val="TableContents"/>
              <w:bidi w:val="0"/>
              <w:spacing w:before="0" w:after="0"/>
              <w:jc w:val="left"/>
              <w:rPr/>
            </w:pPr>
            <w:r>
              <w:rPr/>
              <w:t>Novo Holdings 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40" w:type="dxa"/>
            <w:tcBorders/>
            <w:vAlign w:val="center"/>
          </w:tcPr>
          <w:p>
            <w:pPr>
              <w:pStyle w:val="TableContents"/>
              <w:bidi w:val="0"/>
              <w:spacing w:before="0" w:after="283"/>
              <w:jc w:val="left"/>
              <w:rPr/>
            </w:pPr>
            <w:r>
              <w:rPr/>
              <w:t>Relationship to Issuer</w:t>
            </w:r>
          </w:p>
        </w:tc>
        <w:tc>
          <w:tcPr>
            <w:tcW w:w="496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34"/>
        <w:gridCol w:w="1403"/>
        <w:gridCol w:w="1106"/>
        <w:gridCol w:w="1513"/>
        <w:gridCol w:w="1496"/>
        <w:gridCol w:w="1534"/>
        <w:gridCol w:w="1719"/>
      </w:tblGrid>
      <w:tr>
        <w:trPr/>
        <w:tc>
          <w:tcPr>
            <w:tcW w:w="1434" w:type="dxa"/>
            <w:tcBorders/>
            <w:vAlign w:val="center"/>
          </w:tcPr>
          <w:p>
            <w:pPr>
              <w:pStyle w:val="TableHeading"/>
              <w:suppressLineNumbers/>
              <w:bidi w:val="0"/>
              <w:spacing w:before="0" w:after="283"/>
              <w:jc w:val="center"/>
              <w:rPr/>
            </w:pPr>
            <w:r>
              <w:rPr/>
              <w:t>Title of the Class of Securities To Be Sold</w:t>
            </w:r>
          </w:p>
        </w:tc>
        <w:tc>
          <w:tcPr>
            <w:tcW w:w="1403" w:type="dxa"/>
            <w:tcBorders/>
            <w:vAlign w:val="center"/>
          </w:tcPr>
          <w:p>
            <w:pPr>
              <w:pStyle w:val="TableHeading"/>
              <w:suppressLineNumbers/>
              <w:bidi w:val="0"/>
              <w:spacing w:before="0" w:after="283"/>
              <w:jc w:val="center"/>
              <w:rPr/>
            </w:pPr>
            <w:r>
              <w:rPr/>
              <w:t>Name and Address of the Broker</w:t>
            </w:r>
          </w:p>
        </w:tc>
        <w:tc>
          <w:tcPr>
            <w:tcW w:w="1106" w:type="dxa"/>
            <w:tcBorders/>
            <w:vAlign w:val="center"/>
          </w:tcPr>
          <w:p>
            <w:pPr>
              <w:pStyle w:val="TableHeading"/>
              <w:suppressLineNumbers/>
              <w:bidi w:val="0"/>
              <w:spacing w:before="0" w:after="283"/>
              <w:jc w:val="center"/>
              <w:rPr/>
            </w:pPr>
            <w:r>
              <w:rPr/>
              <w:t>Number of Shares or Other Units To Be Sold</w:t>
            </w:r>
          </w:p>
        </w:tc>
        <w:tc>
          <w:tcPr>
            <w:tcW w:w="1513" w:type="dxa"/>
            <w:tcBorders/>
            <w:vAlign w:val="center"/>
          </w:tcPr>
          <w:p>
            <w:pPr>
              <w:pStyle w:val="TableHeading"/>
              <w:suppressLineNumbers/>
              <w:bidi w:val="0"/>
              <w:spacing w:before="0" w:after="283"/>
              <w:jc w:val="center"/>
              <w:rPr/>
            </w:pPr>
            <w:r>
              <w:rPr/>
              <w:t>Aggregate Market Value</w:t>
            </w:r>
          </w:p>
        </w:tc>
        <w:tc>
          <w:tcPr>
            <w:tcW w:w="1496" w:type="dxa"/>
            <w:tcBorders/>
            <w:vAlign w:val="center"/>
          </w:tcPr>
          <w:p>
            <w:pPr>
              <w:pStyle w:val="TableHeading"/>
              <w:suppressLineNumbers/>
              <w:bidi w:val="0"/>
              <w:spacing w:before="0" w:after="283"/>
              <w:jc w:val="center"/>
              <w:rPr/>
            </w:pPr>
            <w:r>
              <w:rPr/>
              <w:t>Number of Shares or Other Units Outstanding</w:t>
            </w:r>
          </w:p>
        </w:tc>
        <w:tc>
          <w:tcPr>
            <w:tcW w:w="1534" w:type="dxa"/>
            <w:tcBorders/>
            <w:vAlign w:val="center"/>
          </w:tcPr>
          <w:p>
            <w:pPr>
              <w:pStyle w:val="TableHeading"/>
              <w:suppressLineNumbers/>
              <w:bidi w:val="0"/>
              <w:spacing w:before="0" w:after="283"/>
              <w:jc w:val="center"/>
              <w:rPr/>
            </w:pPr>
            <w:r>
              <w:rPr/>
              <w:t>Approximate Date of Sale</w:t>
            </w:r>
          </w:p>
        </w:tc>
        <w:tc>
          <w:tcPr>
            <w:tcW w:w="1719" w:type="dxa"/>
            <w:tcBorders/>
            <w:vAlign w:val="center"/>
          </w:tcPr>
          <w:p>
            <w:pPr>
              <w:pStyle w:val="TableHeading"/>
              <w:suppressLineNumbers/>
              <w:bidi w:val="0"/>
              <w:spacing w:before="0" w:after="283"/>
              <w:jc w:val="center"/>
              <w:rPr/>
            </w:pPr>
            <w:r>
              <w:rPr/>
              <w:t>Name the Securities Exchange</w:t>
            </w:r>
          </w:p>
        </w:tc>
      </w:tr>
      <w:tr>
        <w:trPr/>
        <w:tc>
          <w:tcPr>
            <w:tcW w:w="1434" w:type="dxa"/>
            <w:tcBorders/>
            <w:vAlign w:val="center"/>
          </w:tcPr>
          <w:p>
            <w:pPr>
              <w:pStyle w:val="TableContents"/>
              <w:bidi w:val="0"/>
              <w:spacing w:before="0" w:after="283"/>
              <w:jc w:val="left"/>
              <w:rPr/>
            </w:pPr>
            <w:r>
              <w:rPr/>
              <w:t>Common Stock</w:t>
            </w:r>
          </w:p>
        </w:tc>
        <w:tc>
          <w:tcPr>
            <w:tcW w:w="1403" w:type="dxa"/>
            <w:tcBorders/>
            <w:vAlign w:val="center"/>
          </w:tcPr>
          <w:p>
            <w:pPr>
              <w:pStyle w:val="TableContents"/>
              <w:bidi w:val="0"/>
              <w:spacing w:before="0" w:after="0"/>
              <w:jc w:val="left"/>
              <w:rPr/>
            </w:pPr>
            <w:r>
              <w:rPr/>
              <w:t>BofA Securities, Inc.</w:t>
              <w:br/>
              <w:t>One Bryant Park, 5th Floor</w:t>
              <w:br/>
              <w:t>New York   NY   10036</w:t>
            </w:r>
          </w:p>
        </w:tc>
        <w:tc>
          <w:tcPr>
            <w:tcW w:w="1106" w:type="dxa"/>
            <w:tcBorders/>
            <w:vAlign w:val="center"/>
          </w:tcPr>
          <w:p>
            <w:pPr>
              <w:pStyle w:val="TableContents"/>
              <w:bidi w:val="0"/>
              <w:spacing w:before="0" w:after="283"/>
              <w:jc w:val="left"/>
              <w:rPr/>
            </w:pPr>
            <w:r>
              <w:rPr/>
              <w:t>1250000</w:t>
            </w:r>
          </w:p>
        </w:tc>
        <w:tc>
          <w:tcPr>
            <w:tcW w:w="1513" w:type="dxa"/>
            <w:tcBorders/>
            <w:vAlign w:val="center"/>
          </w:tcPr>
          <w:p>
            <w:pPr>
              <w:pStyle w:val="TableContents"/>
              <w:bidi w:val="0"/>
              <w:spacing w:before="0" w:after="283"/>
              <w:jc w:val="left"/>
              <w:rPr/>
            </w:pPr>
            <w:r>
              <w:rPr/>
              <w:t>62375000.00</w:t>
            </w:r>
          </w:p>
        </w:tc>
        <w:tc>
          <w:tcPr>
            <w:tcW w:w="1496" w:type="dxa"/>
            <w:tcBorders/>
            <w:vAlign w:val="center"/>
          </w:tcPr>
          <w:p>
            <w:pPr>
              <w:pStyle w:val="TableContents"/>
              <w:bidi w:val="0"/>
              <w:spacing w:before="0" w:after="283"/>
              <w:jc w:val="left"/>
              <w:rPr/>
            </w:pPr>
            <w:r>
              <w:rPr/>
              <w:t>22591161</w:t>
            </w:r>
          </w:p>
        </w:tc>
        <w:tc>
          <w:tcPr>
            <w:tcW w:w="1534" w:type="dxa"/>
            <w:tcBorders/>
            <w:vAlign w:val="center"/>
          </w:tcPr>
          <w:p>
            <w:pPr>
              <w:pStyle w:val="TableContents"/>
              <w:bidi w:val="0"/>
              <w:spacing w:before="0" w:after="283"/>
              <w:jc w:val="left"/>
              <w:rPr/>
            </w:pPr>
            <w:r>
              <w:rPr/>
              <w:t>06/28/2023</w:t>
            </w:r>
          </w:p>
        </w:tc>
        <w:tc>
          <w:tcPr>
            <w:tcW w:w="1719" w:type="dxa"/>
            <w:tcBorders/>
            <w:vAlign w:val="center"/>
          </w:tcPr>
          <w:p>
            <w:pPr>
              <w:pStyle w:val="TableContents"/>
              <w:bidi w:val="0"/>
              <w:spacing w:before="0" w:after="0"/>
              <w:jc w:val="left"/>
              <w:rPr/>
            </w:pPr>
            <w:r>
              <w:rPr/>
              <w:t>NASDAQGM</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09/12/2019</w:t>
            </w:r>
          </w:p>
        </w:tc>
        <w:tc>
          <w:tcPr>
            <w:tcW w:w="1505" w:type="dxa"/>
            <w:tcBorders/>
            <w:vAlign w:val="center"/>
          </w:tcPr>
          <w:p>
            <w:pPr>
              <w:pStyle w:val="TableContents"/>
              <w:bidi w:val="0"/>
              <w:spacing w:before="0" w:after="283"/>
              <w:jc w:val="left"/>
              <w:rPr/>
            </w:pPr>
            <w:r>
              <w:rPr/>
              <w:t>Private Purchase then exchange in merger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548000</w:t>
            </w:r>
          </w:p>
        </w:tc>
        <w:tc>
          <w:tcPr>
            <w:tcW w:w="1078" w:type="dxa"/>
            <w:tcBorders/>
            <w:vAlign w:val="center"/>
          </w:tcPr>
          <w:p>
            <w:pPr>
              <w:pStyle w:val="TableContents"/>
              <w:bidi w:val="0"/>
              <w:spacing w:before="0" w:after="283"/>
              <w:jc w:val="left"/>
              <w:rPr/>
            </w:pPr>
            <w:r>
              <w:rPr/>
              <w:t>09/12/2019</w:t>
            </w:r>
          </w:p>
        </w:tc>
        <w:tc>
          <w:tcPr>
            <w:tcW w:w="1235" w:type="dxa"/>
            <w:tcBorders/>
            <w:vAlign w:val="center"/>
          </w:tcPr>
          <w:p>
            <w:pPr>
              <w:pStyle w:val="TableContents"/>
              <w:bidi w:val="0"/>
              <w:spacing w:before="0" w:after="283"/>
              <w:jc w:val="left"/>
              <w:rPr/>
            </w:pPr>
            <w:r>
              <w:rPr/>
              <w:t>Cash then exchange in merger</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Purchase then exchange in merger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730666</w:t>
            </w:r>
          </w:p>
        </w:tc>
        <w:tc>
          <w:tcPr>
            <w:tcW w:w="1078" w:type="dxa"/>
            <w:tcBorders/>
            <w:vAlign w:val="center"/>
          </w:tcPr>
          <w:p>
            <w:pPr>
              <w:pStyle w:val="TableContents"/>
              <w:bidi w:val="0"/>
              <w:spacing w:before="0" w:after="283"/>
              <w:jc w:val="left"/>
              <w:rPr/>
            </w:pPr>
            <w:r>
              <w:rPr/>
              <w:t>05/01/2020</w:t>
            </w:r>
          </w:p>
        </w:tc>
        <w:tc>
          <w:tcPr>
            <w:tcW w:w="1235" w:type="dxa"/>
            <w:tcBorders/>
            <w:vAlign w:val="center"/>
          </w:tcPr>
          <w:p>
            <w:pPr>
              <w:pStyle w:val="TableContents"/>
              <w:bidi w:val="0"/>
              <w:spacing w:before="0" w:after="283"/>
              <w:jc w:val="left"/>
              <w:rPr/>
            </w:pPr>
            <w:r>
              <w:rPr/>
              <w:t>Cash then exchange in merger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61"/>
        <w:gridCol w:w="7744"/>
      </w:tblGrid>
      <w:tr>
        <w:trPr/>
        <w:tc>
          <w:tcPr>
            <w:tcW w:w="2461" w:type="dxa"/>
            <w:tcBorders/>
            <w:vAlign w:val="center"/>
          </w:tcPr>
          <w:p>
            <w:pPr>
              <w:pStyle w:val="TableContents"/>
              <w:bidi w:val="0"/>
              <w:spacing w:before="0" w:after="283"/>
              <w:jc w:val="left"/>
              <w:rPr/>
            </w:pPr>
            <w:r>
              <w:rPr/>
              <w:t>Remarks</w:t>
            </w:r>
          </w:p>
        </w:tc>
        <w:tc>
          <w:tcPr>
            <w:tcW w:w="7744"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before="0" w:after="283"/>
              <w:jc w:val="left"/>
              <w:rPr/>
            </w:pPr>
            <w:r>
              <w:rPr/>
              <w:t>Date of Notice</w:t>
            </w:r>
          </w:p>
        </w:tc>
        <w:tc>
          <w:tcPr>
            <w:tcW w:w="7744" w:type="dxa"/>
            <w:tcBorders/>
            <w:vAlign w:val="center"/>
          </w:tcPr>
          <w:p>
            <w:pPr>
              <w:pStyle w:val="TableContents"/>
              <w:bidi w:val="0"/>
              <w:spacing w:before="0" w:after="0"/>
              <w:jc w:val="left"/>
              <w:rPr/>
            </w:pPr>
            <w:r>
              <w:rPr/>
              <w:t>06/28/2023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61" w:type="dxa"/>
            <w:tcBorders/>
            <w:vAlign w:val="center"/>
          </w:tcPr>
          <w:p>
            <w:pPr>
              <w:pStyle w:val="TableContents"/>
              <w:bidi w:val="0"/>
              <w:spacing w:before="0" w:after="283"/>
              <w:jc w:val="left"/>
              <w:rPr/>
            </w:pPr>
            <w:r>
              <w:rPr/>
              <w:t>Signature</w:t>
            </w:r>
          </w:p>
        </w:tc>
        <w:tc>
          <w:tcPr>
            <w:tcW w:w="7744" w:type="dxa"/>
            <w:tcBorders/>
            <w:vAlign w:val="center"/>
          </w:tcPr>
          <w:p>
            <w:pPr>
              <w:pStyle w:val="TableContents"/>
              <w:bidi w:val="0"/>
              <w:spacing w:before="0" w:after="0"/>
              <w:jc w:val="left"/>
              <w:rPr/>
            </w:pPr>
            <w:r>
              <w:rPr/>
              <w:t>/s/ Barbara Fiorini Due, General Counsel, Finance &amp; Operations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3088</Characters>
  <CharactersWithSpaces>3635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