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8-A/A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12(g)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right"/>
              <w:ind w:right="2230"/>
              <w:spacing w:after="0"/>
              <w:rPr>
                <w:sz w:val="20"/>
                <w:szCs w:val="20"/>
                <w:color w:val="auto"/>
              </w:rPr>
            </w:pPr>
            <w:r>
              <w:rPr>
                <w:rFonts w:ascii="Arial" w:cs="Arial" w:eastAsia="Arial" w:hAnsi="Arial"/>
                <w:sz w:val="18"/>
                <w:szCs w:val="18"/>
                <w:b w:val="1"/>
                <w:bCs w:val="1"/>
                <w:color w:val="auto"/>
              </w:rPr>
              <w:t>85-1612845</w:t>
            </w:r>
          </w:p>
        </w:tc>
      </w:tr>
      <w:tr>
        <w:trPr>
          <w:trHeight w:val="234"/>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(State of Incorporation or Organization)</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36"/>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300 One Kendall Square, 3</w:t>
            </w:r>
            <w:r>
              <w:rPr>
                <w:rFonts w:ascii="Arial" w:cs="Arial" w:eastAsia="Arial" w:hAnsi="Arial"/>
                <w:sz w:val="29"/>
                <w:szCs w:val="29"/>
                <w:b w:val="1"/>
                <w:bCs w:val="1"/>
                <w:color w:val="auto"/>
                <w:w w:val="90"/>
                <w:vertAlign w:val="superscript"/>
              </w:rPr>
              <w:t>rd</w:t>
            </w:r>
            <w:r>
              <w:rPr>
                <w:rFonts w:ascii="Arial" w:cs="Arial" w:eastAsia="Arial" w:hAnsi="Arial"/>
                <w:sz w:val="18"/>
                <w:szCs w:val="18"/>
                <w:b w:val="1"/>
                <w:bCs w:val="1"/>
                <w:color w:val="auto"/>
                <w:w w:val="90"/>
              </w:rPr>
              <w:t xml:space="preserve"> Floor</w:t>
            </w:r>
          </w:p>
        </w:tc>
        <w:tc>
          <w:tcPr>
            <w:tcW w:w="5500" w:type="dxa"/>
            <w:vAlign w:val="bottom"/>
          </w:tcPr>
          <w:p>
            <w:pPr>
              <w:spacing w:after="0"/>
              <w:rPr>
                <w:sz w:val="24"/>
                <w:szCs w:val="24"/>
                <w:color w:val="auto"/>
              </w:rPr>
            </w:pPr>
          </w:p>
        </w:tc>
      </w:tr>
      <w:tr>
        <w:trPr>
          <w:trHeight w:val="241"/>
        </w:trPr>
        <w:tc>
          <w:tcPr>
            <w:tcW w:w="5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Cambridge, MA</w:t>
            </w:r>
          </w:p>
        </w:tc>
        <w:tc>
          <w:tcPr>
            <w:tcW w:w="5500" w:type="dxa"/>
            <w:vAlign w:val="bottom"/>
          </w:tcPr>
          <w:p>
            <w:pPr>
              <w:jc w:val="right"/>
              <w:ind w:right="2430"/>
              <w:spacing w:after="0"/>
              <w:rPr>
                <w:sz w:val="20"/>
                <w:szCs w:val="20"/>
                <w:color w:val="auto"/>
              </w:rPr>
            </w:pPr>
            <w:r>
              <w:rPr>
                <w:rFonts w:ascii="Arial" w:cs="Arial" w:eastAsia="Arial" w:hAnsi="Arial"/>
                <w:sz w:val="18"/>
                <w:szCs w:val="18"/>
                <w:b w:val="1"/>
                <w:bCs w:val="1"/>
                <w:color w:val="auto"/>
              </w:rPr>
              <w:t>02139</w:t>
            </w:r>
          </w:p>
        </w:tc>
      </w:tr>
      <w:tr>
        <w:trPr>
          <w:trHeight w:val="234"/>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(Zip Code)</w:t>
            </w:r>
          </w:p>
        </w:tc>
      </w:tr>
    </w:tbl>
    <w:p>
      <w:pPr>
        <w:spacing w:after="0" w:line="183"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please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Act registration statement file number to which this form relates: Registration No. 333-249785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(If applicable)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Gemini Therapeutics, Inc. (f/k/a FS Development Corp.) (the “Company”) hereby amends the registration statement on Form 8-A (Registration No. 333-249785) filed by the Company with the U.S. Securities and Exchange Commission (the “SEC”) on August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registration statement relates to the registration with the SEC of shares of common stock, par value $0.0001 per share (“Common Stock”), of the Company.</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Prior to February 5, 2021, the Company had two classes of common stock: Class A common stock, par value $0.0001 per share (“Class A common stock”), and Class B common stock, par value $0.0001 per share (“Class B common stock”). On February 3, 2021, the Company’s stockholders approved, and on February 5, 2021, the Company effected, a merger of FSG Merger Sub, Inc., a Delaware corporation and a wholly owned subsidiary of the Company (“Merger Sub”) with and into Gemini Therapeutics Sub, Inc., a Delaware corporation (f/k/a Gemini Therapeutics, Inc., “Gemini”), with Gemini surviving the merger as a wholly owned subsidiary of the Company (the “Business Combination”). In connection with the Business Combination,</w:t>
      </w:r>
    </w:p>
    <w:p>
      <w:pPr>
        <w:spacing w:after="0" w:line="2" w:lineRule="exact"/>
        <w:rPr>
          <w:sz w:val="20"/>
          <w:szCs w:val="20"/>
          <w:color w:val="auto"/>
        </w:rPr>
      </w:pPr>
    </w:p>
    <w:p>
      <w:pPr>
        <w:jc w:val="both"/>
        <w:ind w:firstLine="8"/>
        <w:spacing w:after="0" w:line="302" w:lineRule="auto"/>
        <w:tabs>
          <w:tab w:leader="none" w:pos="225" w:val="left"/>
        </w:tabs>
        <w:numPr>
          <w:ilvl w:val="0"/>
          <w:numId w:val="1"/>
        </w:numPr>
        <w:rPr>
          <w:rFonts w:ascii="Arial" w:cs="Arial" w:eastAsia="Arial" w:hAnsi="Arial"/>
          <w:sz w:val="16"/>
          <w:szCs w:val="16"/>
          <w:color w:val="auto"/>
        </w:rPr>
      </w:pPr>
      <w:r>
        <w:rPr>
          <w:rFonts w:ascii="Arial" w:cs="Arial" w:eastAsia="Arial" w:hAnsi="Arial"/>
          <w:sz w:val="16"/>
          <w:szCs w:val="16"/>
          <w:color w:val="auto"/>
        </w:rPr>
        <w:t>all of the Class B common stock converted into Class A common stock on a one-for-one basis, (ii) the Company’s amended and restated certificate of incorporation was amended and restated to, among other things, effect the reclassification of all of the Class A common stock and Class B common stock into a single class of common stock, and (iii) the Company’s board of directors approved the amendment and restatement of the Company’s bylaws.</w:t>
      </w:r>
    </w:p>
    <w:p>
      <w:pPr>
        <w:spacing w:after="0" w:line="15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description of the common stock registered hereunder and related rights is set forth under the heading “Description of Securities after the Business Combination” beginning on page 198 of the Company’s definitive proxy statement/prospectus filed pursuant to Rule 424(b)(3) (the “Proxy Statement”) filed by the Company with the SEC on January 19, 2021 (Registration No. 333-249785) and is incorporated herein by reference. The description of the common stock is qualified in its entirety by reference to the Company’s second amended and restated certification of incorporation and the Company’s amended and restated bylaws, which are filed as Exhibits 3.1 and 3.2 hereto and incorporated herein by reference.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being filed as a part of this registration statement or are incorporated herein by reference:</w:t>
      </w:r>
    </w:p>
    <w:p>
      <w:pPr>
        <w:spacing w:after="0" w:line="221" w:lineRule="exact"/>
        <w:rPr>
          <w:sz w:val="20"/>
          <w:szCs w:val="20"/>
          <w:color w:val="auto"/>
        </w:rPr>
      </w:pPr>
    </w:p>
    <w:p>
      <w:pPr>
        <w:ind w:left="140"/>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460"/>
        <w:spacing w:after="0"/>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w:anchor="page5">
        <w:r>
          <w:rPr>
            <w:rFonts w:ascii="Arial" w:cs="Arial" w:eastAsia="Arial" w:hAnsi="Arial"/>
            <w:sz w:val="16"/>
            <w:szCs w:val="16"/>
            <w:u w:val="single" w:color="auto"/>
            <w:color w:val="0000EE"/>
          </w:rPr>
          <w:t>Second Amended and Restated Certificate of Incorporation</w:t>
        </w:r>
        <w:r>
          <w:rPr>
            <w:rFonts w:ascii="Arial" w:cs="Arial" w:eastAsia="Arial" w:hAnsi="Arial"/>
            <w:sz w:val="16"/>
            <w:szCs w:val="16"/>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460"/>
        <w:spacing w:after="0"/>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w:anchor="page13">
        <w:r>
          <w:rPr>
            <w:rFonts w:ascii="Arial" w:cs="Arial" w:eastAsia="Arial" w:hAnsi="Arial"/>
            <w:sz w:val="16"/>
            <w:szCs w:val="16"/>
            <w:u w:val="single" w:color="auto"/>
            <w:color w:val="0000EE"/>
          </w:rPr>
          <w:t>Amended and Restated Bylaws.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460"/>
        <w:spacing w:after="0"/>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w:anchor="page28">
        <w:r>
          <w:rPr>
            <w:rFonts w:ascii="Arial" w:cs="Arial" w:eastAsia="Arial" w:hAnsi="Arial"/>
            <w:sz w:val="16"/>
            <w:szCs w:val="16"/>
            <w:u w:val="single" w:color="auto"/>
            <w:color w:val="0000EE"/>
          </w:rPr>
          <w:t>Form of Specimen Common Stock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420"/>
        <w:spacing w:after="0"/>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30">
        <w:r>
          <w:rPr>
            <w:rFonts w:ascii="Arial" w:cs="Arial" w:eastAsia="Arial" w:hAnsi="Arial"/>
            <w:sz w:val="16"/>
            <w:szCs w:val="16"/>
            <w:u w:val="single" w:color="auto"/>
            <w:color w:val="0000EE"/>
          </w:rPr>
          <w:t>Registration Rights Agreement, dated February 5, 2021, by and among the Registrant and the parties listed on the signature pages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1260" w:hanging="831"/>
        <w:spacing w:after="0" w:line="277"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w:anchor="page59">
        <w:r>
          <w:rPr>
            <w:rFonts w:ascii="Arial" w:cs="Arial" w:eastAsia="Arial" w:hAnsi="Arial"/>
            <w:sz w:val="18"/>
            <w:szCs w:val="18"/>
            <w:u w:val="single" w:color="auto"/>
            <w:color w:val="0000EE"/>
          </w:rPr>
          <w:t>Escrow Agreement (Shareholder Representative), dated as of February 5, 2021, by and among FS Development Holdings, LLC, FS</w:t>
        </w:r>
      </w:hyperlink>
      <w:r>
        <w:rPr>
          <w:rFonts w:ascii="Arial" w:cs="Arial" w:eastAsia="Arial" w:hAnsi="Arial"/>
          <w:sz w:val="18"/>
          <w:szCs w:val="18"/>
          <w:u w:val="single" w:color="auto"/>
          <w:color w:val="0000EE"/>
        </w:rPr>
        <w:t xml:space="preserve"> </w:t>
      </w:r>
      <w:hyperlink w:anchor="page59">
        <w:r>
          <w:rPr>
            <w:rFonts w:ascii="Arial" w:cs="Arial" w:eastAsia="Arial" w:hAnsi="Arial"/>
            <w:sz w:val="18"/>
            <w:szCs w:val="18"/>
            <w:u w:val="single" w:color="auto"/>
            <w:color w:val="0000EE"/>
          </w:rPr>
          <w:t>Development Corp., Shareholder Representative Services LLC and Continental Stock Transfer &amp; Trust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February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Jason Meyenburg</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5, 2021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FS Development Corp., a corporation organized and existing under the laws of the State of 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DOES HEREBY CERTIFY AS FOLLOWS:</w:t>
      </w:r>
    </w:p>
    <w:p>
      <w:pPr>
        <w:spacing w:after="0" w:line="170" w:lineRule="exact"/>
        <w:rPr>
          <w:sz w:val="20"/>
          <w:szCs w:val="20"/>
          <w:color w:val="auto"/>
        </w:rPr>
      </w:pPr>
    </w:p>
    <w:p>
      <w:pPr>
        <w:jc w:val="both"/>
        <w:ind w:left="660" w:hanging="328"/>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name of the Corporation is “FS Development Corp.” The Corporation was initially formed as “Hindsite Acquisition Corp.”, and the original certificate of incorporation was filed with the Secretary of State of the State of Delaware on June 25, 2020 (the “</w:t>
      </w:r>
      <w:r>
        <w:rPr>
          <w:rFonts w:ascii="Arial" w:cs="Arial" w:eastAsia="Arial" w:hAnsi="Arial"/>
          <w:sz w:val="18"/>
          <w:szCs w:val="18"/>
          <w:u w:val="single" w:color="auto"/>
          <w:color w:val="auto"/>
        </w:rPr>
        <w:t>Original Certificate</w:t>
      </w:r>
      <w:r>
        <w:rPr>
          <w:rFonts w:ascii="Arial" w:cs="Arial" w:eastAsia="Arial" w:hAnsi="Arial"/>
          <w:sz w:val="18"/>
          <w:szCs w:val="18"/>
          <w:color w:val="auto"/>
        </w:rPr>
        <w:t>”). The First Amendment to the Original Certificate was filed with the Secretary of State of the State of Delaware on June 29, 2020 (the “</w:t>
      </w:r>
      <w:r>
        <w:rPr>
          <w:rFonts w:ascii="Arial" w:cs="Arial" w:eastAsia="Arial" w:hAnsi="Arial"/>
          <w:sz w:val="18"/>
          <w:szCs w:val="18"/>
          <w:u w:val="single" w:color="auto"/>
          <w:color w:val="auto"/>
        </w:rPr>
        <w:t>First Amendment</w:t>
      </w:r>
      <w:r>
        <w:rPr>
          <w:rFonts w:ascii="Arial" w:cs="Arial" w:eastAsia="Arial" w:hAnsi="Arial"/>
          <w:sz w:val="18"/>
          <w:szCs w:val="18"/>
          <w:color w:val="auto"/>
        </w:rPr>
        <w:t>”). The Amended and Restated Certificate of Incorporation (the “</w:t>
      </w:r>
      <w:r>
        <w:rPr>
          <w:rFonts w:ascii="Arial" w:cs="Arial" w:eastAsia="Arial" w:hAnsi="Arial"/>
          <w:sz w:val="18"/>
          <w:szCs w:val="18"/>
          <w:u w:val="single" w:color="auto"/>
          <w:color w:val="auto"/>
        </w:rPr>
        <w:t>First Amended and Restated Certificate</w:t>
      </w:r>
      <w:r>
        <w:rPr>
          <w:rFonts w:ascii="Arial" w:cs="Arial" w:eastAsia="Arial" w:hAnsi="Arial"/>
          <w:sz w:val="18"/>
          <w:szCs w:val="18"/>
          <w:color w:val="auto"/>
        </w:rPr>
        <w:t>”), which both restated and amended the provisions of the Original Certificate, as amended by the First Amendment, was filed with the Secretary of the State of Delaware on August 11, 2020.</w:t>
      </w:r>
    </w:p>
    <w:p>
      <w:pPr>
        <w:spacing w:after="0" w:line="19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Second Amended and Restated Certificate of Incorporation (the “</w:t>
      </w:r>
      <w:r>
        <w:rPr>
          <w:rFonts w:ascii="Arial" w:cs="Arial" w:eastAsia="Arial" w:hAnsi="Arial"/>
          <w:sz w:val="18"/>
          <w:szCs w:val="18"/>
          <w:u w:val="single" w:color="auto"/>
          <w:color w:val="auto"/>
        </w:rPr>
        <w:t>Second Amended and Restated Certificate</w:t>
      </w:r>
      <w:r>
        <w:rPr>
          <w:rFonts w:ascii="Arial" w:cs="Arial" w:eastAsia="Arial" w:hAnsi="Arial"/>
          <w:sz w:val="18"/>
          <w:szCs w:val="18"/>
          <w:color w:val="auto"/>
        </w:rPr>
        <w:t>”), which both restates and amends the provisions of the First Amended and Restated Certificate, was duly adopted in accordance with Sections 228, 242 and 245 of the General Corporation Law of the State of Delaware (as amended from time to time,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Second Amended and Restated Certificate shall become effective on the date of filing with the Secretary of State of Delaware.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capitalized terms used in this Second Amended and Restated Certificate are defined where appropriate herein.</w:t>
      </w:r>
    </w:p>
    <w:p>
      <w:pPr>
        <w:spacing w:after="0" w:line="225"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This Second Amended and Restated Certificate is being amended and restated in connection with the transactions contemplated by that certain Agreement and Plan of Merger, dated October 15, 2020 (the “Merger Agreement”), by and among the Corporation, Gemini Therapeutics Sub, Inc. (f/k/a Gemini Therapeutics, Inc.), FSG Merger Sub Inc. and Shareholder Representative Services LLC (solely in its capacity as the stockholder representative as set forth therein). As part of the transactions contemplated by the Merger Agreement, and in accordance with Section 4.3(b) of the First Amended and Restated Certificate, all shares of outstanding Class B Common Stock of the Corporation shall automatically be converted, on a one-to-one basis, into shares of Class A Common Stock of the Corporation such that, at the effectiveness of this Second Amended and Restated Certificate, only Class A Common Stock remains outstanding. All Class A Common Stock issued and outstanding prior to the effectiveness of this Third Amended and Restated Certificate and all Class A Common Stock issued as part of the Merger Agreement and the Subscription Agreements contemplated by the Merger Agreement shall be renamed as Common Stock for all purposes of this Second Amended and Restated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text of the First Amended and Restated Certificate is hereby restated and amended in its entirety to read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Gemini Therapeutics,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251 Little Falls Drive, in the City of Wilmington, County of New Castle, State of Delaware, 19808. The name of its registered agent at such address is Corporation Service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DGCL.</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total number of shares of capital stock which the Corporation shall have authority to issue is Two Hundred and Sixty Million (260,000,000) of which (i) Two Hundred and Fifty Million (250,000,000) shares shall be a class designated as common stock, par value $0.0001 per share (the “</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and (ii) Ten Million (10,000,000) shares shall be a class designated as undesignated preferred stock, par value $0.0001 per share (the “</w:t>
      </w:r>
      <w:r>
        <w:rPr>
          <w:rFonts w:ascii="Arial" w:cs="Arial" w:eastAsia="Arial" w:hAnsi="Arial"/>
          <w:sz w:val="18"/>
          <w:szCs w:val="18"/>
          <w:u w:val="single" w:color="auto"/>
          <w:color w:val="auto"/>
        </w:rPr>
        <w:t>Undesignated Preferred Stock</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Common Stock</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70" w:lineRule="exact"/>
        <w:rPr>
          <w:sz w:val="20"/>
          <w:szCs w:val="20"/>
          <w:color w:val="auto"/>
        </w:rPr>
      </w:pPr>
    </w:p>
    <w:p>
      <w:pPr>
        <w:jc w:val="both"/>
        <w:ind w:firstLine="1952"/>
        <w:spacing w:after="0" w:line="254" w:lineRule="auto"/>
        <w:tabs>
          <w:tab w:leader="none" w:pos="219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holders of the Common Stock shall have the exclusive right to vote for the election of directors of the Corporation (the “</w:t>
      </w:r>
      <w:r>
        <w:rPr>
          <w:rFonts w:ascii="Arial" w:cs="Arial" w:eastAsia="Arial" w:hAnsi="Arial"/>
          <w:sz w:val="18"/>
          <w:szCs w:val="18"/>
          <w:u w:val="single" w:color="auto"/>
          <w:color w:val="auto"/>
        </w:rPr>
        <w:t>Directors</w:t>
      </w:r>
      <w:r>
        <w:rPr>
          <w:rFonts w:ascii="Arial" w:cs="Arial" w:eastAsia="Arial" w:hAnsi="Arial"/>
          <w:sz w:val="18"/>
          <w:szCs w:val="18"/>
          <w:color w:val="auto"/>
        </w:rPr>
        <w:t xml:space="preserve">”) and on all other matters requiring stockholder action, each outstanding share entitling the holder thereof to one vote on each matter properly submitted to the stockholders of the Corporation for their vote;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91" w:lineRule="exact"/>
        <w:rPr>
          <w:rFonts w:ascii="Arial" w:cs="Arial" w:eastAsia="Arial" w:hAnsi="Arial"/>
          <w:sz w:val="18"/>
          <w:szCs w:val="18"/>
          <w:color w:val="auto"/>
        </w:rPr>
      </w:pPr>
    </w:p>
    <w:p>
      <w:pPr>
        <w:jc w:val="both"/>
        <w:ind w:firstLine="1952"/>
        <w:spacing w:after="0" w:line="263" w:lineRule="auto"/>
        <w:tabs>
          <w:tab w:leader="none" w:pos="2221"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of the Corporation (the “</w:t>
      </w:r>
      <w:r>
        <w:rPr>
          <w:rFonts w:ascii="Arial" w:cs="Arial" w:eastAsia="Arial" w:hAnsi="Arial"/>
          <w:sz w:val="18"/>
          <w:szCs w:val="18"/>
          <w:u w:val="single" w:color="auto"/>
          <w:color w:val="auto"/>
        </w:rPr>
        <w:t>Board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Directors</w:t>
      </w:r>
      <w:r>
        <w:rPr>
          <w:rFonts w:ascii="Arial" w:cs="Arial" w:eastAsia="Arial" w:hAnsi="Arial"/>
          <w:sz w:val="18"/>
          <w:szCs w:val="18"/>
          <w:color w:val="auto"/>
        </w:rPr>
        <w:t>”) or any authorized committee thereof; and</w:t>
      </w:r>
    </w:p>
    <w:p>
      <w:pPr>
        <w:spacing w:after="0" w:line="183" w:lineRule="exact"/>
        <w:rPr>
          <w:rFonts w:ascii="Arial" w:cs="Arial" w:eastAsia="Arial" w:hAnsi="Arial"/>
          <w:sz w:val="18"/>
          <w:szCs w:val="18"/>
          <w:color w:val="auto"/>
        </w:rPr>
      </w:pPr>
    </w:p>
    <w:p>
      <w:pPr>
        <w:ind w:firstLine="1952"/>
        <w:spacing w:after="0" w:line="277" w:lineRule="auto"/>
        <w:tabs>
          <w:tab w:leader="none" w:pos="2192"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the voluntary or involuntary liquidation, dissolution or winding up of the Corporation, the net assets of the Corporation shall be distributed pro rata to the holders of the Common Stock.</w:t>
      </w:r>
    </w:p>
    <w:p>
      <w:pPr>
        <w:spacing w:after="0" w:line="170" w:lineRule="exact"/>
        <w:rPr>
          <w:rFonts w:ascii="Arial" w:cs="Arial" w:eastAsia="Arial" w:hAnsi="Arial"/>
          <w:sz w:val="18"/>
          <w:szCs w:val="18"/>
          <w:color w:val="auto"/>
        </w:rPr>
      </w:pPr>
    </w:p>
    <w:p>
      <w:pPr>
        <w:ind w:left="4640" w:hanging="200"/>
        <w:spacing w:after="0"/>
        <w:tabs>
          <w:tab w:leader="none" w:pos="464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Undesignated Preferred Stock</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Except as otherwise provided by any certificate of designations of any series of Undesignated Preferred Stock then outstanding or by law, no holder of any series of Undesignated Preferred Stock, as such, shall be entitled to any voting powers in respect thereof.</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 Action</w:t>
      </w:r>
    </w:p>
    <w:p>
      <w:pPr>
        <w:spacing w:after="0" w:line="229" w:lineRule="exact"/>
        <w:rPr>
          <w:sz w:val="20"/>
          <w:szCs w:val="20"/>
          <w:color w:val="auto"/>
        </w:rPr>
      </w:pPr>
    </w:p>
    <w:p>
      <w:pPr>
        <w:jc w:val="both"/>
        <w:ind w:firstLine="656"/>
        <w:spacing w:after="0" w:line="272" w:lineRule="auto"/>
        <w:tabs>
          <w:tab w:leader="none" w:pos="828"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Action without Meeting</w:t>
      </w:r>
      <w:r>
        <w:rPr>
          <w:rFonts w:ascii="Arial" w:cs="Arial" w:eastAsia="Arial" w:hAnsi="Arial"/>
          <w:sz w:val="17"/>
          <w:szCs w:val="17"/>
          <w:color w:val="auto"/>
        </w:rPr>
        <w:t>. Except as may otherwise be provided by or pursuant to this Certificate (or any certificate of designations of any series of Undesignated Preferred Stock then outstanding) with respect to the holders of any series of Undesignated Preferred Stock then outstanding,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1.</w:t>
      </w:r>
    </w:p>
    <w:p>
      <w:pPr>
        <w:spacing w:after="0" w:line="177" w:lineRule="exact"/>
        <w:rPr>
          <w:rFonts w:ascii="Arial" w:cs="Arial" w:eastAsia="Arial" w:hAnsi="Arial"/>
          <w:sz w:val="17"/>
          <w:szCs w:val="17"/>
          <w:color w:val="auto"/>
        </w:rPr>
      </w:pPr>
    </w:p>
    <w:p>
      <w:pPr>
        <w:jc w:val="both"/>
        <w:ind w:firstLine="656"/>
        <w:spacing w:after="0" w:line="272" w:lineRule="auto"/>
        <w:tabs>
          <w:tab w:leader="none" w:pos="828"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Special Meetings</w:t>
      </w:r>
      <w:r>
        <w:rPr>
          <w:rFonts w:ascii="Arial" w:cs="Arial" w:eastAsia="Arial" w:hAnsi="Arial"/>
          <w:sz w:val="17"/>
          <w:szCs w:val="17"/>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Directors</w:t>
      </w:r>
    </w:p>
    <w:p>
      <w:pPr>
        <w:spacing w:after="0" w:line="229" w:lineRule="exact"/>
        <w:rPr>
          <w:sz w:val="20"/>
          <w:szCs w:val="20"/>
          <w:color w:val="auto"/>
        </w:rPr>
      </w:pPr>
    </w:p>
    <w:p>
      <w:pPr>
        <w:ind w:firstLine="656"/>
        <w:spacing w:after="0" w:line="277" w:lineRule="auto"/>
        <w:tabs>
          <w:tab w:leader="none" w:pos="828"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business and affairs of the Corporation shall be managed by or under the direction of the Board of Directors except as otherwise provided herein or required by law.</w:t>
      </w:r>
    </w:p>
    <w:p>
      <w:pPr>
        <w:spacing w:after="0" w:line="170" w:lineRule="exact"/>
        <w:rPr>
          <w:rFonts w:ascii="Arial" w:cs="Arial" w:eastAsia="Arial" w:hAnsi="Arial"/>
          <w:sz w:val="18"/>
          <w:szCs w:val="18"/>
          <w:color w:val="auto"/>
        </w:rPr>
      </w:pPr>
    </w:p>
    <w:p>
      <w:pPr>
        <w:ind w:left="860" w:hanging="204"/>
        <w:spacing w:after="0"/>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Election of Directors</w:t>
      </w:r>
      <w:r>
        <w:rPr>
          <w:rFonts w:ascii="Arial" w:cs="Arial" w:eastAsia="Arial" w:hAnsi="Arial"/>
          <w:sz w:val="17"/>
          <w:szCs w:val="17"/>
          <w:color w:val="auto"/>
        </w:rPr>
        <w:t>. Election of Directors need not be by written ballot unless the By-laws of the Corporation (the “</w:t>
      </w:r>
      <w:r>
        <w:rPr>
          <w:rFonts w:ascii="Arial" w:cs="Arial" w:eastAsia="Arial" w:hAnsi="Arial"/>
          <w:sz w:val="17"/>
          <w:szCs w:val="17"/>
          <w:u w:val="single" w:color="auto"/>
          <w:color w:val="auto"/>
        </w:rPr>
        <w:t>By-laws</w:t>
      </w:r>
      <w:r>
        <w:rPr>
          <w:rFonts w:ascii="Arial" w:cs="Arial" w:eastAsia="Arial" w:hAnsi="Arial"/>
          <w:sz w:val="17"/>
          <w:szCs w:val="17"/>
          <w:color w:val="auto"/>
        </w:rPr>
        <w:t>”) shall so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provide.</w:t>
      </w:r>
    </w:p>
    <w:p>
      <w:pPr>
        <w:spacing w:after="0" w:line="210" w:lineRule="exact"/>
        <w:rPr>
          <w:rFonts w:ascii="Arial" w:cs="Arial" w:eastAsia="Arial" w:hAnsi="Arial"/>
          <w:sz w:val="17"/>
          <w:szCs w:val="17"/>
          <w:color w:val="auto"/>
        </w:rPr>
      </w:pPr>
    </w:p>
    <w:p>
      <w:pPr>
        <w:jc w:val="both"/>
        <w:ind w:firstLine="656"/>
        <w:spacing w:after="0" w:line="286" w:lineRule="auto"/>
        <w:tabs>
          <w:tab w:leader="none" w:pos="841"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Number of Directors; Term of Office</w:t>
      </w:r>
      <w:r>
        <w:rPr>
          <w:rFonts w:ascii="Arial" w:cs="Arial" w:eastAsia="Arial" w:hAnsi="Arial"/>
          <w:sz w:val="16"/>
          <w:szCs w:val="16"/>
          <w:color w:val="auto"/>
        </w:rPr>
        <w:t>. Subject to the terms of the Registration and Rights Agreement, dated as of February 5, 2021, by and among the Corporation and certain of its stockholders (as amended, modified and/or supplemented from time to time, the “</w:t>
      </w:r>
      <w:r>
        <w:rPr>
          <w:rFonts w:ascii="Arial" w:cs="Arial" w:eastAsia="Arial" w:hAnsi="Arial"/>
          <w:sz w:val="16"/>
          <w:szCs w:val="16"/>
          <w:u w:val="single" w:color="auto"/>
          <w:color w:val="auto"/>
        </w:rPr>
        <w:t>Registration Rights</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and the Voting Agreement, dated as of February 5, 2021, by and among the Corporation and certain of its stockholders (as amended, modified and/or supplemented from time to time, the “</w:t>
      </w:r>
      <w:r>
        <w:rPr>
          <w:rFonts w:ascii="Arial" w:cs="Arial" w:eastAsia="Arial" w:hAnsi="Arial"/>
          <w:sz w:val="16"/>
          <w:szCs w:val="16"/>
          <w:u w:val="single" w:color="auto"/>
          <w:color w:val="auto"/>
        </w:rPr>
        <w:t>Voting Agreement</w:t>
      </w:r>
      <w:r>
        <w:rPr>
          <w:rFonts w:ascii="Arial" w:cs="Arial" w:eastAsia="Arial" w:hAnsi="Arial"/>
          <w:sz w:val="16"/>
          <w:szCs w:val="16"/>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Jean George and Dr. Carl Gordon; the initial Class II Directors of the Corporation shall be David Lubner, Dr. Tuyen Ong and Jason Rhodes; and the initial Class III Directors of the Corporation shall be Jason Meyenburg and Dr. Jim Tananbaum. The initial Class I Directors shall serve for a term expiring at the annual meeting of stockholders to be held in 2021, the initial Class II Directors shall serve for a term expiring at the annual meeting of stockholders to be held in 2022, and the initial Class III Directors shall serve for a term expiring at the annual meeting of stockholders to be held in 2023. The mailing address of each person who is to serve initially as a director is c/o Gemini Therapeutics, Inc., One Kendall Square, Building 300, Cambridge, MA.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648"/>
        <w:spacing w:after="0" w:line="259" w:lineRule="auto"/>
        <w:rPr>
          <w:sz w:val="20"/>
          <w:szCs w:val="20"/>
          <w:color w:val="auto"/>
        </w:rPr>
      </w:pPr>
      <w:r>
        <w:rPr>
          <w:rFonts w:ascii="Arial" w:cs="Arial" w:eastAsia="Arial" w:hAnsi="Arial"/>
          <w:sz w:val="18"/>
          <w:szCs w:val="18"/>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3.</w:t>
      </w:r>
    </w:p>
    <w:p>
      <w:pPr>
        <w:spacing w:after="0" w:line="184" w:lineRule="exact"/>
        <w:rPr>
          <w:sz w:val="20"/>
          <w:szCs w:val="20"/>
          <w:color w:val="auto"/>
        </w:rPr>
      </w:pPr>
    </w:p>
    <w:p>
      <w:pPr>
        <w:jc w:val="both"/>
        <w:ind w:firstLine="656"/>
        <w:spacing w:after="0" w:line="287" w:lineRule="auto"/>
        <w:tabs>
          <w:tab w:leader="none" w:pos="828"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Vacancies</w:t>
      </w:r>
      <w:r>
        <w:rPr>
          <w:rFonts w:ascii="Arial" w:cs="Arial" w:eastAsia="Arial" w:hAnsi="Arial"/>
          <w:sz w:val="16"/>
          <w:szCs w:val="16"/>
          <w:color w:val="auto"/>
        </w:rPr>
        <w:t xml:space="preserve">. Subject to the rights, if any, of the holders of any series of Undesignated Preferred Stock to elect Directors and to fill vacancies in the Board of Directors relating thereto and subject to the terms of the Registration Rights Agreement and the Voting Agreement,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(except as otherwise provided in the Registration Rights Agreement and the Voting Agreement).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 determine the class or classes to which the increased or decreased number of Directors shall be apportioned;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656"/>
        <w:spacing w:after="0" w:line="293" w:lineRule="auto"/>
        <w:tabs>
          <w:tab w:leader="none" w:pos="828"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Removal</w:t>
      </w:r>
      <w:r>
        <w:rPr>
          <w:rFonts w:ascii="Arial" w:cs="Arial" w:eastAsia="Arial" w:hAnsi="Arial"/>
          <w:sz w:val="16"/>
          <w:szCs w:val="16"/>
          <w:color w:val="auto"/>
        </w:rPr>
        <w:t>. Subject to the rights, if any, of any series of Undesignated Preferred Stock to elect Directors and to remove any Director whom the holders of any such series have the right to elect and subject to the terms of the Registration Rights Agreement and the Voting Agreement, any Director (including persons elected by Directors to fill vacancies in the Board of Directors) may be removed from office (i) only with cause and (ii) only by the affirmative vote of the holders of not less than two 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229" w:lineRule="exact"/>
        <w:rPr>
          <w:sz w:val="20"/>
          <w:szCs w:val="20"/>
          <w:color w:val="auto"/>
        </w:rPr>
      </w:pPr>
    </w:p>
    <w:p>
      <w:pPr>
        <w:jc w:val="both"/>
        <w:ind w:firstLine="656"/>
        <w:spacing w:after="0" w:line="273" w:lineRule="auto"/>
        <w:tabs>
          <w:tab w:leader="none" w:pos="828"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Limitation of Director Liability</w:t>
      </w:r>
      <w:r>
        <w:rPr>
          <w:rFonts w:ascii="Arial" w:cs="Arial" w:eastAsia="Arial" w:hAnsi="Arial"/>
          <w:sz w:val="17"/>
          <w:szCs w:val="17"/>
          <w:color w:val="auto"/>
        </w:rPr>
        <w:t>.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firstLine="656"/>
        <w:spacing w:after="0" w:line="259" w:lineRule="auto"/>
        <w:tabs>
          <w:tab w:leader="none" w:pos="8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86" w:lineRule="exact"/>
        <w:rPr>
          <w:rFonts w:ascii="Arial" w:cs="Arial" w:eastAsia="Arial" w:hAnsi="Arial"/>
          <w:sz w:val="18"/>
          <w:szCs w:val="18"/>
          <w:color w:val="auto"/>
        </w:rPr>
      </w:pPr>
    </w:p>
    <w:p>
      <w:pPr>
        <w:jc w:val="both"/>
        <w:ind w:firstLine="656"/>
        <w:spacing w:after="0" w:line="263" w:lineRule="auto"/>
        <w:tabs>
          <w:tab w:leader="none" w:pos="8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VII.</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of By-Laws</w:t>
      </w:r>
    </w:p>
    <w:p>
      <w:pPr>
        <w:spacing w:after="0" w:line="229" w:lineRule="exact"/>
        <w:rPr>
          <w:sz w:val="20"/>
          <w:szCs w:val="20"/>
          <w:color w:val="auto"/>
        </w:rPr>
      </w:pPr>
    </w:p>
    <w:p>
      <w:pPr>
        <w:ind w:firstLine="656"/>
        <w:spacing w:after="0" w:line="277" w:lineRule="auto"/>
        <w:tabs>
          <w:tab w:leader="none" w:pos="828"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Amendment by Directors</w:t>
      </w:r>
      <w:r>
        <w:rPr>
          <w:rFonts w:ascii="Arial" w:cs="Arial" w:eastAsia="Arial" w:hAnsi="Arial"/>
          <w:sz w:val="18"/>
          <w:szCs w:val="18"/>
          <w:color w:val="auto"/>
        </w:rPr>
        <w:t>. Except as otherwise provided by law, the By-laws of the Corporation may be amended or repealed by the Board of Directors by the affirmative vote of a majority of the Directors then in office.</w:t>
      </w:r>
    </w:p>
    <w:p>
      <w:pPr>
        <w:spacing w:after="0" w:line="170" w:lineRule="exact"/>
        <w:rPr>
          <w:rFonts w:ascii="Arial" w:cs="Arial" w:eastAsia="Arial" w:hAnsi="Arial"/>
          <w:sz w:val="18"/>
          <w:szCs w:val="18"/>
          <w:color w:val="auto"/>
        </w:rPr>
      </w:pPr>
    </w:p>
    <w:p>
      <w:pPr>
        <w:jc w:val="both"/>
        <w:ind w:firstLine="656"/>
        <w:spacing w:after="0" w:line="296" w:lineRule="auto"/>
        <w:tabs>
          <w:tab w:leader="none" w:pos="828"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Amendment by Stockholders</w:t>
      </w:r>
      <w:r>
        <w:rPr>
          <w:rFonts w:ascii="Arial" w:cs="Arial" w:eastAsia="Arial" w:hAnsi="Arial"/>
          <w:sz w:val="16"/>
          <w:szCs w:val="16"/>
          <w:color w:val="auto"/>
        </w:rPr>
        <w:t>. Except as otherwise provided therein, the By-laws of the Corporation may be amended or repealed at any annual meeting of stockholders, or special meeting of stockholders called for such purpose, by the affirmative vote of not less than two 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of Certificate of Incorporation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Combinations</w:t>
      </w:r>
    </w:p>
    <w:p>
      <w:pPr>
        <w:spacing w:after="0" w:line="229" w:lineRule="exact"/>
        <w:rPr>
          <w:sz w:val="20"/>
          <w:szCs w:val="20"/>
          <w:color w:val="auto"/>
        </w:rPr>
      </w:pPr>
    </w:p>
    <w:p>
      <w:pPr>
        <w:ind w:left="840" w:hanging="184"/>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Opt Out of DGCL 203</w:t>
      </w:r>
      <w:r>
        <w:rPr>
          <w:rFonts w:ascii="Arial" w:cs="Arial" w:eastAsia="Arial" w:hAnsi="Arial"/>
          <w:sz w:val="18"/>
          <w:szCs w:val="18"/>
          <w:color w:val="auto"/>
        </w:rPr>
        <w:t>. The Corporation shall not be governed by Section 203 of the DGCL.</w:t>
      </w:r>
    </w:p>
    <w:p>
      <w:pPr>
        <w:spacing w:after="0" w:line="225" w:lineRule="exact"/>
        <w:rPr>
          <w:rFonts w:ascii="Arial" w:cs="Arial" w:eastAsia="Arial" w:hAnsi="Arial"/>
          <w:sz w:val="18"/>
          <w:szCs w:val="18"/>
          <w:color w:val="auto"/>
        </w:rPr>
      </w:pPr>
    </w:p>
    <w:p>
      <w:pPr>
        <w:jc w:val="both"/>
        <w:ind w:firstLine="656"/>
        <w:spacing w:after="0" w:line="275" w:lineRule="auto"/>
        <w:tabs>
          <w:tab w:leader="none" w:pos="841"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Excluded Opportunity</w:t>
      </w:r>
      <w:r>
        <w:rPr>
          <w:rFonts w:ascii="Arial" w:cs="Arial" w:eastAsia="Arial" w:hAnsi="Arial"/>
          <w:sz w:val="17"/>
          <w:szCs w:val="17"/>
          <w:color w:val="auto"/>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 possession of, any Director of the Corporation who is not an employee or officer of the Corporation or any of its subsidiaries (a “</w:t>
      </w:r>
      <w:r>
        <w:rPr>
          <w:rFonts w:ascii="Arial" w:cs="Arial" w:eastAsia="Arial" w:hAnsi="Arial"/>
          <w:sz w:val="17"/>
          <w:szCs w:val="17"/>
          <w:u w:val="single" w:color="auto"/>
          <w:color w:val="auto"/>
        </w:rPr>
        <w:t>Covered Person</w:t>
      </w:r>
      <w:r>
        <w:rPr>
          <w:rFonts w:ascii="Arial" w:cs="Arial" w:eastAsia="Arial" w:hAnsi="Arial"/>
          <w:sz w:val="17"/>
          <w:szCs w:val="17"/>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Text]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THIS AMENDED AND RESTATED CERTIFICATE OF INCORPORATION is executed as of this 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February, 2021.</w:t>
      </w:r>
    </w:p>
    <w:p>
      <w:pPr>
        <w:spacing w:after="0" w:line="143"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FS DEVELOPMENT CORP.</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Jason Meyenburg</w:t>
      </w:r>
    </w:p>
    <w:p>
      <w:pPr>
        <w:spacing w:after="0" w:line="36" w:lineRule="exact"/>
        <w:rPr>
          <w:sz w:val="20"/>
          <w:szCs w:val="20"/>
          <w:color w:val="auto"/>
        </w:rPr>
      </w:pPr>
    </w:p>
    <w:p>
      <w:pPr>
        <w:jc w:val="right"/>
        <w:ind w:right="79"/>
        <w:spacing w:after="0"/>
        <w:tabs>
          <w:tab w:leader="none" w:pos="2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12"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SECTION 1. Annual Meeting. The annual meeting of stockholders (any such meeting being referred to in these By-laws as an “</w:t>
      </w:r>
      <w:r>
        <w:rPr>
          <w:rFonts w:ascii="Arial" w:cs="Arial" w:eastAsia="Arial" w:hAnsi="Arial"/>
          <w:sz w:val="17"/>
          <w:szCs w:val="17"/>
          <w:u w:val="single" w:color="auto"/>
          <w:color w:val="auto"/>
        </w:rPr>
        <w:t>Annual Meeting</w:t>
      </w:r>
      <w:r>
        <w:rPr>
          <w:rFonts w:ascii="Arial" w:cs="Arial" w:eastAsia="Arial" w:hAnsi="Arial"/>
          <w:sz w:val="17"/>
          <w:szCs w:val="17"/>
          <w:color w:val="auto"/>
        </w:rPr>
        <w:t>”) shall be held at the hour, date and place within or without the United States which is fixed by the Board of Directors of the Corporation (the “</w:t>
      </w:r>
      <w:r>
        <w:rPr>
          <w:rFonts w:ascii="Arial" w:cs="Arial" w:eastAsia="Arial" w:hAnsi="Arial"/>
          <w:sz w:val="17"/>
          <w:szCs w:val="17"/>
          <w:u w:val="single" w:color="auto"/>
          <w:color w:val="auto"/>
        </w:rPr>
        <w:t>Board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Directors</w:t>
      </w:r>
      <w:r>
        <w:rPr>
          <w:rFonts w:ascii="Arial" w:cs="Arial" w:eastAsia="Arial" w:hAnsi="Arial"/>
          <w:sz w:val="17"/>
          <w:szCs w:val="17"/>
          <w:color w:val="auto"/>
        </w:rPr>
        <w:t>”),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 Notice of Stockholder Business and Nominations.</w:t>
      </w:r>
    </w:p>
    <w:p>
      <w:pPr>
        <w:spacing w:after="0" w:line="225" w:lineRule="exact"/>
        <w:rPr>
          <w:sz w:val="20"/>
          <w:szCs w:val="20"/>
          <w:color w:val="auto"/>
        </w:rPr>
      </w:pPr>
    </w:p>
    <w:p>
      <w:pPr>
        <w:ind w:left="720" w:hanging="280"/>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89" w:lineRule="auto"/>
        <w:tabs>
          <w:tab w:leader="none" w:pos="702"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these By-laws, who is entitled to vote at the meeting, who is present (in person or by proxy) at the meeting and who complies with the notice procedures set forth in these By-laws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xml:space="preserve">”)), and such stockholder must comply with the notice and other procedures set forth in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2(a)(2)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w:t>
      </w:r>
      <w:r>
        <w:rPr>
          <w:rFonts w:ascii="Arial" w:cs="Arial" w:eastAsia="Arial" w:hAnsi="Arial"/>
          <w:sz w:val="16"/>
          <w:szCs w:val="16"/>
          <w:color w:val="auto"/>
        </w:rPr>
        <w:t xml:space="preserve"> of these By-laws to bring such nominations or business properly before an Annual Meeting. In addition to the other requirements set forth in these By-laws, for any proposal of business to be considered at an Annual Meeting, it must be a proper subject for action by stockholders of the Corporation under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ind w:firstLine="440"/>
        <w:spacing w:after="0" w:line="266"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For nominations or other business to be properly brought before an Annual Meeting by a stockholder pursuant to clause (ii) of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2(a)(1)</w:t>
      </w:r>
      <w:r>
        <w:rPr>
          <w:rFonts w:ascii="Arial" w:cs="Arial" w:eastAsia="Arial" w:hAnsi="Arial"/>
          <w:sz w:val="16"/>
          <w:szCs w:val="16"/>
          <w:color w:val="auto"/>
        </w:rPr>
        <w:t xml:space="preserve"> of these By-laws, the stockholder must (i) have given Timely Notice (as defined below) thereof in writing to the Secretary of the Corporation, (ii) have provided any updates or supplements to such notice at the times and in the forms required by these By-laws and (iii) together with the beneficial owner(s), if any, on whose behalf the nomination or business proposal is made, have acted in accordance with the representations set forth in the Solicitation Statement (as defined below) required by these By-laws. To be timely, a stockholder’s written notice shall be received by the Secretary at the principal executive offices of the Corporation not later than the close of business on the ninetieth (90</w:t>
      </w:r>
      <w:r>
        <w:rPr>
          <w:rFonts w:ascii="Arial" w:cs="Arial" w:eastAsia="Arial" w:hAnsi="Arial"/>
          <w:sz w:val="26"/>
          <w:szCs w:val="26"/>
          <w:color w:val="auto"/>
          <w:vertAlign w:val="superscript"/>
        </w:rPr>
        <w:t>th</w:t>
      </w:r>
      <w:r>
        <w:rPr>
          <w:rFonts w:ascii="Arial" w:cs="Arial" w:eastAsia="Arial" w:hAnsi="Arial"/>
          <w:sz w:val="16"/>
          <w:szCs w:val="16"/>
          <w:color w:val="auto"/>
        </w:rPr>
        <w:t>) day nor earlier than the close of business on the</w:t>
      </w:r>
    </w:p>
    <w:p>
      <w:pPr>
        <w:spacing w:after="0" w:line="1"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one hundred twentieth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one-year anniversary of the preceding year’s Annual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on the later of the ninetieth (90</w:t>
      </w:r>
      <w:r>
        <w:rPr>
          <w:rFonts w:ascii="Arial" w:cs="Arial" w:eastAsia="Arial" w:hAnsi="Arial"/>
          <w:sz w:val="26"/>
          <w:szCs w:val="26"/>
          <w:color w:val="auto"/>
          <w:vertAlign w:val="superscript"/>
        </w:rPr>
        <w:t>th</w:t>
      </w:r>
      <w:r>
        <w:rPr>
          <w:rFonts w:ascii="Arial" w:cs="Arial" w:eastAsia="Arial" w:hAnsi="Arial"/>
          <w:sz w:val="16"/>
          <w:szCs w:val="16"/>
          <w:color w:val="auto"/>
        </w:rPr>
        <w:t>) day prior to the scheduled date of such Annual Meeting or the tenth (10</w:t>
      </w:r>
      <w:r>
        <w:rPr>
          <w:rFonts w:ascii="Arial" w:cs="Arial" w:eastAsia="Arial" w:hAnsi="Arial"/>
          <w:sz w:val="26"/>
          <w:szCs w:val="26"/>
          <w:color w:val="auto"/>
          <w:vertAlign w:val="superscript"/>
        </w:rPr>
        <w:t>th</w:t>
      </w:r>
      <w:r>
        <w:rPr>
          <w:rFonts w:ascii="Arial" w:cs="Arial" w:eastAsia="Arial" w:hAnsi="Arial"/>
          <w:sz w:val="16"/>
          <w:szCs w:val="16"/>
          <w:color w:val="auto"/>
        </w:rPr>
        <w:t>) day following the day on which public announcement of the date of such meeting is first made (such notice within such time periods shall be referred to as “</w:t>
      </w:r>
      <w:r>
        <w:rPr>
          <w:rFonts w:ascii="Arial" w:cs="Arial" w:eastAsia="Arial" w:hAnsi="Arial"/>
          <w:sz w:val="16"/>
          <w:szCs w:val="16"/>
          <w:u w:val="single" w:color="auto"/>
          <w:color w:val="auto"/>
        </w:rPr>
        <w:t>Timely Notice</w:t>
      </w:r>
      <w:r>
        <w:rPr>
          <w:rFonts w:ascii="Arial" w:cs="Arial" w:eastAsia="Arial" w:hAnsi="Arial"/>
          <w:sz w:val="16"/>
          <w:szCs w:val="16"/>
          <w:color w:val="auto"/>
        </w:rPr>
        <w:t>”).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w:t>
      </w:r>
    </w:p>
    <w:p>
      <w:pPr>
        <w:jc w:val="both"/>
        <w:spacing w:after="0" w:line="219" w:lineRule="auto"/>
        <w:rPr>
          <w:sz w:val="20"/>
          <w:szCs w:val="20"/>
          <w:color w:val="auto"/>
        </w:rPr>
      </w:pPr>
      <w:r>
        <w:rPr>
          <w:rFonts w:ascii="Arial" w:cs="Arial" w:eastAsia="Arial" w:hAnsi="Arial"/>
          <w:sz w:val="17"/>
          <w:szCs w:val="17"/>
          <w:color w:val="auto"/>
        </w:rPr>
        <w:t>the later of the ninetieth (90</w:t>
      </w:r>
      <w:r>
        <w:rPr>
          <w:rFonts w:ascii="Arial" w:cs="Arial" w:eastAsia="Arial" w:hAnsi="Arial"/>
          <w:sz w:val="28"/>
          <w:szCs w:val="28"/>
          <w:color w:val="auto"/>
          <w:vertAlign w:val="superscript"/>
        </w:rPr>
        <w:t>th</w:t>
      </w:r>
      <w:r>
        <w:rPr>
          <w:rFonts w:ascii="Arial" w:cs="Arial" w:eastAsia="Arial" w:hAnsi="Arial"/>
          <w:sz w:val="17"/>
          <w:szCs w:val="17"/>
          <w:color w:val="auto"/>
        </w:rPr>
        <w:t>) day prior to the scheduled date of such Annual Meeting or the tenth (10</w:t>
      </w:r>
      <w:r>
        <w:rPr>
          <w:rFonts w:ascii="Arial" w:cs="Arial" w:eastAsia="Arial" w:hAnsi="Arial"/>
          <w:sz w:val="28"/>
          <w:szCs w:val="28"/>
          <w:color w:val="auto"/>
          <w:vertAlign w:val="superscript"/>
        </w:rPr>
        <w:t>th</w:t>
      </w:r>
      <w:r>
        <w:rPr>
          <w:rFonts w:ascii="Arial" w:cs="Arial" w:eastAsia="Arial" w:hAnsi="Arial"/>
          <w:sz w:val="17"/>
          <w:szCs w:val="17"/>
          <w:color w:val="auto"/>
        </w:rPr>
        <w:t>) day following the day on which public announcement of the date of such Annual Meeting is first made or sent by the Corporation. Such stockholder’s Timely Notice shall set forth:</w:t>
      </w:r>
    </w:p>
    <w:p>
      <w:pPr>
        <w:spacing w:after="0" w:line="202" w:lineRule="exact"/>
        <w:rPr>
          <w:sz w:val="20"/>
          <w:szCs w:val="20"/>
          <w:color w:val="auto"/>
        </w:rPr>
      </w:pPr>
    </w:p>
    <w:p>
      <w:pPr>
        <w:jc w:val="both"/>
        <w:ind w:left="1300" w:firstLine="436"/>
        <w:spacing w:after="0" w:line="284" w:lineRule="auto"/>
        <w:tabs>
          <w:tab w:leader="none" w:pos="2027" w:val="left"/>
        </w:tabs>
        <w:numPr>
          <w:ilvl w:val="1"/>
          <w:numId w:val="16"/>
        </w:numPr>
        <w:rPr>
          <w:rFonts w:ascii="Arial" w:cs="Arial" w:eastAsia="Arial" w:hAnsi="Arial"/>
          <w:sz w:val="16"/>
          <w:szCs w:val="16"/>
          <w:color w:val="auto"/>
        </w:rPr>
      </w:pPr>
      <w:r>
        <w:rPr>
          <w:rFonts w:ascii="Arial" w:cs="Arial" w:eastAsia="Arial" w:hAnsi="Arial"/>
          <w:sz w:val="16"/>
          <w:szCs w:val="16"/>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the Corporation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w:t>
      </w:r>
    </w:p>
    <w:p>
      <w:pPr>
        <w:spacing w:after="0" w:line="2" w:lineRule="exact"/>
        <w:rPr>
          <w:rFonts w:ascii="Arial" w:cs="Arial" w:eastAsia="Arial" w:hAnsi="Arial"/>
          <w:sz w:val="16"/>
          <w:szCs w:val="16"/>
          <w:color w:val="auto"/>
        </w:rPr>
      </w:pPr>
    </w:p>
    <w:p>
      <w:pPr>
        <w:jc w:val="both"/>
        <w:ind w:left="1300" w:firstLine="4"/>
        <w:spacing w:after="0" w:line="281" w:lineRule="auto"/>
        <w:tabs>
          <w:tab w:leader="none" w:pos="1574"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(vi) a written statement executed by the nominee acknowledging that as a director of the corporation, the nominee will owe fiduciary duties under Delaware law with respect to the Corporation and its stockholders, and</w:t>
      </w:r>
    </w:p>
    <w:p>
      <w:pPr>
        <w:spacing w:after="0" w:line="2" w:lineRule="exact"/>
        <w:rPr>
          <w:rFonts w:ascii="Arial" w:cs="Arial" w:eastAsia="Arial" w:hAnsi="Arial"/>
          <w:sz w:val="16"/>
          <w:szCs w:val="16"/>
          <w:color w:val="auto"/>
        </w:rPr>
      </w:pPr>
    </w:p>
    <w:p>
      <w:pPr>
        <w:jc w:val="both"/>
        <w:ind w:left="1300" w:firstLine="4"/>
        <w:spacing w:after="0" w:line="255" w:lineRule="auto"/>
        <w:tabs>
          <w:tab w:leader="none" w:pos="168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89" w:lineRule="exact"/>
        <w:rPr>
          <w:rFonts w:ascii="Arial" w:cs="Arial" w:eastAsia="Arial" w:hAnsi="Arial"/>
          <w:sz w:val="18"/>
          <w:szCs w:val="18"/>
          <w:color w:val="auto"/>
        </w:rPr>
      </w:pPr>
    </w:p>
    <w:p>
      <w:pPr>
        <w:jc w:val="both"/>
        <w:ind w:left="1300" w:firstLine="436"/>
        <w:spacing w:after="0" w:line="311" w:lineRule="auto"/>
        <w:tabs>
          <w:tab w:leader="none" w:pos="2017" w:val="left"/>
        </w:tabs>
        <w:numPr>
          <w:ilvl w:val="1"/>
          <w:numId w:val="18"/>
        </w:numPr>
        <w:rPr>
          <w:rFonts w:ascii="Arial" w:cs="Arial" w:eastAsia="Arial" w:hAnsi="Arial"/>
          <w:sz w:val="16"/>
          <w:szCs w:val="16"/>
          <w:color w:val="auto"/>
        </w:rPr>
      </w:pPr>
      <w:r>
        <w:rPr>
          <w:rFonts w:ascii="Arial" w:cs="Arial" w:eastAsia="Arial" w:hAnsi="Arial"/>
          <w:sz w:val="16"/>
          <w:szCs w:val="16"/>
          <w:color w:val="auto"/>
        </w:rPr>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148" w:lineRule="exact"/>
        <w:rPr>
          <w:rFonts w:ascii="Arial" w:cs="Arial" w:eastAsia="Arial" w:hAnsi="Arial"/>
          <w:sz w:val="16"/>
          <w:szCs w:val="16"/>
          <w:color w:val="auto"/>
        </w:rPr>
      </w:pPr>
    </w:p>
    <w:p>
      <w:pPr>
        <w:jc w:val="both"/>
        <w:ind w:left="1300" w:firstLine="436"/>
        <w:spacing w:after="0" w:line="284" w:lineRule="auto"/>
        <w:tabs>
          <w:tab w:leader="none" w:pos="203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w:t>
      </w:r>
      <w:r>
        <w:rPr>
          <w:rFonts w:ascii="Arial" w:cs="Arial" w:eastAsia="Arial" w:hAnsi="Arial"/>
          <w:sz w:val="16"/>
          <w:szCs w:val="16"/>
          <w:u w:val="single" w:color="auto"/>
          <w:color w:val="auto"/>
        </w:rPr>
        <w:t>Material Ownership Interests</w:t>
      </w:r>
      <w:r>
        <w:rPr>
          <w:rFonts w:ascii="Arial" w:cs="Arial" w:eastAsia="Arial" w:hAnsi="Arial"/>
          <w:sz w:val="16"/>
          <w:szCs w:val="16"/>
          <w:color w:val="auto"/>
        </w:rPr>
        <w:t>”)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left="1300" w:firstLine="436"/>
        <w:spacing w:after="0" w:line="254" w:lineRule="auto"/>
        <w:tabs>
          <w:tab w:leader="none" w:pos="2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94" w:lineRule="exact"/>
        <w:rPr>
          <w:rFonts w:ascii="Arial" w:cs="Arial" w:eastAsia="Arial" w:hAnsi="Arial"/>
          <w:sz w:val="18"/>
          <w:szCs w:val="18"/>
          <w:color w:val="auto"/>
        </w:rPr>
      </w:pPr>
    </w:p>
    <w:p>
      <w:pPr>
        <w:jc w:val="both"/>
        <w:ind w:left="1300" w:firstLine="436"/>
        <w:spacing w:after="0" w:line="255" w:lineRule="auto"/>
        <w:tabs>
          <w:tab w:leader="none" w:pos="20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w:t>
      </w:r>
      <w:r>
        <w:rPr>
          <w:rFonts w:ascii="Arial" w:cs="Arial" w:eastAsia="Arial" w:hAnsi="Arial"/>
          <w:sz w:val="18"/>
          <w:szCs w:val="18"/>
          <w:u w:val="single" w:color="auto"/>
          <w:color w:val="auto"/>
        </w:rPr>
        <w:t>Solicitation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w:t>
      </w:r>
      <w:r>
        <w:rPr>
          <w:rFonts w:ascii="Arial" w:cs="Arial" w:eastAsia="Arial" w:hAnsi="Arial"/>
          <w:sz w:val="18"/>
          <w:szCs w:val="18"/>
          <w:color w:val="auto"/>
        </w:rPr>
        <w:t>”).</w:t>
      </w:r>
    </w:p>
    <w:p>
      <w:pPr>
        <w:spacing w:after="0" w:line="192"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of these By-laws, the term “</w:t>
      </w:r>
      <w:r>
        <w:rPr>
          <w:rFonts w:ascii="Arial" w:cs="Arial" w:eastAsia="Arial" w:hAnsi="Arial"/>
          <w:sz w:val="16"/>
          <w:szCs w:val="16"/>
          <w:u w:val="single" w:color="auto"/>
          <w:color w:val="auto"/>
        </w:rPr>
        <w:t>Proposing Person</w:t>
      </w:r>
      <w:r>
        <w:rPr>
          <w:rFonts w:ascii="Arial" w:cs="Arial" w:eastAsia="Arial" w:hAnsi="Arial"/>
          <w:sz w:val="16"/>
          <w:szCs w:val="16"/>
          <w:color w:val="auto"/>
        </w:rPr>
        <w:t xml:space="preserve">”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of these By-laws, the term “</w:t>
      </w:r>
      <w:r>
        <w:rPr>
          <w:rFonts w:ascii="Arial" w:cs="Arial" w:eastAsia="Arial" w:hAnsi="Arial"/>
          <w:sz w:val="16"/>
          <w:szCs w:val="16"/>
          <w:u w:val="single" w:color="auto"/>
          <w:color w:val="auto"/>
        </w:rPr>
        <w:t>Synthetic Equity Interest</w:t>
      </w:r>
      <w:r>
        <w:rPr>
          <w:rFonts w:ascii="Arial" w:cs="Arial" w:eastAsia="Arial" w:hAnsi="Arial"/>
          <w:sz w:val="16"/>
          <w:szCs w:val="16"/>
          <w:color w:val="auto"/>
        </w:rPr>
        <w: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w:t>
      </w:r>
    </w:p>
    <w:p>
      <w:pPr>
        <w:spacing w:after="0" w:line="1" w:lineRule="exact"/>
        <w:rPr>
          <w:sz w:val="20"/>
          <w:szCs w:val="20"/>
          <w:color w:val="auto"/>
        </w:rPr>
      </w:pPr>
    </w:p>
    <w:p>
      <w:pPr>
        <w:jc w:val="both"/>
        <w:ind w:firstLine="8"/>
        <w:spacing w:after="0" w:line="253" w:lineRule="auto"/>
        <w:tabs>
          <w:tab w:leader="none" w:pos="261"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92" w:lineRule="exact"/>
        <w:rPr>
          <w:rFonts w:ascii="Arial" w:cs="Arial" w:eastAsia="Arial" w:hAnsi="Arial"/>
          <w:sz w:val="18"/>
          <w:szCs w:val="18"/>
          <w:color w:val="auto"/>
        </w:rPr>
      </w:pPr>
    </w:p>
    <w:p>
      <w:pPr>
        <w:jc w:val="both"/>
        <w:ind w:firstLine="440"/>
        <w:spacing w:after="0" w:line="263" w:lineRule="auto"/>
        <w:tabs>
          <w:tab w:leader="none" w:pos="702" w:val="left"/>
        </w:tabs>
        <w:numPr>
          <w:ilvl w:val="1"/>
          <w:numId w:val="20"/>
        </w:numPr>
        <w:rPr>
          <w:rFonts w:ascii="Arial" w:cs="Arial" w:eastAsia="Arial" w:hAnsi="Arial"/>
          <w:sz w:val="16"/>
          <w:szCs w:val="16"/>
          <w:color w:val="auto"/>
        </w:rPr>
      </w:pPr>
      <w:r>
        <w:rPr>
          <w:rFonts w:ascii="Arial" w:cs="Arial" w:eastAsia="Arial" w:hAnsi="Arial"/>
          <w:sz w:val="16"/>
          <w:szCs w:val="16"/>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these By-laws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w:t>
      </w:r>
      <w:r>
        <w:rPr>
          <w:rFonts w:ascii="Arial" w:cs="Arial" w:eastAsia="Arial" w:hAnsi="Arial"/>
          <w:sz w:val="26"/>
          <w:szCs w:val="26"/>
          <w:color w:val="auto"/>
          <w:vertAlign w:val="superscript"/>
        </w:rPr>
        <w:t>th</w:t>
      </w:r>
      <w:r>
        <w:rPr>
          <w:rFonts w:ascii="Arial" w:cs="Arial" w:eastAsia="Arial" w:hAnsi="Arial"/>
          <w:sz w:val="16"/>
          <w:szCs w:val="16"/>
          <w:color w:val="auto"/>
        </w:rPr>
        <w:t>) business day after the record date for the Annual Meeting (in the case of the update and</w:t>
      </w:r>
    </w:p>
    <w:p>
      <w:pPr>
        <w:spacing w:after="0" w:line="2" w:lineRule="exact"/>
        <w:rPr>
          <w:sz w:val="20"/>
          <w:szCs w:val="20"/>
          <w:color w:val="auto"/>
        </w:rPr>
      </w:pPr>
    </w:p>
    <w:p>
      <w:pPr>
        <w:spacing w:after="0" w:line="209" w:lineRule="auto"/>
        <w:rPr>
          <w:sz w:val="20"/>
          <w:szCs w:val="20"/>
          <w:color w:val="auto"/>
        </w:rPr>
      </w:pPr>
      <w:r>
        <w:rPr>
          <w:rFonts w:ascii="Arial" w:cs="Arial" w:eastAsia="Arial" w:hAnsi="Arial"/>
          <w:sz w:val="18"/>
          <w:szCs w:val="18"/>
          <w:color w:val="auto"/>
        </w:rPr>
        <w:t>supplement required to be made as of the record date), and not later than the close of business on the eighth (8</w:t>
      </w:r>
      <w:r>
        <w:rPr>
          <w:rFonts w:ascii="Arial" w:cs="Arial" w:eastAsia="Arial" w:hAnsi="Arial"/>
          <w:sz w:val="29"/>
          <w:szCs w:val="29"/>
          <w:color w:val="auto"/>
          <w:vertAlign w:val="superscript"/>
        </w:rPr>
        <w:t>th</w:t>
      </w:r>
      <w:r>
        <w:rPr>
          <w:rFonts w:ascii="Arial" w:cs="Arial" w:eastAsia="Arial" w:hAnsi="Arial"/>
          <w:sz w:val="18"/>
          <w:szCs w:val="18"/>
          <w:color w:val="auto"/>
        </w:rPr>
        <w:t>) business day prior to the date of the Annual Meeting (in the case of the update and supplement required to be made as of ten (10) business days prior to the meeting).</w:t>
      </w:r>
    </w:p>
    <w:p>
      <w:pPr>
        <w:spacing w:after="0" w:line="202" w:lineRule="exact"/>
        <w:rPr>
          <w:sz w:val="20"/>
          <w:szCs w:val="20"/>
          <w:color w:val="auto"/>
        </w:rPr>
      </w:pPr>
    </w:p>
    <w:p>
      <w:pPr>
        <w:jc w:val="both"/>
        <w:ind w:firstLine="440"/>
        <w:spacing w:after="0" w:line="299"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Notwithstanding anything in the second sentence of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2(a)(2)</w:t>
      </w:r>
      <w:r>
        <w:rPr>
          <w:rFonts w:ascii="Arial" w:cs="Arial" w:eastAsia="Arial" w:hAnsi="Arial"/>
          <w:sz w:val="16"/>
          <w:szCs w:val="16"/>
          <w:color w:val="auto"/>
        </w:rPr>
        <w:t xml:space="preserve"> of these By-laws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2(a)(2)</w:t>
      </w:r>
      <w:r>
        <w:rPr>
          <w:rFonts w:ascii="Arial" w:cs="Arial" w:eastAsia="Arial" w:hAnsi="Arial"/>
          <w:sz w:val="16"/>
          <w:szCs w:val="16"/>
          <w:color w:val="auto"/>
        </w:rPr>
        <w:t>, a stockholder’s notice required by these By-laws shall also be considered timely, but only with respect to nominees for any new positions created by such increase, if it shall be received by the Secretary of the Corporation not later than the close of business on the tenth (10</w:t>
      </w:r>
      <w:r>
        <w:rPr>
          <w:rFonts w:ascii="Arial" w:cs="Arial" w:eastAsia="Arial" w:hAnsi="Arial"/>
          <w:sz w:val="26"/>
          <w:szCs w:val="26"/>
          <w:color w:val="auto"/>
          <w:vertAlign w:val="superscript"/>
        </w:rPr>
        <w:t>th</w:t>
      </w:r>
      <w:r>
        <w:rPr>
          <w:rFonts w:ascii="Arial" w:cs="Arial" w:eastAsia="Arial" w:hAnsi="Arial"/>
          <w:sz w:val="16"/>
          <w:szCs w:val="16"/>
          <w:color w:val="auto"/>
        </w:rPr>
        <w:t>) day following the day on which such public announcement is first made by the Corporation.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700" w:hanging="260"/>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86" w:lineRule="auto"/>
        <w:tabs>
          <w:tab w:leader="none" w:pos="698"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Only such persons who are nominated in accordance with the provisions of these By-laws, the Registration and Shareholder Rights Agreement, dated as of February 5, 2021, by and among the Corporation and certain of its stockholders (as amended, modified and/or supplemented from time to time, the “</w:t>
      </w:r>
      <w:r>
        <w:rPr>
          <w:rFonts w:ascii="Arial" w:cs="Arial" w:eastAsia="Arial" w:hAnsi="Arial"/>
          <w:sz w:val="16"/>
          <w:szCs w:val="16"/>
          <w:u w:val="single" w:color="auto"/>
          <w:color w:val="auto"/>
        </w:rPr>
        <w:t>Registration and Shareholder Rights Agreement</w:t>
      </w:r>
      <w:r>
        <w:rPr>
          <w:rFonts w:ascii="Arial" w:cs="Arial" w:eastAsia="Arial" w:hAnsi="Arial"/>
          <w:sz w:val="16"/>
          <w:szCs w:val="16"/>
          <w:color w:val="auto"/>
        </w:rPr>
        <w:t>”) and the Voting Agreement, dated as of February 5, 2021, by and among the Corporation and certain of its stockholders (as amended, modified and/or supplemented from time to time, the “</w:t>
      </w:r>
      <w:r>
        <w:rPr>
          <w:rFonts w:ascii="Arial" w:cs="Arial" w:eastAsia="Arial" w:hAnsi="Arial"/>
          <w:sz w:val="16"/>
          <w:szCs w:val="16"/>
          <w:u w:val="single" w:color="auto"/>
          <w:color w:val="auto"/>
        </w:rPr>
        <w:t>Voting Agreement</w:t>
      </w:r>
      <w:r>
        <w:rPr>
          <w:rFonts w:ascii="Arial" w:cs="Arial" w:eastAsia="Arial" w:hAnsi="Arial"/>
          <w:sz w:val="16"/>
          <w:szCs w:val="16"/>
          <w:color w:val="auto"/>
        </w:rPr>
        <w:t>”) shall be eligible for election and to serve as directors and only such business shall be conducted at an Annual Meeting as shall have been brought before the meeting in accordance with the provisions of these By-laws, the Registration and Shareholder Rights Agreement, the Voting Agreement or in accordance with Rule 14a-8 under the Exchange Act. The Board of Directors or a designated committee thereof shall have the power to determine whether a nomination or any business proposed to be brought before the meeting was made in accordance with the provisions of these By-laws, the Registration and Shareholder Rights Agreement or the Voting Agreement. If neither the Board of Directors nor such designated committee makes a determination as to whether any stockholder proposal or nomination was made in accordance with the provisions of these By-laws, the Registration and Shareholder Rights Agreement or the Voting Agreement, the presiding officer of the Annual Meeting shall have the power and duty to determine whether the stockholder proposal or nomination was made in accordance with the provisions of these By-laws, the Registration and Shareholder Rights Agreement or the Voting Agreement. If the Board of Directors or a designated committee thereof or the presiding officer, as applicable, determines that any stockholder proposal or nomination was not made in accordance with the provisions of these By-laws, the Registration and Shareholder Rights Agreement or the Voting Agreement, such proposal or nomination shall be disregarded and shall not be presented for action at the Annual Meeting.</w:t>
      </w:r>
    </w:p>
    <w:p>
      <w:pPr>
        <w:spacing w:after="0" w:line="167" w:lineRule="exact"/>
        <w:rPr>
          <w:rFonts w:ascii="Arial" w:cs="Arial" w:eastAsia="Arial" w:hAnsi="Arial"/>
          <w:sz w:val="16"/>
          <w:szCs w:val="16"/>
          <w:color w:val="auto"/>
        </w:rPr>
      </w:pPr>
    </w:p>
    <w:p>
      <w:pPr>
        <w:jc w:val="both"/>
        <w:ind w:firstLine="440"/>
        <w:spacing w:after="0" w:line="259" w:lineRule="auto"/>
        <w:tabs>
          <w:tab w:leader="none" w:pos="7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Except as otherwise required by law, the Registration and Shareholder Rights Agreement or the Voting Agreement, nothing in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86" w:lineRule="exact"/>
        <w:rPr>
          <w:rFonts w:ascii="Arial" w:cs="Arial" w:eastAsia="Arial" w:hAnsi="Arial"/>
          <w:sz w:val="18"/>
          <w:szCs w:val="18"/>
          <w:color w:val="auto"/>
        </w:rPr>
      </w:pPr>
    </w:p>
    <w:p>
      <w:pPr>
        <w:jc w:val="both"/>
        <w:ind w:firstLine="440"/>
        <w:spacing w:after="0" w:line="254" w:lineRule="auto"/>
        <w:tabs>
          <w:tab w:leader="none" w:pos="6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color w:val="auto"/>
        </w:rPr>
        <w:t>,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94" w:lineRule="exact"/>
        <w:rPr>
          <w:rFonts w:ascii="Arial" w:cs="Arial" w:eastAsia="Arial" w:hAnsi="Arial"/>
          <w:sz w:val="18"/>
          <w:szCs w:val="18"/>
          <w:color w:val="auto"/>
        </w:rPr>
      </w:pPr>
    </w:p>
    <w:p>
      <w:pPr>
        <w:jc w:val="both"/>
        <w:ind w:firstLine="440"/>
        <w:spacing w:after="0" w:line="263" w:lineRule="auto"/>
        <w:tabs>
          <w:tab w:leader="none" w:pos="786"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83" w:lineRule="exact"/>
        <w:rPr>
          <w:rFonts w:ascii="Arial" w:cs="Arial" w:eastAsia="Arial" w:hAnsi="Arial"/>
          <w:sz w:val="18"/>
          <w:szCs w:val="18"/>
          <w:color w:val="auto"/>
        </w:rPr>
      </w:pPr>
    </w:p>
    <w:p>
      <w:pPr>
        <w:jc w:val="both"/>
        <w:ind w:firstLine="440"/>
        <w:spacing w:after="0" w:line="275" w:lineRule="auto"/>
        <w:tabs>
          <w:tab w:leader="none" w:pos="689" w:val="left"/>
        </w:tabs>
        <w:numPr>
          <w:ilvl w:val="0"/>
          <w:numId w:val="23"/>
        </w:numPr>
        <w:rPr>
          <w:rFonts w:ascii="Arial" w:cs="Arial" w:eastAsia="Arial" w:hAnsi="Arial"/>
          <w:sz w:val="17"/>
          <w:szCs w:val="17"/>
          <w:color w:val="auto"/>
        </w:rPr>
      </w:pPr>
      <w:r>
        <w:rPr>
          <w:rFonts w:ascii="Arial" w:cs="Arial" w:eastAsia="Arial" w:hAnsi="Arial"/>
          <w:sz w:val="17"/>
          <w:szCs w:val="17"/>
          <w:color w:val="auto"/>
        </w:rPr>
        <w:t>Notwithstanding the foregoing provisions of these By-laws, a stockholder shall also comply with all applicable requirements of the Exchange Act and the rules and regulations thereunder with respect to the matters set forth in these By-laws. Nothing in these By-laws shall be deemed to affect any rights of (i) 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440"/>
        <w:spacing w:after="0" w:line="275" w:lineRule="auto"/>
        <w:tabs>
          <w:tab w:leader="none" w:pos="743"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76"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 xml:space="preserve">SECTION 3. Special Meetings.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of these By-laws, in which case such special meeting in lieu thereof shall be deemed an Annual Meeting for purposes of these By-laws and the provisions of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these By-laws shall govern such special meeting.</w:t>
      </w:r>
    </w:p>
    <w:p>
      <w:pPr>
        <w:spacing w:after="0" w:line="165"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4. Notice of Meetings; Adjournments.</w:t>
      </w:r>
    </w:p>
    <w:p>
      <w:pPr>
        <w:spacing w:after="0" w:line="225" w:lineRule="exact"/>
        <w:rPr>
          <w:sz w:val="20"/>
          <w:szCs w:val="20"/>
          <w:color w:val="auto"/>
        </w:rPr>
      </w:pPr>
    </w:p>
    <w:p>
      <w:pPr>
        <w:jc w:val="both"/>
        <w:ind w:firstLine="440"/>
        <w:spacing w:after="0" w:line="273" w:lineRule="auto"/>
        <w:tabs>
          <w:tab w:leader="none" w:pos="738"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w:t>
      </w:r>
      <w:r>
        <w:rPr>
          <w:rFonts w:ascii="Arial" w:cs="Arial" w:eastAsia="Arial" w:hAnsi="Arial"/>
          <w:sz w:val="17"/>
          <w:szCs w:val="17"/>
          <w:u w:val="single" w:color="auto"/>
          <w:color w:val="auto"/>
        </w:rPr>
        <w:t>DGCL</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firstLine="440"/>
        <w:spacing w:after="0" w:line="308" w:lineRule="auto"/>
        <w:tabs>
          <w:tab w:leader="none" w:pos="691"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Unless otherwise required by the DGCL, notice of all special meetings of stockholders shall be given in the same manner as provided for Annual Meetings, except that the notice of all special meetings shall state the purpose or purposes for which the meeting has been called.</w:t>
      </w:r>
    </w:p>
    <w:p>
      <w:pPr>
        <w:spacing w:after="0" w:line="146" w:lineRule="exact"/>
        <w:rPr>
          <w:rFonts w:ascii="Arial" w:cs="Arial" w:eastAsia="Arial" w:hAnsi="Arial"/>
          <w:sz w:val="17"/>
          <w:szCs w:val="17"/>
          <w:color w:val="auto"/>
        </w:rPr>
      </w:pPr>
    </w:p>
    <w:p>
      <w:pPr>
        <w:jc w:val="both"/>
        <w:ind w:firstLine="440"/>
        <w:spacing w:after="0" w:line="259" w:lineRule="auto"/>
        <w:tabs>
          <w:tab w:leader="none" w:pos="726"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86" w:lineRule="exact"/>
        <w:rPr>
          <w:rFonts w:ascii="Arial" w:cs="Arial" w:eastAsia="Arial" w:hAnsi="Arial"/>
          <w:sz w:val="18"/>
          <w:szCs w:val="18"/>
          <w:color w:val="auto"/>
        </w:rPr>
      </w:pPr>
    </w:p>
    <w:p>
      <w:pPr>
        <w:jc w:val="both"/>
        <w:ind w:firstLine="440"/>
        <w:spacing w:after="0" w:line="257" w:lineRule="auto"/>
        <w:tabs>
          <w:tab w:leader="none" w:pos="7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these By-laws or otherwise. In no event shall the public announcement of an adjournment, postponement or rescheduling of any previously scheduled meeting of stockholders commence a new time period for the giving of a stockholder’s notice under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these By-laws.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440"/>
        <w:spacing w:after="0" w:line="287" w:lineRule="auto"/>
        <w:tabs>
          <w:tab w:leader="none" w:pos="731"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w:t>
      </w:r>
      <w:r>
        <w:rPr>
          <w:rFonts w:ascii="Arial" w:cs="Arial" w:eastAsia="Arial" w:hAnsi="Arial"/>
          <w:sz w:val="16"/>
          <w:szCs w:val="16"/>
          <w:u w:val="single" w:color="auto"/>
          <w:color w:val="auto"/>
        </w:rPr>
        <w:t>Certificate</w:t>
      </w:r>
      <w:r>
        <w:rPr>
          <w:rFonts w:ascii="Arial" w:cs="Arial" w:eastAsia="Arial" w:hAnsi="Arial"/>
          <w:sz w:val="16"/>
          <w:szCs w:val="16"/>
          <w:color w:val="auto"/>
        </w:rPr>
        <w:t>”) or these By-laws, is entitled to such notice.</w:t>
      </w:r>
    </w:p>
    <w:p>
      <w:pPr>
        <w:spacing w:after="0" w:line="17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SECTION 5. Quorum. A majority of the outstanding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w:t>
      </w:r>
      <w:r>
        <w:rPr>
          <w:rFonts w:ascii="Arial" w:cs="Arial" w:eastAsia="Arial" w:hAnsi="Arial"/>
          <w:sz w:val="17"/>
          <w:szCs w:val="17"/>
          <w:color w:val="auto"/>
        </w:rPr>
        <w:t>.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17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SECTION 6. Voting and Proxies. Stockholders shall have one vote for each share of stock entitled to vote owned by them of record according to the stock ledger of the Corporation as of the record date, unless otherwise provided by law or by the Certificate. Stockholders may vote either (i) in person,</w:t>
      </w:r>
    </w:p>
    <w:p>
      <w:pPr>
        <w:jc w:val="both"/>
        <w:ind w:firstLine="8"/>
        <w:spacing w:after="0" w:line="287" w:lineRule="auto"/>
        <w:tabs>
          <w:tab w:leader="none" w:pos="299" w:val="left"/>
        </w:tabs>
        <w:numPr>
          <w:ilvl w:val="0"/>
          <w:numId w:val="27"/>
        </w:numPr>
        <w:rPr>
          <w:rFonts w:ascii="Arial" w:cs="Arial" w:eastAsia="Arial" w:hAnsi="Arial"/>
          <w:sz w:val="16"/>
          <w:szCs w:val="16"/>
          <w:color w:val="auto"/>
        </w:rPr>
      </w:pPr>
      <w:r>
        <w:rPr>
          <w:rFonts w:ascii="Arial" w:cs="Arial" w:eastAsia="Arial" w:hAnsi="Arial"/>
          <w:sz w:val="16"/>
          <w:szCs w:val="16"/>
          <w:color w:val="auto"/>
        </w:rPr>
        <w:t>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SECTION 7. Action at Meeting.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8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SECTION 8. Stockholder Lists.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as provided in the manner, and subject to the terms, set forth in Section 219 of the DGCL (or any successor provision). The list shall also be open to the examination of any stockholder during the whole time of the meeting as provided by law.</w:t>
      </w:r>
    </w:p>
    <w:p>
      <w:pPr>
        <w:spacing w:after="0" w:line="17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SECTION 9. Presiding Officer. The Board of Directors shall designate a representative to preside over all Annual Meetings or special meetings of stockholders,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w:t>
      </w:r>
      <w:r>
        <w:rPr>
          <w:rFonts w:ascii="Arial" w:cs="Arial" w:eastAsia="Arial" w:hAnsi="Arial"/>
          <w:sz w:val="17"/>
          <w:szCs w:val="17"/>
          <w:u w:val="single" w:color="auto"/>
          <w:color w:val="auto"/>
        </w:rPr>
        <w:t>Sections 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w:t>
      </w:r>
      <w:r>
        <w:rPr>
          <w:rFonts w:ascii="Arial" w:cs="Arial" w:eastAsia="Arial" w:hAnsi="Arial"/>
          <w:sz w:val="17"/>
          <w:szCs w:val="17"/>
          <w:color w:val="auto"/>
        </w:rPr>
        <w:t>. The order of business and all other matters of procedure at any meeting of the stockholders shall be determined by the presiding officer.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432"/>
        <w:spacing w:after="0" w:line="269" w:lineRule="auto"/>
        <w:rPr>
          <w:sz w:val="20"/>
          <w:szCs w:val="20"/>
          <w:color w:val="auto"/>
        </w:rPr>
      </w:pPr>
      <w:r>
        <w:rPr>
          <w:rFonts w:ascii="Arial" w:cs="Arial" w:eastAsia="Arial" w:hAnsi="Arial"/>
          <w:sz w:val="17"/>
          <w:szCs w:val="17"/>
          <w:color w:val="auto"/>
        </w:rPr>
        <w:t>SECTION 10. Inspectors of Elections.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Directors</w:t>
      </w:r>
    </w:p>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SECTION 1. Powers. The business and affairs of the Corporation shall be managed by or under the direction of the Board of Directors except as otherwise provided by the Certificate or required by law.</w:t>
      </w:r>
    </w:p>
    <w:p>
      <w:pPr>
        <w:spacing w:after="0" w:line="1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SECTION 2. Number and Terms. Subject to the terms of the Registration and Shareholder Rights Agreement and the Voting Agreement, the number of directors of the Corporation shall be fixed solely and exclusively by resolution duly adopted from time to time by the Board of Directors. The directors shall hold office in the manner provided in the Certificate.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3. Qualification. No director need be a stockholder of the Corporation.</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SECTION 4. Vacancies. Vacancies in the Board of Directors shall be filled in the manner provided in the Certificate, the Registration and Shareholder Rights Agreement and the Voting Agreement.</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SECTION 5. Removal. Directors may be removed from office only in the manner provided in the Certificate, the Registration and Shareholder Rights Agreement and the Voting Agreement.</w:t>
      </w:r>
    </w:p>
    <w:p>
      <w:pPr>
        <w:spacing w:after="0" w:line="17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SECTION 6. Resignation. A director may resign at any time by electronic transmission or by giving written notice to the Chairman of the Board, if one is elected, the President or the Secretary. A resignation shall be effective upon receipt, unless the resignation otherwise provides.</w:t>
      </w:r>
    </w:p>
    <w:p>
      <w:pPr>
        <w:spacing w:after="0" w:line="14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SECTION 7. Regular Meetings. Regular and annual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1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SECTION 8. Special Meetings.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432"/>
        <w:spacing w:after="0" w:line="268" w:lineRule="auto"/>
        <w:rPr>
          <w:sz w:val="20"/>
          <w:szCs w:val="20"/>
          <w:color w:val="auto"/>
        </w:rPr>
      </w:pPr>
      <w:r>
        <w:rPr>
          <w:rFonts w:ascii="Arial" w:cs="Arial" w:eastAsia="Arial" w:hAnsi="Arial"/>
          <w:sz w:val="17"/>
          <w:szCs w:val="17"/>
          <w:color w:val="auto"/>
        </w:rPr>
        <w:t>SECTION 9. Notice of Meetings.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8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SECTION 10. Quorum.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SECTION 11. Action at Meeting. At any meeting of the Board of Directors at which a quorum is present, the vote of a majority of the directors present shall constitute action by the Board of Directors, unless otherwise required by law, by the Certificate or by these By-laws.</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SECTION 12. Action by Consent.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8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SECTION 13. Manner of Participation.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8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SECTION 14. Presiding Director.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8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SECTION 15. Committees. Subject to the terms of the Registration and Shareholder Rights Agreement and the Voting Agreement,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6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SECTION 16. Compensation of Directors.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w:t>
      </w:r>
    </w:p>
    <w:p>
      <w:pPr>
        <w:spacing w:after="0" w:line="229"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SECTION 1. Enumeration.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4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SECTION 2. Election.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SECTION 3. Qualification. No officer need be a stockholder or a director. Any person may occupy more than one office of the Corporation at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SECTION 4. Tenure.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8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SECTION 5. Resignation. Any officer may resign by delivering his or her written or electronically transmitted resignation to the Corporation addressed to the President or the Secretary, and such resignation shall be effective upon receipt, unless the resignation otherwise provides.</w:t>
      </w:r>
    </w:p>
    <w:p>
      <w:pPr>
        <w:spacing w:after="0" w:line="1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SECTION 6. Removal. Except as otherwise provided by law or by resolution of the Board of Directors, the Board of Directors may remove any officer with or without cause by the affirmative vote of a majority of the directors then in office.</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SECTION 7. Absence or Disability. In the event of the absence or disability of any officer, the Board of Directors may designate another officer to act temporarily in place of such absent or disabled officer.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8. Vacancies. Any vacancy in any office may be filled for the unexpired portion of the term by the Board of Directors.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SECTION 9. President. The President shall, subject to the direction of the Board of Directors, have such powers and shall perform such duties as the Board of Directors may from time to time designate.</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SECTION 10. Chairman of the Board. The Chairman of the Board, if one is elected, shall have such powers and shall perform such duties as the Board of Directors may from time to time designate.</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SECTION 11. Chief Executive Officer. The Chief Executive Officer, if one is elected, shall have such powers and shall perform such duties as the Board of Directors may from time to time designate.</w:t>
      </w:r>
    </w:p>
    <w:p>
      <w:pPr>
        <w:spacing w:after="0" w:line="1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SECTION 12. Vice Presidents and Assistant Vice Presidents.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84"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SECTION 13. Treasurer and Assistant Treasurers.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6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SECTION 14. Secretary and Assistant Secretaries.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432"/>
        <w:spacing w:after="0" w:line="263" w:lineRule="auto"/>
        <w:rPr>
          <w:sz w:val="20"/>
          <w:szCs w:val="20"/>
          <w:color w:val="auto"/>
        </w:rPr>
      </w:pPr>
      <w:r>
        <w:rPr>
          <w:rFonts w:ascii="Arial" w:cs="Arial" w:eastAsia="Arial" w:hAnsi="Arial"/>
          <w:sz w:val="18"/>
          <w:szCs w:val="18"/>
          <w:color w:val="auto"/>
        </w:rPr>
        <w:t>SECTION 15. Other Powers and Duties.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229"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 xml:space="preserve">SECTION 1. Certificates of Stock.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w:t>
      </w:r>
      <w:r>
        <w:rPr>
          <w:rFonts w:ascii="Arial" w:cs="Arial" w:eastAsia="Arial" w:hAnsi="Arial"/>
          <w:sz w:val="16"/>
          <w:szCs w:val="16"/>
          <w:b w:val="1"/>
          <w:bCs w:val="1"/>
          <w:color w:val="auto"/>
        </w:rPr>
        <w:t>Notwithstanding anything to</w:t>
      </w:r>
      <w:r>
        <w:rPr>
          <w:rFonts w:ascii="Arial" w:cs="Arial" w:eastAsia="Arial" w:hAnsi="Arial"/>
          <w:sz w:val="16"/>
          <w:szCs w:val="16"/>
          <w:color w:val="auto"/>
        </w:rPr>
        <w:t xml:space="preserve">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7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SECTION 2. Transfers.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SECTION 3. Record Holders.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87"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SECTION 4. Record Date.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firstLine="432"/>
        <w:spacing w:after="0" w:line="277" w:lineRule="auto"/>
        <w:rPr>
          <w:sz w:val="20"/>
          <w:szCs w:val="20"/>
          <w:color w:val="auto"/>
        </w:rPr>
      </w:pPr>
      <w:r>
        <w:rPr>
          <w:rFonts w:ascii="Arial" w:cs="Arial" w:eastAsia="Arial" w:hAnsi="Arial"/>
          <w:sz w:val="18"/>
          <w:szCs w:val="18"/>
          <w:color w:val="auto"/>
        </w:rPr>
        <w:t>SECTION 5. Replacement of Certificates. In case of the alleged loss, destruction or mutilation of a certificate of stock of the Corporation, a duplicate certificate may be issued in place thereof, upon such terms as the Board of Directors may prescribe.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 Definitions. For purposes of this Article:</w:t>
      </w:r>
    </w:p>
    <w:p>
      <w:pPr>
        <w:spacing w:after="0" w:line="225" w:lineRule="exact"/>
        <w:rPr>
          <w:sz w:val="20"/>
          <w:szCs w:val="20"/>
          <w:color w:val="auto"/>
        </w:rPr>
      </w:pPr>
    </w:p>
    <w:p>
      <w:pPr>
        <w:jc w:val="both"/>
        <w:ind w:firstLine="440"/>
        <w:spacing w:after="0" w:line="290" w:lineRule="auto"/>
        <w:tabs>
          <w:tab w:leader="none" w:pos="7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Status</w:t>
      </w:r>
      <w:r>
        <w:rPr>
          <w:rFonts w:ascii="Arial" w:cs="Arial" w:eastAsia="Arial" w:hAnsi="Arial"/>
          <w:sz w:val="16"/>
          <w:szCs w:val="16"/>
          <w:color w:val="auto"/>
        </w:rPr>
        <w:t xml:space="preserve">”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w:t>
      </w:r>
      <w:r>
        <w:rPr>
          <w:rFonts w:ascii="Arial" w:cs="Arial" w:eastAsia="Arial" w:hAnsi="Arial"/>
          <w:sz w:val="16"/>
          <w:szCs w:val="16"/>
          <w:u w:val="single" w:color="auto"/>
          <w:color w:val="auto"/>
        </w:rPr>
        <w:t>Section 1(a)</w:t>
      </w:r>
      <w:r>
        <w:rPr>
          <w:rFonts w:ascii="Arial" w:cs="Arial" w:eastAsia="Arial" w:hAnsi="Arial"/>
          <w:sz w:val="16"/>
          <w:szCs w:val="16"/>
          <w:color w:val="auto"/>
        </w:rPr>
        <w:t>,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65" w:lineRule="exact"/>
        <w:rPr>
          <w:rFonts w:ascii="Arial" w:cs="Arial" w:eastAsia="Arial" w:hAnsi="Arial"/>
          <w:sz w:val="16"/>
          <w:szCs w:val="16"/>
          <w:color w:val="auto"/>
        </w:rPr>
      </w:pPr>
    </w:p>
    <w:p>
      <w:pPr>
        <w:ind w:firstLine="440"/>
        <w:spacing w:after="0" w:line="277" w:lineRule="auto"/>
        <w:tabs>
          <w:tab w:leader="none" w:pos="687"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any person who serves or has served the Corporation as a director on the Board of Directors; including, for the avoidance of doubt, any person who has served as a director of FS Development Corp., a Delaware corporation;</w:t>
      </w:r>
    </w:p>
    <w:p>
      <w:pPr>
        <w:spacing w:after="0" w:line="170" w:lineRule="exact"/>
        <w:rPr>
          <w:rFonts w:ascii="Arial" w:cs="Arial" w:eastAsia="Arial" w:hAnsi="Arial"/>
          <w:sz w:val="18"/>
          <w:szCs w:val="18"/>
          <w:color w:val="auto"/>
        </w:rPr>
      </w:pPr>
    </w:p>
    <w:p>
      <w:pPr>
        <w:ind w:firstLine="440"/>
        <w:spacing w:after="0" w:line="277" w:lineRule="auto"/>
        <w:tabs>
          <w:tab w:leader="none" w:pos="8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means, with respect to each Proceeding in respect of which indemnification is sought hereunder, a Director of the Corporation who is not and was not a party to such Proceeding;</w:t>
      </w:r>
    </w:p>
    <w:p>
      <w:pPr>
        <w:spacing w:after="0" w:line="170" w:lineRule="exact"/>
        <w:rPr>
          <w:rFonts w:ascii="Arial" w:cs="Arial" w:eastAsia="Arial" w:hAnsi="Arial"/>
          <w:sz w:val="18"/>
          <w:szCs w:val="18"/>
          <w:color w:val="auto"/>
        </w:rPr>
      </w:pPr>
    </w:p>
    <w:p>
      <w:pPr>
        <w:jc w:val="both"/>
        <w:ind w:firstLine="440"/>
        <w:spacing w:after="0" w:line="273" w:lineRule="auto"/>
        <w:tabs>
          <w:tab w:leader="none" w:pos="687" w:val="left"/>
        </w:tabs>
        <w:numPr>
          <w:ilvl w:val="0"/>
          <w:numId w:val="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means all reasonable, documented and out-of-pocket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77" w:lineRule="exact"/>
        <w:rPr>
          <w:rFonts w:ascii="Arial" w:cs="Arial" w:eastAsia="Arial" w:hAnsi="Arial"/>
          <w:sz w:val="17"/>
          <w:szCs w:val="17"/>
          <w:color w:val="auto"/>
        </w:rPr>
      </w:pPr>
    </w:p>
    <w:p>
      <w:pPr>
        <w:ind w:left="720" w:hanging="280"/>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judgments, damages, liabilities, losses, penalties, excise taxes, fines and amounts paid in settlement;</w:t>
      </w:r>
    </w:p>
    <w:p>
      <w:pPr>
        <w:spacing w:after="0" w:line="225" w:lineRule="exact"/>
        <w:rPr>
          <w:rFonts w:ascii="Arial" w:cs="Arial" w:eastAsia="Arial" w:hAnsi="Arial"/>
          <w:sz w:val="18"/>
          <w:szCs w:val="18"/>
          <w:color w:val="auto"/>
        </w:rPr>
      </w:pPr>
    </w:p>
    <w:p>
      <w:pPr>
        <w:ind w:firstLine="440"/>
        <w:spacing w:after="0" w:line="277" w:lineRule="auto"/>
        <w:tabs>
          <w:tab w:leader="none" w:pos="7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Non-Officer Employee</w:t>
      </w:r>
      <w:r>
        <w:rPr>
          <w:rFonts w:ascii="Arial" w:cs="Arial" w:eastAsia="Arial" w:hAnsi="Arial"/>
          <w:sz w:val="18"/>
          <w:szCs w:val="18"/>
          <w:color w:val="auto"/>
        </w:rPr>
        <w:t>” means any person who serves or has served as an employee or agent of the Corporation, but who is not or was not a Director or Officer;</w:t>
      </w:r>
    </w:p>
    <w:p>
      <w:pPr>
        <w:spacing w:after="0" w:line="170" w:lineRule="exact"/>
        <w:rPr>
          <w:rFonts w:ascii="Arial" w:cs="Arial" w:eastAsia="Arial" w:hAnsi="Arial"/>
          <w:sz w:val="18"/>
          <w:szCs w:val="18"/>
          <w:color w:val="auto"/>
        </w:rPr>
      </w:pPr>
    </w:p>
    <w:p>
      <w:pPr>
        <w:ind w:right="20" w:firstLine="440"/>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any person who serves or has served the Corporation as an officer of the Corporation appointed by the Board of Directors, including, for the avoidance of doubt, any person who has served as an officer of FS Development Corp., a Delaware corporation;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firstLine="440"/>
        <w:spacing w:after="0" w:line="254" w:lineRule="auto"/>
        <w:tabs>
          <w:tab w:leader="none" w:pos="6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threatened, pending or completed action, suit, arbitration, alternate dispute resolution mechanism, inquiry, investigation, administrative hearing or other proceeding, whether civil, criminal, administrative, arbitrative or investigative; and (i) “</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 Indemnification of Directors and Officers.</w:t>
      </w:r>
    </w:p>
    <w:p>
      <w:pPr>
        <w:spacing w:after="0" w:line="225" w:lineRule="exact"/>
        <w:rPr>
          <w:sz w:val="20"/>
          <w:szCs w:val="20"/>
          <w:color w:val="auto"/>
        </w:rPr>
      </w:pPr>
    </w:p>
    <w:p>
      <w:pPr>
        <w:jc w:val="both"/>
        <w:ind w:firstLine="440"/>
        <w:spacing w:after="0" w:line="259" w:lineRule="auto"/>
        <w:tabs>
          <w:tab w:leader="none" w:pos="729"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Subject to the operation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440" w:firstLine="432"/>
        <w:spacing w:after="0" w:line="293" w:lineRule="auto"/>
        <w:tabs>
          <w:tab w:leader="none" w:pos="1127"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Other than By or In the Right of the Corporation</w:t>
      </w:r>
      <w:r>
        <w:rPr>
          <w:rFonts w:ascii="Arial" w:cs="Arial" w:eastAsia="Arial" w:hAnsi="Arial"/>
          <w:sz w:val="16"/>
          <w:szCs w:val="16"/>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64" w:lineRule="exact"/>
        <w:rPr>
          <w:rFonts w:ascii="Arial" w:cs="Arial" w:eastAsia="Arial" w:hAnsi="Arial"/>
          <w:sz w:val="16"/>
          <w:szCs w:val="16"/>
          <w:color w:val="auto"/>
        </w:rPr>
      </w:pPr>
    </w:p>
    <w:p>
      <w:pPr>
        <w:jc w:val="both"/>
        <w:ind w:left="440" w:firstLine="432"/>
        <w:spacing w:after="0" w:line="253" w:lineRule="auto"/>
        <w:tabs>
          <w:tab w:leader="none" w:pos="1127"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Actions, Suits and Proceedings By or In the Right of the Corporation</w:t>
      </w:r>
      <w:r>
        <w:rPr>
          <w:rFonts w:ascii="Arial" w:cs="Arial" w:eastAsia="Arial" w:hAnsi="Arial"/>
          <w:sz w:val="18"/>
          <w:szCs w:val="18"/>
          <w:color w:val="auto"/>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w:t>
      </w:r>
      <w:r>
        <w:rPr>
          <w:rFonts w:ascii="Arial" w:cs="Arial" w:eastAsia="Arial" w:hAnsi="Arial"/>
          <w:sz w:val="18"/>
          <w:szCs w:val="18"/>
          <w:u w:val="single" w:color="auto"/>
          <w:color w:val="auto"/>
        </w:rPr>
        <w:t>Section 2(a)(2)</w:t>
      </w:r>
      <w:r>
        <w:rPr>
          <w:rFonts w:ascii="Arial" w:cs="Arial" w:eastAsia="Arial" w:hAnsi="Arial"/>
          <w:sz w:val="18"/>
          <w:szCs w:val="18"/>
          <w:color w:val="auto"/>
        </w:rPr>
        <w:t xml:space="preserve">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94" w:lineRule="exact"/>
        <w:rPr>
          <w:rFonts w:ascii="Arial" w:cs="Arial" w:eastAsia="Arial" w:hAnsi="Arial"/>
          <w:sz w:val="18"/>
          <w:szCs w:val="18"/>
          <w:color w:val="auto"/>
        </w:rPr>
      </w:pPr>
    </w:p>
    <w:p>
      <w:pPr>
        <w:ind w:left="440" w:right="20" w:firstLine="432"/>
        <w:spacing w:after="0" w:line="308" w:lineRule="auto"/>
        <w:tabs>
          <w:tab w:leader="none" w:pos="1140"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Survival of Rights</w:t>
      </w:r>
      <w:r>
        <w:rPr>
          <w:rFonts w:ascii="Arial" w:cs="Arial" w:eastAsia="Arial" w:hAnsi="Arial"/>
          <w:sz w:val="17"/>
          <w:szCs w:val="17"/>
          <w:color w:val="auto"/>
        </w:rPr>
        <w:t xml:space="preserve">. The rights of indemnification provided by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continue as to a Director or Officer after he or she has ceased to be a Director or Officer and shall inure to the benefit of his or her heirs, executors, administrators and personal representatives.</w:t>
      </w:r>
    </w:p>
    <w:p>
      <w:pPr>
        <w:spacing w:after="0" w:line="146" w:lineRule="exact"/>
        <w:rPr>
          <w:rFonts w:ascii="Arial" w:cs="Arial" w:eastAsia="Arial" w:hAnsi="Arial"/>
          <w:sz w:val="17"/>
          <w:szCs w:val="17"/>
          <w:color w:val="auto"/>
        </w:rPr>
      </w:pPr>
    </w:p>
    <w:p>
      <w:pPr>
        <w:jc w:val="both"/>
        <w:ind w:left="440" w:firstLine="432"/>
        <w:spacing w:after="0" w:line="257" w:lineRule="auto"/>
        <w:tabs>
          <w:tab w:leader="none" w:pos="1167"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Actions by Directors or Officers</w:t>
      </w:r>
      <w:r>
        <w:rPr>
          <w:rFonts w:ascii="Arial" w:cs="Arial" w:eastAsia="Arial" w:hAnsi="Arial"/>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88"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SECTION 3. Indemnification of Non-Officer Employees. Subject to the operation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these By-laws,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432"/>
        <w:spacing w:after="0" w:line="272" w:lineRule="auto"/>
        <w:rPr>
          <w:sz w:val="20"/>
          <w:szCs w:val="20"/>
          <w:color w:val="auto"/>
        </w:rPr>
      </w:pPr>
      <w:r>
        <w:rPr>
          <w:rFonts w:ascii="Arial" w:cs="Arial" w:eastAsia="Arial" w:hAnsi="Arial"/>
          <w:sz w:val="17"/>
          <w:szCs w:val="17"/>
          <w:color w:val="auto"/>
        </w:rPr>
        <w:t xml:space="preserve">SECTION 4. Determination. Unless ordered by a court, no indemnification shall be provided pursuant to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5. Advancement of Expenses to Directors Prior to Final Disposition.</w:t>
      </w:r>
    </w:p>
    <w:p>
      <w:pPr>
        <w:spacing w:after="0" w:line="225" w:lineRule="exact"/>
        <w:rPr>
          <w:sz w:val="20"/>
          <w:szCs w:val="20"/>
          <w:color w:val="auto"/>
        </w:rPr>
      </w:pPr>
    </w:p>
    <w:p>
      <w:pPr>
        <w:jc w:val="both"/>
        <w:ind w:firstLine="440"/>
        <w:spacing w:after="0" w:line="253" w:lineRule="auto"/>
        <w:tabs>
          <w:tab w:leader="none" w:pos="71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w:t>
      </w:r>
    </w:p>
    <w:p>
      <w:pPr>
        <w:spacing w:after="0" w:line="196" w:lineRule="exact"/>
        <w:rPr>
          <w:rFonts w:ascii="Arial" w:cs="Arial" w:eastAsia="Arial" w:hAnsi="Arial"/>
          <w:sz w:val="18"/>
          <w:szCs w:val="18"/>
          <w:color w:val="auto"/>
        </w:rPr>
      </w:pPr>
    </w:p>
    <w:p>
      <w:pPr>
        <w:jc w:val="both"/>
        <w:ind w:firstLine="440"/>
        <w:spacing w:after="0" w:line="291" w:lineRule="auto"/>
        <w:tabs>
          <w:tab w:leader="none" w:pos="694"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advancement of Expenses under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66" w:lineRule="exact"/>
        <w:rPr>
          <w:rFonts w:ascii="Arial" w:cs="Arial" w:eastAsia="Arial" w:hAnsi="Arial"/>
          <w:sz w:val="16"/>
          <w:szCs w:val="16"/>
          <w:color w:val="auto"/>
        </w:rPr>
      </w:pPr>
    </w:p>
    <w:p>
      <w:pPr>
        <w:ind w:firstLine="440"/>
        <w:spacing w:after="0" w:line="342" w:lineRule="auto"/>
        <w:tabs>
          <w:tab w:leader="none" w:pos="736"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6. Advancement of Expenses to Officers and Non-Officer Employees Prior to Final Disposition.</w:t>
      </w:r>
    </w:p>
    <w:p>
      <w:pPr>
        <w:spacing w:after="0" w:line="225" w:lineRule="exact"/>
        <w:rPr>
          <w:sz w:val="20"/>
          <w:szCs w:val="20"/>
          <w:color w:val="auto"/>
        </w:rPr>
      </w:pPr>
    </w:p>
    <w:p>
      <w:pPr>
        <w:jc w:val="both"/>
        <w:ind w:firstLine="440"/>
        <w:spacing w:after="0" w:line="254" w:lineRule="auto"/>
        <w:tabs>
          <w:tab w:leader="none" w:pos="7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94" w:lineRule="exact"/>
        <w:rPr>
          <w:rFonts w:ascii="Arial" w:cs="Arial" w:eastAsia="Arial" w:hAnsi="Arial"/>
          <w:sz w:val="18"/>
          <w:szCs w:val="18"/>
          <w:color w:val="auto"/>
        </w:rPr>
      </w:pPr>
    </w:p>
    <w:p>
      <w:pPr>
        <w:jc w:val="both"/>
        <w:ind w:firstLine="440"/>
        <w:spacing w:after="0" w:line="263"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left="440"/>
        <w:spacing w:after="0"/>
        <w:rPr>
          <w:sz w:val="20"/>
          <w:szCs w:val="20"/>
          <w:color w:val="auto"/>
        </w:rPr>
      </w:pPr>
      <w:r>
        <w:rPr>
          <w:rFonts w:ascii="Arial" w:cs="Arial" w:eastAsia="Arial" w:hAnsi="Arial"/>
          <w:sz w:val="18"/>
          <w:szCs w:val="18"/>
          <w:color w:val="auto"/>
        </w:rPr>
        <w:t>SECTION 7. Contractual Nature of Rights.</w:t>
      </w:r>
    </w:p>
    <w:p>
      <w:pPr>
        <w:spacing w:after="0" w:line="225" w:lineRule="exact"/>
        <w:rPr>
          <w:sz w:val="20"/>
          <w:szCs w:val="20"/>
          <w:color w:val="auto"/>
        </w:rPr>
      </w:pPr>
    </w:p>
    <w:p>
      <w:pPr>
        <w:jc w:val="both"/>
        <w:ind w:firstLine="440"/>
        <w:spacing w:after="0" w:line="288" w:lineRule="auto"/>
        <w:tabs>
          <w:tab w:leader="none" w:pos="732"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be deemed to be a contract between the Corporation and each Director and Officer entitled to the benefits hereof at any time while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is in effect, in consideration of such person’s past or current and any future performance of services for the Corporation. Neither amendment, repeal or modification of any provision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nor the adoption of any provision of the Certificate of Incorporation inconsistent with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eliminate or reduce any right conferred by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continue notwithstanding that the person has ceased to be a director or officer of the Corporation and shall inure to the benefit of the estate, heirs, executors, administrators, legatees and distributes of such person.</w:t>
      </w:r>
    </w:p>
    <w:p>
      <w:pPr>
        <w:spacing w:after="0" w:line="168" w:lineRule="exact"/>
        <w:rPr>
          <w:rFonts w:ascii="Arial" w:cs="Arial" w:eastAsia="Arial" w:hAnsi="Arial"/>
          <w:sz w:val="16"/>
          <w:szCs w:val="16"/>
          <w:color w:val="auto"/>
        </w:rPr>
      </w:pPr>
    </w:p>
    <w:p>
      <w:pPr>
        <w:jc w:val="both"/>
        <w:ind w:firstLine="440"/>
        <w:spacing w:after="0" w:line="290" w:lineRule="auto"/>
        <w:tabs>
          <w:tab w:leader="none" w:pos="692"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If a claim for indemnification (following final disposition of such Proceeding) or advancement of Expenses hereunder by a Director or Officer is not paid in full by the Corporation within sixty (60) days after receipt by the Corporation of a written claim for indemnification or advancement of Expenses, such Director or Officer may at any time thereafter bring suit against the Corporation to recover the unpaid amount of the claim, and if successful in whole or in part, pursuant to the terms of an undertaking, such Director or Officer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indemnification under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or advancement of Expenses shall be on the Corporation.</w:t>
      </w:r>
    </w:p>
    <w:p>
      <w:pPr>
        <w:spacing w:after="0" w:line="165" w:lineRule="exact"/>
        <w:rPr>
          <w:rFonts w:ascii="Arial" w:cs="Arial" w:eastAsia="Arial" w:hAnsi="Arial"/>
          <w:sz w:val="16"/>
          <w:szCs w:val="16"/>
          <w:color w:val="auto"/>
        </w:rPr>
      </w:pPr>
    </w:p>
    <w:p>
      <w:pPr>
        <w:ind w:right="20" w:firstLine="440"/>
        <w:spacing w:after="0" w:line="277" w:lineRule="auto"/>
        <w:tabs>
          <w:tab w:leader="none" w:pos="7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SECTION 8. Non-Exclusivity of Rights. The rights to indemnification and to advancement of Expenses set forth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SECTION 9. Insurance.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187"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 xml:space="preserve">SECTION 10. Other Indemnification. Subject to any other right which any Director, Officer or Non-Officer Employee may have or hereafter acquire under any statute, provision of the Certificate or these By-laws, agreement, vote of stockholders or Disinterested Directors or otherwise to the contrary, the Corporation’s obligation, if any, to indemnify or provide advancement of Expenses to any person under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Arial" w:cs="Arial" w:eastAsia="Arial" w:hAnsi="Arial"/>
          <w:sz w:val="16"/>
          <w:szCs w:val="16"/>
          <w:u w:val="single" w:color="auto"/>
          <w:color w:val="auto"/>
        </w:rPr>
        <w:t>Primary Indemnitor</w:t>
      </w:r>
      <w:r>
        <w:rPr>
          <w:rFonts w:ascii="Arial" w:cs="Arial" w:eastAsia="Arial" w:hAnsi="Arial"/>
          <w:sz w:val="16"/>
          <w:szCs w:val="16"/>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any indemnification or advancement of Expenses under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u w:val="single" w:color="auto"/>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 Fiscal Year. The fiscal year of the Corporation shall be determined by the Board of Directors.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 Seal. The Board of Directors shall have power to adopt and alter the seal of the Corporation.</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SECTION 3. Execution of Instruments.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may authorize.</w:t>
      </w:r>
    </w:p>
    <w:p>
      <w:pPr>
        <w:spacing w:after="0" w:line="16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SECTION 4. Voting of Securities. Unless the Board of Directors otherwise provides, the Chairman of the Board, if one is elected, the President or the Treasurer may waive notice of and act on behalf of the Corporation (including with regard to voting and actions by written consent),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SECTION 5. Resident Agent. The Board of Directors may appoint a resident agent upon whom legal process may be served in any action or proceeding against the Corporation.</w:t>
      </w:r>
    </w:p>
    <w:p>
      <w:pPr>
        <w:spacing w:after="0" w:line="17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SECTION 6. Corporate Records.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SECTION 7. Certificate. All references in these By-laws to the Certificate shall be deemed to refer to the Amended and Restated Certificate of Incorporation of the Corporation, as amended and/or restated and in effect from time to time.</w:t>
      </w:r>
    </w:p>
    <w:p>
      <w:pPr>
        <w:spacing w:after="0" w:line="170"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SECTION 8. Exclusive Jurisdiction. Unless the Corporation consents in writing to the selection of an alternative forum, the Court of Chancery of the State of Delaware shall be the sole and exclusive forum for state law claims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Certificate or By-laws, (iv) any action to interpret, apply, enforce or determine the validity of the Certificate or By-laws, or (v) any action asserting a claim against the Corporation governed by the internal affairs doctrine. The provisions of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not apply to any claims arising under the Exchange Act or the Securities Act of 1933, as amended. In addition, unless the Corporation consents in writing to the selection of an alternative forum, the United States District Court for the District of Massachusetts shall be the sole and exclusive forum for resolving any action asserting a claim arising under the Securities Act. Any person or entity purchasing or otherwise acquiring any interest in shares of capital stock of the Corporation shall be deemed to have notice of and consented to the provisions of this </w:t>
      </w:r>
      <w:r>
        <w:rPr>
          <w:rFonts w:ascii="Arial" w:cs="Arial" w:eastAsia="Arial" w:hAnsi="Arial"/>
          <w:sz w:val="17"/>
          <w:szCs w:val="17"/>
          <w:u w:val="single" w:color="auto"/>
          <w:color w:val="auto"/>
        </w:rPr>
        <w:t>Section 8</w:t>
      </w:r>
      <w:r>
        <w:rPr>
          <w:rFonts w:ascii="Arial" w:cs="Arial" w:eastAsia="Arial" w:hAnsi="Arial"/>
          <w:sz w:val="17"/>
          <w:szCs w:val="17"/>
          <w:color w:val="auto"/>
        </w:rPr>
        <w: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9. Amendment of By-laws.</w:t>
      </w:r>
    </w:p>
    <w:p>
      <w:pPr>
        <w:spacing w:after="0" w:line="225" w:lineRule="exact"/>
        <w:rPr>
          <w:sz w:val="20"/>
          <w:szCs w:val="20"/>
          <w:color w:val="auto"/>
        </w:rPr>
      </w:pPr>
    </w:p>
    <w:p>
      <w:pPr>
        <w:ind w:right="20" w:firstLine="440"/>
        <w:spacing w:after="0" w:line="277" w:lineRule="auto"/>
        <w:tabs>
          <w:tab w:leader="none" w:pos="749"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Amendment by Directors</w:t>
      </w:r>
      <w:r>
        <w:rPr>
          <w:rFonts w:ascii="Arial" w:cs="Arial" w:eastAsia="Arial" w:hAnsi="Arial"/>
          <w:sz w:val="18"/>
          <w:szCs w:val="18"/>
          <w:color w:val="auto"/>
        </w:rPr>
        <w:t>. Except as provided otherwise by law, any section or portion of these By-laws may be amended or repealed by the Board of Directors by the affirmative vote of a majority of the directors then in office.</w:t>
      </w:r>
    </w:p>
    <w:p>
      <w:pPr>
        <w:spacing w:after="0" w:line="170" w:lineRule="exact"/>
        <w:rPr>
          <w:rFonts w:ascii="Arial" w:cs="Arial" w:eastAsia="Arial" w:hAnsi="Arial"/>
          <w:sz w:val="18"/>
          <w:szCs w:val="18"/>
          <w:color w:val="auto"/>
        </w:rPr>
      </w:pPr>
    </w:p>
    <w:p>
      <w:pPr>
        <w:jc w:val="both"/>
        <w:ind w:firstLine="440"/>
        <w:spacing w:after="0" w:line="259" w:lineRule="auto"/>
        <w:tabs>
          <w:tab w:leader="none" w:pos="687"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Amendment by Stockholders</w:t>
      </w:r>
      <w:r>
        <w:rPr>
          <w:rFonts w:ascii="Arial" w:cs="Arial" w:eastAsia="Arial" w:hAnsi="Arial"/>
          <w:sz w:val="18"/>
          <w:szCs w:val="18"/>
          <w:color w:val="auto"/>
        </w:rPr>
        <w:t>. Except as otherwise required by these By-laws or by law, these By-laws may be amended or repealed at any Annual Meeting, or special meeting of stockholders called for such purpose in accordance with these By-Laws, by the affirmative vote of a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8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SECTION 10. Notices.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6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SECTION 11. Waivers.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left="10240"/>
        <w:spacing w:after="0"/>
        <w:rPr>
          <w:sz w:val="20"/>
          <w:szCs w:val="20"/>
          <w:color w:val="auto"/>
        </w:rPr>
      </w:pPr>
      <w:r>
        <w:rPr>
          <w:rFonts w:ascii="Arial" w:cs="Arial" w:eastAsia="Arial" w:hAnsi="Arial"/>
          <w:sz w:val="19"/>
          <w:szCs w:val="19"/>
          <w:b w:val="1"/>
          <w:bCs w:val="1"/>
          <w:color w:val="auto"/>
        </w:rPr>
        <w:t>Exhibit 4.1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REVERSE FOR CERTAIN DEFINITIONS</w:t>
      </w:r>
    </w:p>
    <w:p>
      <w:pPr>
        <w:spacing w:after="0" w:line="221" w:lineRule="exact"/>
        <w:rPr>
          <w:sz w:val="20"/>
          <w:szCs w:val="20"/>
          <w:color w:val="auto"/>
        </w:rPr>
      </w:pPr>
    </w:p>
    <w:p>
      <w:pPr>
        <w:ind w:left="10020"/>
        <w:spacing w:after="0"/>
        <w:rPr>
          <w:sz w:val="20"/>
          <w:szCs w:val="20"/>
          <w:color w:val="auto"/>
        </w:rPr>
      </w:pPr>
      <w:r>
        <w:rPr>
          <w:rFonts w:ascii="Arial" w:cs="Arial" w:eastAsia="Arial" w:hAnsi="Arial"/>
          <w:sz w:val="16"/>
          <w:szCs w:val="16"/>
          <w:b w:val="1"/>
          <w:bCs w:val="1"/>
          <w:color w:val="auto"/>
        </w:rPr>
        <w:t xml:space="preserve">CUSIP </w:t>
      </w:r>
      <w:r>
        <w:rPr>
          <w:rFonts w:ascii="Arial" w:cs="Arial" w:eastAsia="Arial" w:hAnsi="Arial"/>
          <w:sz w:val="16"/>
          <w:szCs w:val="16"/>
          <w:color w:val="auto"/>
        </w:rPr>
        <w:t>_______</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THIS CERTIFIES THAT _______________________ is the owner of _______________________ fully paid and non-assessable shares of common stock,</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par value $0.0001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of Gemini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transferable on the books of the Company in person or by duly authorized attorney upon surrender of this certificate properly endorsed.</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certificate is not valid unless countersigned by the Transfer Agent and registered by the Registrar of the Company. Witness the facsimile signature of a duly authorized signatory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3"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Authorized Signatory</w:t>
      </w:r>
      <w:r>
        <w:rPr>
          <w:sz w:val="20"/>
          <w:szCs w:val="20"/>
          <w:color w:val="auto"/>
        </w:rPr>
        <w:tab/>
      </w:r>
      <w:r>
        <w:rPr>
          <w:rFonts w:ascii="Arial" w:cs="Arial" w:eastAsia="Arial" w:hAnsi="Arial"/>
          <w:sz w:val="16"/>
          <w:szCs w:val="16"/>
          <w:color w:val="auto"/>
        </w:rPr>
        <w:t>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will furnish without charge to each stockholder who so requests, a statement of the powers, designations, preferences and relative, participating, optional or other special rights of each class of equity or series thereof of the Company and the qualifications, limitations, or restrictions of such preferences and/or rights. This certificate and the shares represented thereby are issued and shall be held subject to all the provisions of the Company’s Second Amended and Restated Certificate of Incorporation and all amendments thereto and resolutions of the Board of Directors providing for the issue of securities (copies of which may be obtained from the secretary of the Company), to all of which the holder of this certificate by acceptance hereof assents.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TEN COM — as tenants in common</w:t>
            </w:r>
          </w:p>
        </w:tc>
        <w:tc>
          <w:tcPr>
            <w:tcW w:w="5060" w:type="dxa"/>
            <w:vAlign w:val="bottom"/>
            <w:gridSpan w:val="2"/>
          </w:tcPr>
          <w:p>
            <w:pPr>
              <w:ind w:left="520"/>
              <w:spacing w:after="0"/>
              <w:rPr>
                <w:sz w:val="20"/>
                <w:szCs w:val="20"/>
                <w:color w:val="auto"/>
              </w:rPr>
            </w:pPr>
            <w:r>
              <w:rPr>
                <w:rFonts w:ascii="Arial" w:cs="Arial" w:eastAsia="Arial" w:hAnsi="Arial"/>
                <w:sz w:val="18"/>
                <w:szCs w:val="18"/>
                <w:color w:val="auto"/>
                <w:w w:val="92"/>
              </w:rPr>
              <w:t>UNIF GIFT MIN ACT — ________ Custodian ____________</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4100" w:type="dxa"/>
            <w:vAlign w:val="bottom"/>
          </w:tcPr>
          <w:p>
            <w:pPr>
              <w:ind w:left="2640"/>
              <w:spacing w:after="0"/>
              <w:rPr>
                <w:sz w:val="20"/>
                <w:szCs w:val="20"/>
                <w:color w:val="auto"/>
              </w:rPr>
            </w:pPr>
            <w:r>
              <w:rPr>
                <w:rFonts w:ascii="Arial" w:cs="Arial" w:eastAsia="Arial" w:hAnsi="Arial"/>
                <w:sz w:val="18"/>
                <w:szCs w:val="18"/>
                <w:color w:val="auto"/>
              </w:rPr>
              <w:t>(Cust)</w:t>
            </w:r>
          </w:p>
        </w:tc>
        <w:tc>
          <w:tcPr>
            <w:tcW w:w="960" w:type="dxa"/>
            <w:vAlign w:val="bottom"/>
          </w:tcPr>
          <w:p>
            <w:pPr>
              <w:ind w:left="20"/>
              <w:spacing w:after="0"/>
              <w:rPr>
                <w:sz w:val="20"/>
                <w:szCs w:val="20"/>
                <w:color w:val="auto"/>
              </w:rPr>
            </w:pPr>
            <w:r>
              <w:rPr>
                <w:rFonts w:ascii="Arial" w:cs="Arial" w:eastAsia="Arial" w:hAnsi="Arial"/>
                <w:sz w:val="18"/>
                <w:szCs w:val="18"/>
                <w:color w:val="auto"/>
              </w:rPr>
              <w:t>(Minor)</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TEN ENT — as tenants by the entireties</w:t>
            </w:r>
          </w:p>
        </w:tc>
        <w:tc>
          <w:tcPr>
            <w:tcW w:w="4100" w:type="dxa"/>
            <w:vAlign w:val="bottom"/>
          </w:tcPr>
          <w:p>
            <w:pPr>
              <w:ind w:left="520"/>
              <w:spacing w:after="0"/>
              <w:rPr>
                <w:sz w:val="20"/>
                <w:szCs w:val="20"/>
                <w:color w:val="auto"/>
              </w:rPr>
            </w:pPr>
            <w:r>
              <w:rPr>
                <w:rFonts w:ascii="Arial" w:cs="Arial" w:eastAsia="Arial" w:hAnsi="Arial"/>
                <w:sz w:val="18"/>
                <w:szCs w:val="18"/>
                <w:color w:val="auto"/>
                <w:w w:val="93"/>
              </w:rPr>
              <w:t>under Uniform Gifts to Minors Act ___________</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vMerge w:val="restart"/>
          </w:tcPr>
          <w:p>
            <w:pPr>
              <w:spacing w:after="0"/>
              <w:rPr>
                <w:sz w:val="20"/>
                <w:szCs w:val="20"/>
                <w:color w:val="auto"/>
              </w:rPr>
            </w:pPr>
            <w:r>
              <w:rPr>
                <w:rFonts w:ascii="Arial" w:cs="Arial" w:eastAsia="Arial" w:hAnsi="Arial"/>
                <w:sz w:val="18"/>
                <w:szCs w:val="18"/>
                <w:color w:val="auto"/>
              </w:rPr>
              <w:t>JT TEN — as joint tenants with right of survivorship and not as</w:t>
            </w:r>
          </w:p>
        </w:tc>
        <w:tc>
          <w:tcPr>
            <w:tcW w:w="4100" w:type="dxa"/>
            <w:vAlign w:val="bottom"/>
          </w:tcPr>
          <w:p>
            <w:pPr>
              <w:ind w:left="318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00" w:type="dxa"/>
            <w:vAlign w:val="bottom"/>
            <w:vMerge w:val="continue"/>
          </w:tcPr>
          <w:p>
            <w:pPr>
              <w:spacing w:after="0"/>
              <w:rPr>
                <w:sz w:val="17"/>
                <w:szCs w:val="17"/>
                <w:color w:val="auto"/>
              </w:rPr>
            </w:pPr>
          </w:p>
        </w:tc>
        <w:tc>
          <w:tcPr>
            <w:tcW w:w="4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840"/>
              <w:spacing w:after="0"/>
              <w:rPr>
                <w:sz w:val="20"/>
                <w:szCs w:val="20"/>
                <w:color w:val="auto"/>
              </w:rPr>
            </w:pPr>
            <w:r>
              <w:rPr>
                <w:rFonts w:ascii="Arial" w:cs="Arial" w:eastAsia="Arial" w:hAnsi="Arial"/>
                <w:sz w:val="18"/>
                <w:szCs w:val="18"/>
                <w:color w:val="auto"/>
              </w:rPr>
              <w:t>tenants in common</w:t>
            </w:r>
          </w:p>
        </w:tc>
        <w:tc>
          <w:tcPr>
            <w:tcW w:w="4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value received, ___________ hereby sells, assigns and transfers unto___________________</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INSERT SOCIAL SECURITY OR OTHER IDENTIFYING NUMBER(S) OF ASSIGNEE(S))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PRINT OR TYPEWRITE NAME(S) AND ADDRESS(ES), INCLUDING ZIP CODE, OF ASSIGNEE(S))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___________ shares of Common Stock represented by the within Certificate, and hereby irrevocably constitutes and appoints ___________ </w:t>
      </w:r>
      <w:r>
        <w:rPr>
          <w:rFonts w:ascii="Arial" w:cs="Arial" w:eastAsia="Arial" w:hAnsi="Arial"/>
          <w:sz w:val="16"/>
          <w:szCs w:val="16"/>
          <w:color w:val="auto"/>
        </w:rPr>
        <w:t>Attorney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transfer the said shares of Common Stock on the books of the within named Company with full power of substitution in the premises.</w:t>
      </w:r>
    </w:p>
    <w:p>
      <w:pPr>
        <w:sectPr>
          <w:pgSz w:w="11900" w:h="16838" w:orient="portrait"/>
          <w:cols w:equalWidth="0" w:num="1">
            <w:col w:w="11240"/>
          </w:cols>
          <w:pgMar w:left="320" w:top="796"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 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8543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6" w:lineRule="exact"/>
        <w:rPr>
          <w:sz w:val="20"/>
          <w:szCs w:val="20"/>
          <w:color w:val="auto"/>
        </w:rPr>
      </w:pPr>
    </w:p>
    <w:p>
      <w:pPr>
        <w:ind w:right="1560"/>
        <w:spacing w:after="0" w:line="253"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The signature(s) to this assignment must correspond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name as written upon the face of the certificate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-576580</wp:posOffset>
            </wp:positionV>
            <wp:extent cx="28460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1925955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6040" w:space="720"/>
            <w:col w:w="4480"/>
          </w:cols>
          <w:pgMar w:left="320" w:top="796" w:right="33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entered into as of February 5, 2021, by and among FS Development Corp.,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the parties listed as Investors on Schedule I hereto (each, an “</w:t>
      </w: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 and collectively, the “</w:t>
      </w:r>
      <w:r>
        <w:rPr>
          <w:rFonts w:ascii="Arial" w:cs="Arial" w:eastAsia="Arial" w:hAnsi="Arial"/>
          <w:sz w:val="18"/>
          <w:szCs w:val="18"/>
          <w:b w:val="1"/>
          <w:bCs w:val="1"/>
          <w:u w:val="single" w:color="auto"/>
          <w:color w:val="auto"/>
        </w:rPr>
        <w:t>Investors</w:t>
      </w:r>
      <w:r>
        <w:rPr>
          <w:rFonts w:ascii="Arial" w:cs="Arial" w:eastAsia="Arial" w:hAnsi="Arial"/>
          <w:sz w:val="18"/>
          <w:szCs w:val="18"/>
          <w:color w:val="auto"/>
        </w:rPr>
        <w:t>”) and Gemini Therapeutics, Inc., a Delaware company (“</w:t>
      </w:r>
      <w:r>
        <w:rPr>
          <w:rFonts w:ascii="Arial" w:cs="Arial" w:eastAsia="Arial" w:hAnsi="Arial"/>
          <w:sz w:val="18"/>
          <w:szCs w:val="18"/>
          <w:b w:val="1"/>
          <w:bCs w:val="1"/>
          <w:u w:val="single" w:color="auto"/>
          <w:color w:val="auto"/>
        </w:rPr>
        <w:t>Gemini</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WHEREAS, the Company, FSG Merger Sub, Inc., a Delaware corporation (“</w:t>
      </w:r>
      <w:r>
        <w:rPr>
          <w:rFonts w:ascii="Arial" w:cs="Arial" w:eastAsia="Arial" w:hAnsi="Arial"/>
          <w:sz w:val="17"/>
          <w:szCs w:val="17"/>
          <w:b w:val="1"/>
          <w:bCs w:val="1"/>
          <w:u w:val="single" w:color="auto"/>
          <w:color w:val="auto"/>
        </w:rPr>
        <w:t>Merger Sub</w:t>
      </w:r>
      <w:r>
        <w:rPr>
          <w:rFonts w:ascii="Arial" w:cs="Arial" w:eastAsia="Arial" w:hAnsi="Arial"/>
          <w:sz w:val="17"/>
          <w:szCs w:val="17"/>
          <w:color w:val="auto"/>
        </w:rPr>
        <w:t>”), Gemini and Shareholder Representative Services LLC, a Colorado limited liability company, as the Stockholders’ Representative, have entered into that certain Agreement and Plan of Merger, dated as of October 15, 2020 (as amended or supplemented from time to time, the “</w:t>
      </w:r>
      <w:r>
        <w:rPr>
          <w:rFonts w:ascii="Arial" w:cs="Arial" w:eastAsia="Arial" w:hAnsi="Arial"/>
          <w:sz w:val="17"/>
          <w:szCs w:val="17"/>
          <w:b w:val="1"/>
          <w:bCs w:val="1"/>
          <w:u w:val="single" w:color="auto"/>
          <w:color w:val="auto"/>
        </w:rPr>
        <w:t>Merger Agreement</w:t>
      </w:r>
      <w:r>
        <w:rPr>
          <w:rFonts w:ascii="Arial" w:cs="Arial" w:eastAsia="Arial" w:hAnsi="Arial"/>
          <w:sz w:val="17"/>
          <w:szCs w:val="17"/>
          <w:color w:val="auto"/>
        </w:rPr>
        <w:t>”), pursuant to which, among other things: (a) Merger Sub will merge with and into Gemini (the “</w:t>
      </w:r>
      <w:r>
        <w:rPr>
          <w:rFonts w:ascii="Arial" w:cs="Arial" w:eastAsia="Arial" w:hAnsi="Arial"/>
          <w:sz w:val="17"/>
          <w:szCs w:val="17"/>
          <w:b w:val="1"/>
          <w:bCs w:val="1"/>
          <w:u w:val="single" w:color="auto"/>
          <w:color w:val="auto"/>
        </w:rPr>
        <w:t>Merger</w:t>
      </w:r>
      <w:r>
        <w:rPr>
          <w:rFonts w:ascii="Arial" w:cs="Arial" w:eastAsia="Arial" w:hAnsi="Arial"/>
          <w:sz w:val="17"/>
          <w:szCs w:val="17"/>
          <w:color w:val="auto"/>
        </w:rPr>
        <w:t>”), with Gemini surviving the Merger as a wholly-owned subsidiary of Company;</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WHEREAS, the Company and the Investors listed as Company Investors on Schedule I hereto (collectively, the “</w:t>
      </w:r>
      <w:r>
        <w:rPr>
          <w:rFonts w:ascii="Arial" w:cs="Arial" w:eastAsia="Arial" w:hAnsi="Arial"/>
          <w:sz w:val="18"/>
          <w:szCs w:val="18"/>
          <w:b w:val="1"/>
          <w:bCs w:val="1"/>
          <w:u w:val="single" w:color="auto"/>
          <w:color w:val="auto"/>
        </w:rPr>
        <w:t>Company Investors</w:t>
      </w:r>
      <w:r>
        <w:rPr>
          <w:rFonts w:ascii="Arial" w:cs="Arial" w:eastAsia="Arial" w:hAnsi="Arial"/>
          <w:sz w:val="18"/>
          <w:szCs w:val="18"/>
          <w:color w:val="auto"/>
        </w:rPr>
        <w:t>”) are parties to that certain Registration Rights Agreement, dated August 11, 2020 (the “</w:t>
      </w:r>
      <w:r>
        <w:rPr>
          <w:rFonts w:ascii="Arial" w:cs="Arial" w:eastAsia="Arial" w:hAnsi="Arial"/>
          <w:sz w:val="18"/>
          <w:szCs w:val="18"/>
          <w:b w:val="1"/>
          <w:bCs w:val="1"/>
          <w:u w:val="single" w:color="auto"/>
          <w:color w:val="auto"/>
        </w:rPr>
        <w:t>Prior Agreement</w:t>
      </w:r>
      <w:r>
        <w:rPr>
          <w:rFonts w:ascii="Arial" w:cs="Arial" w:eastAsia="Arial" w:hAnsi="Arial"/>
          <w:sz w:val="18"/>
          <w:szCs w:val="18"/>
          <w:color w:val="auto"/>
        </w:rPr>
        <w:t>”);</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Company and the Company Investors desire to terminate the Prior Agreement in its entirety and to accept the rights created pursuant to this Agreement in lieu of the rights granted to them under the Prior Agreement;</w:t>
      </w:r>
    </w:p>
    <w:p>
      <w:pPr>
        <w:spacing w:after="0" w:line="16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color w:val="auto"/>
        </w:rPr>
        <w:t>WHEREAS, the Company Investors and Gemini Investors listed on Schedule I hereto (“</w:t>
      </w:r>
      <w:r>
        <w:rPr>
          <w:rFonts w:ascii="Arial" w:cs="Arial" w:eastAsia="Arial" w:hAnsi="Arial"/>
          <w:sz w:val="17"/>
          <w:szCs w:val="17"/>
          <w:b w:val="1"/>
          <w:bCs w:val="1"/>
          <w:color w:val="auto"/>
        </w:rPr>
        <w:t>Gemini Investors</w:t>
      </w:r>
      <w:r>
        <w:rPr>
          <w:rFonts w:ascii="Arial" w:cs="Arial" w:eastAsia="Arial" w:hAnsi="Arial"/>
          <w:sz w:val="17"/>
          <w:szCs w:val="17"/>
          <w:color w:val="auto"/>
        </w:rPr>
        <w:t>”) have subscribed to purchase shares of Common Stock in the Private Placement (as defined in the Merger Agreement) in connection with the consummation of the Merger; and</w:t>
      </w:r>
    </w:p>
    <w:p>
      <w:pPr>
        <w:spacing w:after="0" w:line="14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left="660" w:right="4500" w:hanging="652"/>
        <w:spacing w:after="0" w:line="498" w:lineRule="auto"/>
        <w:tabs>
          <w:tab w:leader="none" w:pos="1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DEFINITIONS. The following capitalized terms used herein have the following meanings: “</w:t>
      </w:r>
      <w:r>
        <w:rPr>
          <w:rFonts w:ascii="Arial" w:cs="Arial" w:eastAsia="Arial" w:hAnsi="Arial"/>
          <w:sz w:val="18"/>
          <w:szCs w:val="18"/>
          <w:b w:val="1"/>
          <w:bCs w:val="1"/>
          <w:u w:val="single" w:color="auto"/>
          <w:color w:val="auto"/>
        </w:rPr>
        <w:t>Addendum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Agreement, as amended, restated, supplemented, or otherwise modified from time to time.</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 day other than a Saturday, Sunday or other day on which commercial banks in New York, New York are authorized or required by law to close.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Bylaws</w:t>
      </w:r>
      <w:r>
        <w:rPr>
          <w:rFonts w:ascii="Arial" w:cs="Arial" w:eastAsia="Arial" w:hAnsi="Arial"/>
          <w:sz w:val="18"/>
          <w:szCs w:val="18"/>
          <w:color w:val="auto"/>
        </w:rPr>
        <w:t>” means the bylaws of the Company, as amended, modified, supplemented or restated and in effect from time to time.</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Certificate</w:t>
      </w:r>
      <w:r>
        <w:rPr>
          <w:rFonts w:ascii="Arial" w:cs="Arial" w:eastAsia="Arial" w:hAnsi="Arial"/>
          <w:sz w:val="18"/>
          <w:szCs w:val="18"/>
          <w:color w:val="auto"/>
        </w:rPr>
        <w:t>” means the certificate of incorporation of the Company, as amended, modified, supplemented or restated and in effect from time to time, including any certificate of designation, correction or amendment filed with the Secretary of State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means the Securities and Exchange Commission, or any other Federal agency then administering the Securities Act or the Exchange 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common stock, par value $0.0001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Investors</w:t>
      </w:r>
      <w:r>
        <w:rPr>
          <w:rFonts w:ascii="Arial" w:cs="Arial" w:eastAsia="Arial" w:hAnsi="Arial"/>
          <w:sz w:val="18"/>
          <w:szCs w:val="18"/>
          <w:b w:val="1"/>
          <w:bCs w:val="1"/>
          <w:color w:val="auto"/>
        </w:rPr>
        <w:t>”</w:t>
      </w:r>
      <w:r>
        <w:rPr>
          <w:rFonts w:ascii="Arial" w:cs="Arial" w:eastAsia="Arial" w:hAnsi="Arial"/>
          <w:sz w:val="18"/>
          <w:szCs w:val="18"/>
          <w:color w:val="auto"/>
        </w:rPr>
        <w:t xml:space="preserve">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 Registration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Demanding Holder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Effectiveness Period</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and the rules and regulations of the Commission promulgated thereunder, all as the same shall be in effect at the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Form S-1</w:t>
      </w:r>
      <w:r>
        <w:rPr>
          <w:rFonts w:ascii="Arial" w:cs="Arial" w:eastAsia="Arial" w:hAnsi="Arial"/>
          <w:sz w:val="18"/>
          <w:szCs w:val="18"/>
          <w:color w:val="auto"/>
        </w:rPr>
        <w:t>” means a Registration Statement on Form S-1.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Form S-3</w:t>
      </w:r>
      <w:r>
        <w:rPr>
          <w:rFonts w:ascii="Arial" w:cs="Arial" w:eastAsia="Arial" w:hAnsi="Arial"/>
          <w:sz w:val="18"/>
          <w:szCs w:val="18"/>
          <w:color w:val="auto"/>
        </w:rPr>
        <w:t>” means a Registration Statement on Form S-3 or any similar short-form registration that may be available at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Gemini</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Gemini Investors</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Indemnifying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 and “Investors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 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Number of Shares</w:t>
      </w:r>
      <w:r>
        <w:rPr>
          <w:rFonts w:ascii="Arial" w:cs="Arial" w:eastAsia="Arial" w:hAnsi="Arial"/>
          <w:sz w:val="18"/>
          <w:szCs w:val="18"/>
          <w:color w:val="auto"/>
        </w:rPr>
        <w:t>” is defined in Section 2.2.4.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Merger</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Merger Agreement</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Merger Sub</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New Registration Statement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2.3.1</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Prior Agreement</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 Rata</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Register</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Registered</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Registration</w:t>
      </w:r>
      <w:r>
        <w:rPr>
          <w:rFonts w:ascii="Arial" w:cs="Arial" w:eastAsia="Arial" w:hAnsi="Arial"/>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Registrable Securities</w:t>
      </w:r>
      <w:r>
        <w:rPr>
          <w:rFonts w:ascii="Arial" w:cs="Arial" w:eastAsia="Arial" w:hAnsi="Arial"/>
          <w:sz w:val="16"/>
          <w:szCs w:val="16"/>
          <w:color w:val="auto"/>
        </w:rPr>
        <w:t>” means (i) the shares of Common Stock issued to the Investors in the Merger (including Escrow Shares (as defined in the Merger Agreement)), (ii) the shares of Common Stock held by the Company Investors, (iii) the shares of Common Stock issuable to the Investors in the Private Placement, and (iv) all shares of Common Stock issued to any Investor with respect to such securities referred to in clauses (i) – (iii) by way of any share split, share dividend or other distribution, recapitalization, share exchange, share reconstruction, amalgamation, contractual control arrangement or similar event.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or (c) such securities shall have ceased to be outstanding.</w:t>
      </w:r>
    </w:p>
    <w:p>
      <w:pPr>
        <w:spacing w:after="0" w:line="16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 Statement</w:t>
      </w:r>
      <w:r>
        <w:rPr>
          <w:rFonts w:ascii="Arial" w:cs="Arial" w:eastAsia="Arial" w:hAnsi="Arial"/>
          <w:sz w:val="17"/>
          <w:szCs w:val="17"/>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Resale Shelf Registration Statement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Requesting Holder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 Guidance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 and the rules and regulations of the Commission promulgated thereunder, all as the same shall be in effect at the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Selling Holders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2.1.5(a)(ii)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Subsequent Shelf Registration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means to (i) sell, offer to sell, contract or agree to sell, hypothecate, pledge, grant any option to purchase, make any short sale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Common Stock, or any options or warrants to purchase any shares of Common Stock or any securities convertible into, exchangeable for or that represent the right to receive shares of Common Stock, (ii) enter into any swap or hedging or other arrangement which is designed to or which reasonably could be expected to lead to or result in a sale or disposition of the shares of Common Stock, or that transfers to another, in whole or in part, any of the economic consequences of ownership of any Common Stock, whether any such transaction is to be settled by delivery of such securities, in cash or otherwise, or (iii) publicly announce any intention to effect any transaction, including the filing of a registration statement specified in clause (i) or (ii). Notwithstanding the foregoing, a Transfer shall not be deemed to include any transfer for no consideration if the donee, trustee, heir or other transferee has agreed in writing to be bound by the same terms under this Agreement to the extent and for the duration that such terms remain in effect at the time of the Transfer.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Underwritten Takedown</w:t>
      </w:r>
      <w:r>
        <w:rPr>
          <w:rFonts w:ascii="Arial" w:cs="Arial" w:eastAsia="Arial" w:hAnsi="Arial"/>
          <w:sz w:val="18"/>
          <w:szCs w:val="18"/>
          <w:color w:val="auto"/>
        </w:rPr>
        <w:t>” shall mean an underwritten public offering of Registrable Securities pursuant to the Resale Shelf Registration Statement, as amended or supplemented.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Underwritten Demand Registration</w:t>
      </w:r>
      <w:r>
        <w:rPr>
          <w:rFonts w:ascii="Arial" w:cs="Arial" w:eastAsia="Arial" w:hAnsi="Arial"/>
          <w:sz w:val="18"/>
          <w:szCs w:val="18"/>
          <w:color w:val="auto"/>
        </w:rPr>
        <w:t>” shall mean an underwritten public offering of Registrable Securities pursuant to a Demand Registration, as amended or supplemented.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2. REGISTRATION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Resale Shelf Registration Rights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Registration Statement Covering Resale of Registrable Securities</w:t>
      </w:r>
      <w:r>
        <w:rPr>
          <w:rFonts w:ascii="Arial" w:cs="Arial" w:eastAsia="Arial" w:hAnsi="Arial"/>
          <w:sz w:val="16"/>
          <w:szCs w:val="16"/>
          <w:color w:val="auto"/>
        </w:rPr>
        <w:t>. The Company shall prepare and file or cause to be prepared and filed with the Commission as soon as practicable after the Closing Date (as such term is defined in the Merger Agreement), but in any event no later than 30 calendar days after the Closing Date (the “</w:t>
      </w:r>
      <w:r>
        <w:rPr>
          <w:rFonts w:ascii="Arial" w:cs="Arial" w:eastAsia="Arial" w:hAnsi="Arial"/>
          <w:sz w:val="16"/>
          <w:szCs w:val="16"/>
          <w:b w:val="1"/>
          <w:bCs w:val="1"/>
          <w:u w:val="single" w:color="auto"/>
          <w:color w:val="auto"/>
        </w:rPr>
        <w:t>Filing Date</w:t>
      </w:r>
      <w:r>
        <w:rPr>
          <w:rFonts w:ascii="Arial" w:cs="Arial" w:eastAsia="Arial" w:hAnsi="Arial"/>
          <w:sz w:val="16"/>
          <w:szCs w:val="16"/>
          <w:color w:val="auto"/>
        </w:rPr>
        <w:t>”), a Registration Statement for an offering to be made on a continuous basis pursuant to Rule 415 of the Securities Act registering the resale from time to time by Investors of all of the Registrable Securities then held by such Investors that are not covered by an effective registration statement on the Filing Date (the “</w:t>
      </w:r>
      <w:r>
        <w:rPr>
          <w:rFonts w:ascii="Arial" w:cs="Arial" w:eastAsia="Arial" w:hAnsi="Arial"/>
          <w:sz w:val="16"/>
          <w:szCs w:val="16"/>
          <w:b w:val="1"/>
          <w:bCs w:val="1"/>
          <w:u w:val="single" w:color="auto"/>
          <w:color w:val="auto"/>
        </w:rPr>
        <w:t>Resale Shelf Registration Statement</w:t>
      </w:r>
      <w:r>
        <w:rPr>
          <w:rFonts w:ascii="Arial" w:cs="Arial" w:eastAsia="Arial" w:hAnsi="Arial"/>
          <w:sz w:val="16"/>
          <w:szCs w:val="16"/>
          <w:color w:val="auto"/>
        </w:rPr>
        <w:t>”). The Resale Shelf Registration Statement shall be on Form S-3 or another appropriate form permitting Registration of such Registrable Securities for resale by such Investors. The Company shall use reasonable best efforts to cause the Resale Shelf Registration Statement to be declared effective as soon as possible after filing, and once effective, to keep the Resale Shelf Registration Statement continuously effective under the Securities Act at all times until the expiration of the Effectiveness Period.</w:t>
      </w:r>
    </w:p>
    <w:p>
      <w:pPr>
        <w:spacing w:after="0" w:line="16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Notification and Distribution of Materials</w:t>
      </w:r>
      <w:r>
        <w:rPr>
          <w:rFonts w:ascii="Arial" w:cs="Arial" w:eastAsia="Arial" w:hAnsi="Arial"/>
          <w:sz w:val="16"/>
          <w:szCs w:val="16"/>
          <w:color w:val="auto"/>
        </w:rPr>
        <w:t>. The Company shall notify the Investors in writing of the effectiveness of the Resale Shelf Registration Statement and shall furnish to them, without charge, such number of copies of the Resale Shelf Registration Statement (including any amendments, supplements and exhibits), the Prospectus contained therein (including each preliminary prospectus and all related amendments and supplements) and any documents incorporated by reference in the Resale Shelf Registration Statement or such other documents as the Investors may reasonably request in order to facilitate the sale of the Registrable Securities in the manner described in the Resale Shelf Registration Statement.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296"/>
        <w:spacing w:after="0" w:line="289"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Amendments and Supplements; Subsequent Shelf Registration</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above, the Company shall promptly prepare and file with 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during the Effectiveness Period, or to file an additional Registration Statement as a shelf registration (a “</w:t>
      </w:r>
      <w:r>
        <w:rPr>
          <w:rFonts w:ascii="Arial" w:cs="Arial" w:eastAsia="Arial" w:hAnsi="Arial"/>
          <w:sz w:val="16"/>
          <w:szCs w:val="16"/>
          <w:u w:val="single" w:color="auto"/>
          <w:color w:val="auto"/>
        </w:rPr>
        <w:t>Subsequent Shelf Registration</w:t>
      </w:r>
      <w:r>
        <w:rPr>
          <w:rFonts w:ascii="Arial" w:cs="Arial" w:eastAsia="Arial" w:hAnsi="Arial"/>
          <w:sz w:val="16"/>
          <w:szCs w:val="16"/>
          <w:color w:val="auto"/>
        </w:rPr>
        <w:t>”) registering the resale of all outstanding Registrable Securities from time to time, and pursuant to any method or combination of methods legally available to, and requested by, any holder. If a Subsequent Shelf Registration is filed, the Company shall use its reasonable best efforts to (i) cause such Subsequent Shelf Registration to become effective under the Securities Act as promptly as is reasonably practicable after the filing thereof and (ii) keep such Subsequent Shelf Registration continuously effective and to comply with the provisions of the Securities Act with respect to the disposition of all the Registrable Securities at all times during the Effectiveness Period.</w:t>
      </w:r>
    </w:p>
    <w:p>
      <w:pPr>
        <w:spacing w:after="0" w:line="166"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2.1.4 Notwithstanding the registration obligations set forth in this </w:t>
      </w:r>
      <w:r>
        <w:rPr>
          <w:rFonts w:ascii="Arial" w:cs="Arial" w:eastAsia="Arial" w:hAnsi="Arial"/>
          <w:sz w:val="16"/>
          <w:szCs w:val="16"/>
          <w:u w:val="single" w:color="auto"/>
          <w:color w:val="auto"/>
        </w:rPr>
        <w:t>Section 2.1</w:t>
      </w:r>
      <w:r>
        <w:rPr>
          <w:rFonts w:ascii="Arial" w:cs="Arial" w:eastAsia="Arial" w:hAnsi="Arial"/>
          <w:sz w:val="16"/>
          <w:szCs w:val="16"/>
          <w:color w:val="auto"/>
        </w:rPr>
        <w:t>,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Arial" w:cs="Arial" w:eastAsia="Arial" w:hAnsi="Arial"/>
          <w:sz w:val="16"/>
          <w:szCs w:val="16"/>
          <w:b w:val="1"/>
          <w:bCs w:val="1"/>
          <w:u w:val="single" w:color="auto"/>
          <w:color w:val="auto"/>
        </w:rPr>
        <w:t>New Registration Statement</w:t>
      </w:r>
      <w:r>
        <w:rPr>
          <w:rFonts w:ascii="Arial" w:cs="Arial" w:eastAsia="Arial" w:hAnsi="Arial"/>
          <w:sz w:val="16"/>
          <w:szCs w:val="16"/>
          <w:color w:val="auto"/>
        </w:rPr>
        <w:t>”), in either case covering the maximum number of Registrable Securities permitted to be registered by the Commission, on Form S-3 or such other form available to register for resale the Registrable Securities as a secondary offering; provided, however, that prior to filing such amendment or New Registration Statement, the Company shall be obligated to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Arial" w:cs="Arial" w:eastAsia="Arial" w:hAnsi="Arial"/>
          <w:sz w:val="16"/>
          <w:szCs w:val="16"/>
          <w:b w:val="1"/>
          <w:bCs w:val="1"/>
          <w:u w:val="single" w:color="auto"/>
          <w:color w:val="auto"/>
        </w:rPr>
        <w:t>SEC Guidance</w:t>
      </w:r>
      <w:r>
        <w:rPr>
          <w:rFonts w:ascii="Arial" w:cs="Arial" w:eastAsia="Arial" w:hAnsi="Arial"/>
          <w:sz w:val="16"/>
          <w:szCs w:val="16"/>
          <w:color w:val="auto"/>
        </w:rPr>
        <w:t>”), including without limitation, the Manual of Publicly Available Telephone Interpretations D.29. Notwithstanding any other provision of this Agreement, if any SEC Guidance sets forth a limitation of the number of Registrable Securities permitted to be registered on a particular Registration Statement as a secondary offering (and notwithstanding that the Company used commercially reasonable efforts to advocate with the Commission for the registration of all or a greater number of Registrable Securities), unless otherwise directed in writing by a holder as to its Registrable Securities, the number of Registrable Securities to be registered on such Registration Statement will be reduced on a pro rata basis based on the total number of Registrable Securities held by the Investors, subject to a determination by the Commission that certain Investors must be reduced first based on the number of Registrable Securities held by such Investors. In the event the Company amends the Resale Shelf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firstLine="1296"/>
        <w:spacing w:after="0" w:line="257"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The Company shall promptly notify the Investors in writing of any request by the Commission for any amendment or supplement to, or additional information in connection with, the Resale Shelf Registration Statement required to be prepared and filed hereunder (or Prospectus relating thereto). The Company shall promptly notify each Investor in writing of the filing of the Resale Shelf Registration Statement or any Prospectus, amendment or supplement related thereto or any post-effective amendment to the Resale Shelf Registration Statement and the effectiveness of any post-effective amendment.</w:t>
      </w:r>
    </w:p>
    <w:p>
      <w:pPr>
        <w:spacing w:after="0" w:line="188" w:lineRule="exact"/>
        <w:rPr>
          <w:sz w:val="20"/>
          <w:szCs w:val="20"/>
          <w:color w:val="auto"/>
        </w:rPr>
      </w:pPr>
    </w:p>
    <w:p>
      <w:pPr>
        <w:jc w:val="both"/>
        <w:ind w:firstLine="1952"/>
        <w:spacing w:after="0" w:line="255" w:lineRule="auto"/>
        <w:tabs>
          <w:tab w:leader="none" w:pos="2188"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Company shall receive a request from the holders of Registrable Securities with an estimated market value of at least $5,000,000 (the requesting holder(s) shall be referred to herein as the “</w:t>
      </w:r>
      <w:r>
        <w:rPr>
          <w:rFonts w:ascii="Arial" w:cs="Arial" w:eastAsia="Arial" w:hAnsi="Arial"/>
          <w:sz w:val="18"/>
          <w:szCs w:val="18"/>
          <w:b w:val="1"/>
          <w:bCs w:val="1"/>
          <w:u w:val="single" w:color="auto"/>
          <w:color w:val="auto"/>
        </w:rPr>
        <w:t>Requesting Holder(s)</w:t>
      </w:r>
      <w:r>
        <w:rPr>
          <w:rFonts w:ascii="Arial" w:cs="Arial" w:eastAsia="Arial" w:hAnsi="Arial"/>
          <w:sz w:val="18"/>
          <w:szCs w:val="18"/>
          <w:color w:val="auto"/>
        </w:rPr>
        <w:t>”) that the Company effect the Underwritten Takedown of all or any portion of the Requesting Holder’s Registrable Securities, and specifying the intended method of disposition thereof, then the Company shall promptly give notice of such requested Underwritten Takedown at least ten (10) Business Days prior to the anticipated filing date of the prospectus or supplement relating to such Underwritten Takedown to the other Investors and thereupon shall use its reasonable best efforts to effect, as expeditiously as possible, the offering in such Underwritten Takedown of:</w:t>
      </w:r>
    </w:p>
    <w:p>
      <w:pPr>
        <w:spacing w:after="0" w:line="192" w:lineRule="exact"/>
        <w:rPr>
          <w:rFonts w:ascii="Arial" w:cs="Arial" w:eastAsia="Arial" w:hAnsi="Arial"/>
          <w:sz w:val="18"/>
          <w:szCs w:val="18"/>
          <w:color w:val="auto"/>
        </w:rPr>
      </w:pPr>
    </w:p>
    <w:p>
      <w:pPr>
        <w:ind w:firstLine="2600"/>
        <w:spacing w:after="0" w:line="277" w:lineRule="auto"/>
        <w:tabs>
          <w:tab w:leader="none" w:pos="2807"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subject to the restrictions set forth in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all Registrable Securities for which the Requesting Holder has requested such offering under </w:t>
      </w:r>
      <w:r>
        <w:rPr>
          <w:rFonts w:ascii="Arial" w:cs="Arial" w:eastAsia="Arial" w:hAnsi="Arial"/>
          <w:sz w:val="18"/>
          <w:szCs w:val="18"/>
          <w:u w:val="single" w:color="auto"/>
          <w:color w:val="auto"/>
        </w:rPr>
        <w:t>Section 2.1.5(a)</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right="20" w:firstLine="2600"/>
        <w:spacing w:after="0" w:line="301" w:lineRule="auto"/>
        <w:tabs>
          <w:tab w:leader="none" w:pos="2857"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subject to the restrictions set forth in </w:t>
      </w:r>
      <w:r>
        <w:rPr>
          <w:rFonts w:ascii="Arial" w:cs="Arial" w:eastAsia="Arial" w:hAnsi="Arial"/>
          <w:sz w:val="16"/>
          <w:szCs w:val="16"/>
          <w:u w:val="single" w:color="auto"/>
          <w:color w:val="auto"/>
        </w:rPr>
        <w:t>Section 2.2.4</w:t>
      </w:r>
      <w:r>
        <w:rPr>
          <w:rFonts w:ascii="Arial" w:cs="Arial" w:eastAsia="Arial" w:hAnsi="Arial"/>
          <w:sz w:val="16"/>
          <w:szCs w:val="16"/>
          <w:color w:val="auto"/>
        </w:rPr>
        <w:t>, all other Registrable Securities that any holders of Registrable Securities (all such holders, together with the Requesting Holder, the “</w:t>
      </w:r>
      <w:r>
        <w:rPr>
          <w:rFonts w:ascii="Arial" w:cs="Arial" w:eastAsia="Arial" w:hAnsi="Arial"/>
          <w:sz w:val="16"/>
          <w:szCs w:val="16"/>
          <w:b w:val="1"/>
          <w:bCs w:val="1"/>
          <w:u w:val="single" w:color="auto"/>
          <w:color w:val="auto"/>
        </w:rPr>
        <w:t>Selling Holders</w:t>
      </w:r>
      <w:r>
        <w:rPr>
          <w:rFonts w:ascii="Arial" w:cs="Arial" w:eastAsia="Arial" w:hAnsi="Arial"/>
          <w:sz w:val="16"/>
          <w:szCs w:val="16"/>
          <w:color w:val="auto"/>
        </w:rPr>
        <w:t>”) have requested the Company to offer by request received by the Company within seven Business Days after such holders receive the Company’s notice of the Underwritten Takedown, all to the extent necessary to permit the disposition (in accordance with the intended methods thereof as aforesaid) of the Registrable Securities so to be offered.</w:t>
      </w:r>
    </w:p>
    <w:p>
      <w:pPr>
        <w:spacing w:after="0" w:line="157" w:lineRule="exact"/>
        <w:rPr>
          <w:rFonts w:ascii="Arial" w:cs="Arial" w:eastAsia="Arial" w:hAnsi="Arial"/>
          <w:sz w:val="16"/>
          <w:szCs w:val="16"/>
          <w:color w:val="auto"/>
        </w:rPr>
      </w:pPr>
    </w:p>
    <w:p>
      <w:pPr>
        <w:ind w:firstLine="1952"/>
        <w:spacing w:after="0" w:line="308" w:lineRule="auto"/>
        <w:tabs>
          <w:tab w:leader="none" w:pos="2199"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Promptly after the expiration of the seven-Business Day-period referred to in </w:t>
      </w:r>
      <w:r>
        <w:rPr>
          <w:rFonts w:ascii="Arial" w:cs="Arial" w:eastAsia="Arial" w:hAnsi="Arial"/>
          <w:sz w:val="17"/>
          <w:szCs w:val="17"/>
          <w:u w:val="single" w:color="auto"/>
          <w:color w:val="auto"/>
        </w:rPr>
        <w:t>Section 2.1.5(a)(ii)</w:t>
      </w:r>
      <w:r>
        <w:rPr>
          <w:rFonts w:ascii="Arial" w:cs="Arial" w:eastAsia="Arial" w:hAnsi="Arial"/>
          <w:sz w:val="17"/>
          <w:szCs w:val="17"/>
          <w:color w:val="auto"/>
        </w:rPr>
        <w:t>, the Company will notify all Selling Holders of the identities of the other Selling Holders and the number of shares of Registrable Securities requested to be included therein.</w:t>
      </w:r>
    </w:p>
    <w:p>
      <w:pPr>
        <w:spacing w:after="0" w:line="146" w:lineRule="exact"/>
        <w:rPr>
          <w:rFonts w:ascii="Arial" w:cs="Arial" w:eastAsia="Arial" w:hAnsi="Arial"/>
          <w:sz w:val="17"/>
          <w:szCs w:val="17"/>
          <w:color w:val="auto"/>
        </w:rPr>
      </w:pPr>
    </w:p>
    <w:p>
      <w:pPr>
        <w:jc w:val="both"/>
        <w:ind w:firstLine="1952"/>
        <w:spacing w:after="0" w:line="311" w:lineRule="auto"/>
        <w:tabs>
          <w:tab w:leader="none" w:pos="2188"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Company shall only be required to effectuate: (i) one Underwritten Takedown within any six-month period; (ii) no more than 2 Underwritten Takedowns in respect of all Registrable Securities held by the Company Investors after giving effect to </w:t>
      </w:r>
      <w:r>
        <w:rPr>
          <w:rFonts w:ascii="Arial" w:cs="Arial" w:eastAsia="Arial" w:hAnsi="Arial"/>
          <w:sz w:val="16"/>
          <w:szCs w:val="16"/>
          <w:u w:val="single" w:color="auto"/>
          <w:color w:val="auto"/>
        </w:rPr>
        <w:t>Section 2.2.1(c)</w:t>
      </w:r>
      <w:r>
        <w:rPr>
          <w:rFonts w:ascii="Arial" w:cs="Arial" w:eastAsia="Arial" w:hAnsi="Arial"/>
          <w:sz w:val="16"/>
          <w:szCs w:val="16"/>
          <w:color w:val="auto"/>
        </w:rPr>
        <w:t xml:space="preserve">; and (iii) no more than 2 Underwritten Takedowns in respect of all Registrable Securities held by Gemini Investors after giving effect to </w:t>
      </w:r>
      <w:r>
        <w:rPr>
          <w:rFonts w:ascii="Arial" w:cs="Arial" w:eastAsia="Arial" w:hAnsi="Arial"/>
          <w:sz w:val="16"/>
          <w:szCs w:val="16"/>
          <w:u w:val="single" w:color="auto"/>
          <w:color w:val="auto"/>
        </w:rPr>
        <w:t>Section 2.2.1(d)</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jc w:val="both"/>
        <w:ind w:firstLine="1952"/>
        <w:spacing w:after="0" w:line="255" w:lineRule="auto"/>
        <w:tabs>
          <w:tab w:leader="none" w:pos="2199"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managing underwriter in an Underwritten Takedown advises the Company and the Requesting Holder that, in its view, the number of shares of Registrable Securities requested to be included in such underwritten offering exceeds the largest number of shares that can be sold without having an adverse effect on such offering, including the price at which such shares can be sold, the shares included in such Underwritten Takedown will be reduced by the Registrable Securities held by the Selling Holders (applied on a pro rata basis based on the total number of Registrable Securities held by such Investors, subject to a determination by the Commission that certain Investors must be reduced first based on the number of Registrable Securities held by such Investors).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1296"/>
        <w:spacing w:after="0" w:line="293"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u w:val="single" w:color="auto"/>
          <w:color w:val="auto"/>
        </w:rPr>
        <w:t>Selection of Underwriters</w:t>
      </w:r>
      <w:r>
        <w:rPr>
          <w:rFonts w:ascii="Arial" w:cs="Arial" w:eastAsia="Arial" w:hAnsi="Arial"/>
          <w:sz w:val="16"/>
          <w:szCs w:val="16"/>
          <w:color w:val="auto"/>
        </w:rPr>
        <w:t>. Selling Holders holding a majority in interest of the Registrable Securities requested to be sold in an Underwritten Takedown shall have the right to select an Underwriter or Underwriters in connection with such Underwritten Takedown, which Underwriter or Underwriters shall be reasonably acceptable to the Company. In connection with an Underwritten Takedown, the Company shall enter into customary agreements (including an underwriting agreement in customary form) and take such other actions as are reasonably required in order to expedite or facilitate the disposition of the Registrable Securities in such Underwritten Takedown, including, if necessary, the engagement of a “qualified independent underwriter” in connection with the qualification of the underwriting arrangements with the Financial Industry Regulatory Authority, Inc.</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2.1.7 Registrations effected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shall not be counted as Demand Registrations effected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xml:space="preserve">. At any time and from time to time after the expiration of a lock-up to which such shares are subject, if any, (i) Company Investors who hold a majority in interest of the Registrable Securities held by all Company Investors or (ii) Gemini Investors who hold at least a majority of the Registrable Securities held by all Gemini Investors, as the case may be, may make a written demand for Registration under the Securities Act of all or any portion of their Registrable Securities on Form S-1 or any similar long-form Registration or, if then available, on Form S-3. Each registration requested pursuant to this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is referred to herein as a “</w:t>
      </w:r>
      <w:r>
        <w:rPr>
          <w:rFonts w:ascii="Arial" w:cs="Arial" w:eastAsia="Arial" w:hAnsi="Arial"/>
          <w:sz w:val="16"/>
          <w:szCs w:val="16"/>
          <w:b w:val="1"/>
          <w:bCs w:val="1"/>
          <w:u w:val="single" w:color="auto"/>
          <w:color w:val="auto"/>
        </w:rPr>
        <w:t>Demand Registration</w:t>
      </w:r>
      <w:r>
        <w:rPr>
          <w:rFonts w:ascii="Arial" w:cs="Arial" w:eastAsia="Arial" w:hAnsi="Arial"/>
          <w:sz w:val="16"/>
          <w:szCs w:val="16"/>
          <w:color w:val="auto"/>
        </w:rPr>
        <w:t>”. Any demand for a Demand Registration shall specify the number of shares of Registrable Securities proposed to be sold and the intended method(s) of distribution thereof. The Company will notify all Investors that are holders of Registrable Securities of the demand, and each such holder of Registrable Securities who wishes to include all or a portion of such holder’s Registrable Securities in the Demand Registration (each such holder including shares of Registrable Securities in such registration, a “</w:t>
      </w:r>
      <w:r>
        <w:rPr>
          <w:rFonts w:ascii="Arial" w:cs="Arial" w:eastAsia="Arial" w:hAnsi="Arial"/>
          <w:sz w:val="16"/>
          <w:szCs w:val="16"/>
          <w:b w:val="1"/>
          <w:bCs w:val="1"/>
          <w:u w:val="single" w:color="auto"/>
          <w:color w:val="auto"/>
        </w:rPr>
        <w:t>Demanding Holder</w:t>
      </w:r>
      <w:r>
        <w:rPr>
          <w:rFonts w:ascii="Arial" w:cs="Arial" w:eastAsia="Arial" w:hAnsi="Arial"/>
          <w:sz w:val="16"/>
          <w:szCs w:val="16"/>
          <w:color w:val="auto"/>
        </w:rPr>
        <w:t xml:space="preserve">”) shall so notify the Company within fifteen (15) days after the receipt by the holder of the notice from the Company. Upon any such request, the Demanding Holders shall be entitled to have their Registrable Securities included in the Demand Registration, subject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and the provisos set forth in </w:t>
      </w:r>
      <w:r>
        <w:rPr>
          <w:rFonts w:ascii="Arial" w:cs="Arial" w:eastAsia="Arial" w:hAnsi="Arial"/>
          <w:sz w:val="16"/>
          <w:szCs w:val="16"/>
          <w:u w:val="single" w:color="auto"/>
          <w:color w:val="auto"/>
        </w:rPr>
        <w:t>Section 3.1.1</w:t>
      </w:r>
      <w:r>
        <w:rPr>
          <w:rFonts w:ascii="Arial" w:cs="Arial" w:eastAsia="Arial" w:hAnsi="Arial"/>
          <w:sz w:val="16"/>
          <w:szCs w:val="16"/>
          <w:color w:val="auto"/>
        </w:rPr>
        <w:t>. The Company shall not be obligated to effect: (a) more than one (1) Demand Registration during any six-month period;</w:t>
      </w:r>
    </w:p>
    <w:p>
      <w:pPr>
        <w:spacing w:after="0" w:line="4" w:lineRule="exact"/>
        <w:rPr>
          <w:sz w:val="20"/>
          <w:szCs w:val="20"/>
          <w:color w:val="auto"/>
        </w:rPr>
      </w:pPr>
    </w:p>
    <w:p>
      <w:pPr>
        <w:jc w:val="both"/>
        <w:ind w:firstLine="8"/>
        <w:spacing w:after="0" w:line="281" w:lineRule="auto"/>
        <w:tabs>
          <w:tab w:leader="none" w:pos="259"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any Demand Registration at any time there is an effective Resale Shelf Registration Statement on file with the Commission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(c) more than 2 Underwritten Demand Registrations in respect of all Registrable Securities held by the Company Investors, each of which will also count as an Underwritten Takedown of the Company Investors under </w:t>
      </w:r>
      <w:r>
        <w:rPr>
          <w:rFonts w:ascii="Arial" w:cs="Arial" w:eastAsia="Arial" w:hAnsi="Arial"/>
          <w:sz w:val="16"/>
          <w:szCs w:val="16"/>
          <w:u w:val="single" w:color="auto"/>
          <w:color w:val="auto"/>
        </w:rPr>
        <w:t>Section 2.1.5(c)(ii)</w:t>
      </w:r>
      <w:r>
        <w:rPr>
          <w:rFonts w:ascii="Arial" w:cs="Arial" w:eastAsia="Arial" w:hAnsi="Arial"/>
          <w:sz w:val="16"/>
          <w:szCs w:val="16"/>
          <w:color w:val="auto"/>
        </w:rPr>
        <w:t xml:space="preserve">; or (d) more than 2 Underwritten Demand Registrations in respect of all Registrable Securities held by Gemini Investors, each of which will also count as an Underwritten Takedown of Gemini Investors under </w:t>
      </w:r>
      <w:r>
        <w:rPr>
          <w:rFonts w:ascii="Arial" w:cs="Arial" w:eastAsia="Arial" w:hAnsi="Arial"/>
          <w:sz w:val="16"/>
          <w:szCs w:val="16"/>
          <w:u w:val="single" w:color="auto"/>
          <w:color w:val="auto"/>
        </w:rPr>
        <w:t>Section 2.1.5(c)</w:t>
      </w:r>
    </w:p>
    <w:p>
      <w:pPr>
        <w:spacing w:after="0" w:line="2" w:lineRule="exact"/>
        <w:rPr>
          <w:rFonts w:ascii="Arial" w:cs="Arial" w:eastAsia="Arial" w:hAnsi="Arial"/>
          <w:sz w:val="16"/>
          <w:szCs w:val="16"/>
          <w:color w:val="auto"/>
        </w:rPr>
      </w:pPr>
    </w:p>
    <w:p>
      <w:pPr>
        <w:spacing w:after="0"/>
        <w:tabs>
          <w:tab w:leader="none" w:pos="0" w:val="left"/>
        </w:tabs>
        <w:numPr>
          <w:ilvl w:val="0"/>
          <w:numId w:val="38"/>
        </w:numPr>
        <w:rPr>
          <w:rFonts w:ascii="Arial" w:cs="Arial" w:eastAsia="Arial" w:hAnsi="Arial"/>
          <w:sz w:val="18"/>
          <w:szCs w:val="18"/>
          <w:u w:val="single" w:color="auto"/>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firstLine="1296"/>
        <w:spacing w:after="0" w:line="271"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17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If the Demanding Holders so elect and such holders so advise the Company as part of their written demand for a Demand Registration, the offering of such Registrable Securities pursuant to such Demand Registration shall be in the form of an underwritten offering with an estimated market value of at least $10,000,000.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the holders initiating the Demand Registration, and subject to the approval of the Company.</w:t>
      </w:r>
    </w:p>
    <w:p>
      <w:pPr>
        <w:spacing w:after="0" w:line="19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2.2.4 </w:t>
      </w:r>
      <w:r>
        <w:rPr>
          <w:rFonts w:ascii="Arial" w:cs="Arial" w:eastAsia="Arial" w:hAnsi="Arial"/>
          <w:sz w:val="17"/>
          <w:szCs w:val="17"/>
          <w:u w:val="single" w:color="auto"/>
          <w:color w:val="auto"/>
        </w:rPr>
        <w:t>Reduction of Offering</w:t>
      </w:r>
      <w:r>
        <w:rPr>
          <w:rFonts w:ascii="Arial" w:cs="Arial" w:eastAsia="Arial" w:hAnsi="Arial"/>
          <w:sz w:val="17"/>
          <w:szCs w:val="17"/>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Common Stock or other securities which the Company desires to sell and the Common Stock, if any, as to which registration has been requested pursuant to written contractual piggy-back registration rights held by other shareholders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Arial" w:cs="Arial" w:eastAsia="Arial" w:hAnsi="Arial"/>
          <w:sz w:val="17"/>
          <w:szCs w:val="17"/>
          <w:b w:val="1"/>
          <w:bCs w:val="1"/>
          <w:u w:val="single" w:color="auto"/>
          <w:color w:val="auto"/>
        </w:rPr>
        <w:t>Maximum Number of Shares</w:t>
      </w:r>
      <w:r>
        <w:rPr>
          <w:rFonts w:ascii="Arial" w:cs="Arial" w:eastAsia="Arial" w:hAnsi="Arial"/>
          <w:sz w:val="17"/>
          <w:szCs w:val="17"/>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Arial" w:cs="Arial" w:eastAsia="Arial" w:hAnsi="Arial"/>
          <w:sz w:val="17"/>
          <w:szCs w:val="17"/>
          <w:b w:val="1"/>
          <w:bCs w:val="1"/>
          <w:u w:val="single" w:color="auto"/>
          <w:color w:val="auto"/>
        </w:rPr>
        <w:t>Pro Rata</w:t>
      </w:r>
      <w:r>
        <w:rPr>
          <w:rFonts w:ascii="Arial" w:cs="Arial" w:eastAsia="Arial" w:hAnsi="Arial"/>
          <w:sz w:val="17"/>
          <w:szCs w:val="17"/>
          <w:color w:val="auto"/>
        </w:rPr>
        <w:t>”)) that can be sold without exceeding the Maximum Number of Shares; (ii) second, to the extent that the Maximum Number of Shares has not been reached under the foregoing clause (i), the Common Stock or other securities that the Company desires to sell that can be sold without exceeding the Maximum Number of Shares; (iii) third, to the extent that the Maximum Number of Shares has not been reached under the foregoing clauses (i) and (ii), the Common Stock or other securities for the account of other persons that the Company is obligated to register pursuant to written contractual arrangements with such persons, as to which “piggy-back” registration has been requested by the holders thereof, Pro Rata, that can be sold without exceeding the Maximum Number of Shares.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1296"/>
        <w:spacing w:after="0" w:line="275" w:lineRule="auto"/>
        <w:rPr>
          <w:sz w:val="20"/>
          <w:szCs w:val="20"/>
          <w:color w:val="auto"/>
        </w:rPr>
      </w:pPr>
      <w:r>
        <w:rPr>
          <w:rFonts w:ascii="Arial" w:cs="Arial" w:eastAsia="Arial" w:hAnsi="Arial"/>
          <w:sz w:val="17"/>
          <w:szCs w:val="17"/>
          <w:color w:val="auto"/>
        </w:rPr>
        <w:t xml:space="preserve">2.2.5 </w:t>
      </w:r>
      <w:r>
        <w:rPr>
          <w:rFonts w:ascii="Arial" w:cs="Arial" w:eastAsia="Arial" w:hAnsi="Arial"/>
          <w:sz w:val="17"/>
          <w:szCs w:val="17"/>
          <w:u w:val="single" w:color="auto"/>
          <w:color w:val="auto"/>
        </w:rPr>
        <w:t>Withdrawal</w:t>
      </w:r>
      <w:r>
        <w:rPr>
          <w:rFonts w:ascii="Arial" w:cs="Arial" w:eastAsia="Arial" w:hAnsi="Arial"/>
          <w:sz w:val="17"/>
          <w:szCs w:val="17"/>
          <w:color w:val="auto"/>
        </w:rPr>
        <w:t xml:space="preserve">. A Demanding Holder shall have the right to withdraw all or any portion of its Registrable Securities included in an Underwritten Offering pursuant to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for any reason or no reason whatsoever upon written notice to the Company and the Underwriter or Underwriters of its intention to withdraw from such Underwritten Offering prior to the pricing of such Underwritten Offering and such withdrawn amount shall no longer be considered an Underwritten Offering. Notwithstanding anything to the contrary in this Agreement, the Company shall be responsible for the registration expenses incurred in connection with an Underwritten Offering prior to its withdrawal under this </w:t>
      </w:r>
      <w:r>
        <w:rPr>
          <w:rFonts w:ascii="Arial" w:cs="Arial" w:eastAsia="Arial" w:hAnsi="Arial"/>
          <w:sz w:val="17"/>
          <w:szCs w:val="17"/>
          <w:u w:val="single" w:color="auto"/>
          <w:color w:val="auto"/>
        </w:rPr>
        <w:t>Section 2.2.5</w:t>
      </w:r>
      <w:r>
        <w:rPr>
          <w:rFonts w:ascii="Arial" w:cs="Arial" w:eastAsia="Arial" w:hAnsi="Arial"/>
          <w:sz w:val="17"/>
          <w:szCs w:val="17"/>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If at any time after the first anniversary of the date of this Agreement,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w:t>
      </w:r>
    </w:p>
    <w:p>
      <w:pPr>
        <w:spacing w:after="0" w:line="2" w:lineRule="exact"/>
        <w:rPr>
          <w:sz w:val="20"/>
          <w:szCs w:val="20"/>
          <w:color w:val="auto"/>
        </w:rPr>
      </w:pPr>
    </w:p>
    <w:p>
      <w:pPr>
        <w:jc w:val="both"/>
        <w:ind w:firstLine="8"/>
        <w:spacing w:after="0" w:line="285" w:lineRule="auto"/>
        <w:tabs>
          <w:tab w:leader="none" w:pos="364" w:val="left"/>
        </w:tabs>
        <w:numPr>
          <w:ilvl w:val="0"/>
          <w:numId w:val="39"/>
        </w:numPr>
        <w:rPr>
          <w:rFonts w:ascii="Arial" w:cs="Arial" w:eastAsia="Arial" w:hAnsi="Arial"/>
          <w:sz w:val="16"/>
          <w:szCs w:val="16"/>
          <w:color w:val="auto"/>
        </w:rPr>
      </w:pPr>
      <w:r>
        <w:rPr>
          <w:rFonts w:ascii="Arial" w:cs="Arial" w:eastAsia="Arial" w:hAnsi="Arial"/>
          <w:sz w:val="16"/>
          <w:szCs w:val="16"/>
          <w:color w:val="auto"/>
        </w:rPr>
        <w:t>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xml:space="preserve">”). The rights provided under this </w:t>
      </w: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shall not be available to any Investor at such time as (i) there is an effective Resale Shelf Registration Statement available for the resale of the Registerable Securities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(ii) such Registration is solely to be used for the offering of securities by the Company for its own account and (iii) no other shareholder of the Company is entitled to participate in such Registration.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firstLine="1296"/>
        <w:spacing w:after="0" w:line="275"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Reduction of Offering</w:t>
      </w:r>
      <w:r>
        <w:rPr>
          <w:rFonts w:ascii="Arial" w:cs="Arial" w:eastAsia="Arial" w:hAnsi="Arial"/>
          <w:sz w:val="17"/>
          <w:szCs w:val="17"/>
          <w:color w:val="auto"/>
        </w:rPr>
        <w:t xml:space="preserve">. If the managing Underwriter or Underwriters for a Piggy-Back Registration that is to be an underwritten offering advises the Company and the holders of Registrable Securities in writing that the dollar amount or number of Common Stock which the Company desires to sell, taken together with Common Stock, if any, as to which registration has been demanded pursuant to written contractual arrangements with persons other than the holders of Registrable Securities hereunder and the Registrable Securities as to which registration has been requested under this </w:t>
      </w:r>
      <w:r>
        <w:rPr>
          <w:rFonts w:ascii="Arial" w:cs="Arial" w:eastAsia="Arial" w:hAnsi="Arial"/>
          <w:sz w:val="17"/>
          <w:szCs w:val="17"/>
          <w:u w:val="single" w:color="auto"/>
          <w:color w:val="auto"/>
        </w:rPr>
        <w:t>Section 2.3</w:t>
      </w:r>
      <w:r>
        <w:rPr>
          <w:rFonts w:ascii="Arial" w:cs="Arial" w:eastAsia="Arial" w:hAnsi="Arial"/>
          <w:sz w:val="17"/>
          <w:szCs w:val="17"/>
          <w:color w:val="auto"/>
        </w:rPr>
        <w:t>, exceeds the Maximum Number of Shares, then the Company shall include in any such registration:</w:t>
      </w:r>
    </w:p>
    <w:p>
      <w:pPr>
        <w:spacing w:after="0" w:line="176" w:lineRule="exact"/>
        <w:rPr>
          <w:sz w:val="20"/>
          <w:szCs w:val="20"/>
          <w:color w:val="auto"/>
        </w:rPr>
      </w:pPr>
    </w:p>
    <w:p>
      <w:pPr>
        <w:jc w:val="both"/>
        <w:ind w:firstLine="1952"/>
        <w:spacing w:after="0" w:line="272" w:lineRule="auto"/>
        <w:tabs>
          <w:tab w:leader="none" w:pos="2215"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the registration is undertaken for the Company’s account: (A) first, the Common Stock or other securities that the Company desires to sell that can be sold without exceeding the Maximum Number of Shares; and (B) second, to the extent that the Maximum Number of Shares has not been reached under the foregoing clause (A), the Common Stock or other securities, if any, comprised of Registrable Securities, as to which registration has been requested pursuant to the terms hereof, that can be sold without exceeding the Maximum Number of Shares, Pro Rata; and (C) third, to the extent that the Maximum Number of shares has not been reached under the foregoing clauses (A) and (B), the Common Stock or other securities for the account of other persons that the Company is obligated to register pursuant to written contractual piggy-back registration rights with such persons and that can be sold without exceeding the Maximum Number of Shares; and</w:t>
      </w:r>
    </w:p>
    <w:p>
      <w:pPr>
        <w:spacing w:after="0" w:line="177" w:lineRule="exact"/>
        <w:rPr>
          <w:rFonts w:ascii="Arial" w:cs="Arial" w:eastAsia="Arial" w:hAnsi="Arial"/>
          <w:sz w:val="17"/>
          <w:szCs w:val="17"/>
          <w:color w:val="auto"/>
        </w:rPr>
      </w:pPr>
    </w:p>
    <w:p>
      <w:pPr>
        <w:jc w:val="both"/>
        <w:ind w:firstLine="1952"/>
        <w:spacing w:after="0" w:line="270" w:lineRule="auto"/>
        <w:tabs>
          <w:tab w:leader="none" w:pos="2199"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the registration is a “demand” registration undertaken at the demand of persons other than either the holders of Registrable Securities, (A) first, the Common Stock or other securities for the account of the demanding persons that can be sold without exceeding the Maximum Number of Shares; (B) second, to the extent that the Maximum Number of Shares has not been reached under the foregoing clause (A), the Common Stock or other securities that the Company desires to sell that can be sold without exceeding the Maximum Number of Shares; (C) third, to the extent that the Maximum Number of Shares has not been reached under the foregoing clauses (A) and (B), the Common Stock or other securities, if any,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Common Stock or other securities for the account of other persons that the Company is obligated to register pursuant to written contractual arrangements with such persons, that can be sold without exceeding the Maximum Number of Shares.</w:t>
      </w:r>
    </w:p>
    <w:p>
      <w:pPr>
        <w:spacing w:after="0" w:line="18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Withdrawal</w:t>
      </w:r>
      <w:r>
        <w:rPr>
          <w:rFonts w:ascii="Arial" w:cs="Arial" w:eastAsia="Arial" w:hAnsi="Arial"/>
          <w:sz w:val="18"/>
          <w:szCs w:val="18"/>
          <w:color w:val="auto"/>
        </w:rPr>
        <w:t xml:space="preserve">.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3. REGISTRATION PROCEDURES.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Filings; Information</w:t>
      </w:r>
      <w:r>
        <w:rPr>
          <w:rFonts w:ascii="Arial" w:cs="Arial" w:eastAsia="Arial" w:hAnsi="Arial"/>
          <w:sz w:val="18"/>
          <w:szCs w:val="18"/>
          <w:color w:val="auto"/>
        </w:rPr>
        <w:t xml:space="preserve">. Whenever the Company is required to effect the registration of any Registrable Securities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the Company shall use its commercially reasonable best efforts to effect the registration and sale of such Registrable Securities in accordance with the intended method(s) of distribution thereof as expeditiously as practicable, and in connection with any such request:</w:t>
      </w:r>
    </w:p>
    <w:p>
      <w:pPr>
        <w:spacing w:after="0" w:line="18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Filing Registration Statement</w:t>
      </w:r>
      <w:r>
        <w:rPr>
          <w:rFonts w:ascii="Arial" w:cs="Arial" w:eastAsia="Arial" w:hAnsi="Arial"/>
          <w:sz w:val="18"/>
          <w:szCs w:val="18"/>
          <w:color w:val="auto"/>
        </w:rPr>
        <w:t xml:space="preserve">. The Company shall use its reasonable best efforts to, as expeditiously as possible after receipt of a request for a Demand Registration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reasonable best efforts to cause such Registration Statement to become effective and use its reasonable best efforts to keep it effective for the Effectiveness Period; provided, however, that the Company shall have the right to defer any Demand Registration for up to sixty (60) days, and any Piggy-Back Registration for such period as may be applicable to deferment of any Demand Registration to which such Piggy-Back Registration relates, in each case if, in the good faith judgment of the Board of Directors of the Company (the “</w:t>
      </w:r>
      <w:r>
        <w:rPr>
          <w:rFonts w:ascii="Arial" w:cs="Arial" w:eastAsia="Arial" w:hAnsi="Arial"/>
          <w:sz w:val="18"/>
          <w:szCs w:val="18"/>
          <w:b w:val="1"/>
          <w:bCs w:val="1"/>
          <w:u w:val="single" w:color="auto"/>
          <w:color w:val="auto"/>
        </w:rPr>
        <w:t>Company Board</w:t>
      </w:r>
      <w:r>
        <w:rPr>
          <w:rFonts w:ascii="Arial" w:cs="Arial" w:eastAsia="Arial" w:hAnsi="Arial"/>
          <w:sz w:val="18"/>
          <w:szCs w:val="18"/>
          <w:color w:val="auto"/>
        </w:rPr>
        <w:t>”), it would be materially detrimental to the Company and its shareholders for such Registration Statement to be effected at such time; provided, further, however, that the Company shall not have the right to exercise the right set forth in the immediately preceding proviso for more than a total of ninety (90) consecutive calendar days, or more than one hundred twenty (120) total calendar days in any 365-day period.</w:t>
      </w:r>
    </w:p>
    <w:p>
      <w:pPr>
        <w:spacing w:after="0" w:line="19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Copies</w:t>
      </w:r>
      <w:r>
        <w:rPr>
          <w:rFonts w:ascii="Arial" w:cs="Arial" w:eastAsia="Arial" w:hAnsi="Arial"/>
          <w:sz w:val="18"/>
          <w:szCs w:val="18"/>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u w:val="single" w:color="auto"/>
          <w:color w:val="auto"/>
        </w:rPr>
        <w:t>Amendments and Supplements</w:t>
      </w:r>
      <w:r>
        <w:rPr>
          <w:rFonts w:ascii="Arial" w:cs="Arial" w:eastAsia="Arial" w:hAnsi="Arial"/>
          <w:sz w:val="16"/>
          <w:szCs w:val="16"/>
          <w:color w:val="auto"/>
        </w:rPr>
        <w:t>. Until the earlier of (i) the tenth anniversary of the date of this Agreement or (ii) the date as of which</w:t>
      </w:r>
    </w:p>
    <w:p>
      <w:pPr>
        <w:spacing w:after="0" w:line="46" w:lineRule="exact"/>
        <w:rPr>
          <w:sz w:val="20"/>
          <w:szCs w:val="20"/>
          <w:color w:val="auto"/>
        </w:rPr>
      </w:pPr>
    </w:p>
    <w:p>
      <w:pPr>
        <w:ind w:left="300" w:hanging="292"/>
        <w:spacing w:after="0"/>
        <w:tabs>
          <w:tab w:leader="none" w:pos="3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all of the Registrable Securities have been sold pursuant to a Registration Statement (but in no event prior to the applicable period referred to in Section</w:t>
      </w:r>
    </w:p>
    <w:p>
      <w:pPr>
        <w:spacing w:after="0" w:line="32" w:lineRule="exact"/>
        <w:rPr>
          <w:rFonts w:ascii="Arial" w:cs="Arial" w:eastAsia="Arial" w:hAnsi="Arial"/>
          <w:sz w:val="16"/>
          <w:szCs w:val="16"/>
          <w:color w:val="auto"/>
        </w:rPr>
      </w:pPr>
    </w:p>
    <w:p>
      <w:pPr>
        <w:jc w:val="both"/>
        <w:spacing w:after="0" w:line="271" w:lineRule="auto"/>
        <w:rPr>
          <w:rFonts w:ascii="Arial" w:cs="Arial" w:eastAsia="Arial" w:hAnsi="Arial"/>
          <w:sz w:val="16"/>
          <w:szCs w:val="16"/>
          <w:color w:val="auto"/>
        </w:rPr>
      </w:pPr>
      <w:r>
        <w:rPr>
          <w:rFonts w:ascii="Arial" w:cs="Arial" w:eastAsia="Arial" w:hAnsi="Arial"/>
          <w:sz w:val="17"/>
          <w:szCs w:val="17"/>
          <w:color w:val="auto"/>
        </w:rPr>
        <w:t>4(a)(3) of the Securities Act and Rule 174 thereunder (or any successor rule promulgated thereafter by the Commission)) or (B) the Holders of all Registrable Securities are permitted to sell the Registrable Securities under Rule 144 (or any similar provision) under the Securities Act without limitation on the amount of securities sold or the manner of sale,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(the “</w:t>
      </w:r>
      <w:r>
        <w:rPr>
          <w:rFonts w:ascii="Arial" w:cs="Arial" w:eastAsia="Arial" w:hAnsi="Arial"/>
          <w:sz w:val="17"/>
          <w:szCs w:val="17"/>
          <w:b w:val="1"/>
          <w:bCs w:val="1"/>
          <w:u w:val="single" w:color="auto"/>
          <w:color w:val="auto"/>
        </w:rPr>
        <w:t>Effectiveness Period</w:t>
      </w:r>
      <w:r>
        <w:rPr>
          <w:rFonts w:ascii="Arial" w:cs="Arial" w:eastAsia="Arial" w:hAnsi="Arial"/>
          <w:sz w:val="17"/>
          <w:szCs w:val="17"/>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ind w:firstLine="1296"/>
        <w:spacing w:after="0" w:line="268" w:lineRule="auto"/>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u w:val="single" w:color="auto"/>
          <w:color w:val="auto"/>
        </w:rPr>
        <w:t>Notification</w:t>
      </w:r>
      <w:r>
        <w:rPr>
          <w:rFonts w:ascii="Arial" w:cs="Arial" w:eastAsia="Arial" w:hAnsi="Arial"/>
          <w:sz w:val="17"/>
          <w:szCs w:val="17"/>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w:t>
      </w:r>
    </w:p>
    <w:p>
      <w:pPr>
        <w:spacing w:after="0" w:line="184"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Securities Laws Compliance</w:t>
      </w:r>
      <w:r>
        <w:rPr>
          <w:rFonts w:ascii="Arial" w:cs="Arial" w:eastAsia="Arial" w:hAnsi="Arial"/>
          <w:sz w:val="16"/>
          <w:szCs w:val="16"/>
          <w:color w:val="auto"/>
        </w:rPr>
        <w:t>. The Company shall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reasonably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16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Agreements for Disposition</w:t>
      </w:r>
      <w:r>
        <w:rPr>
          <w:rFonts w:ascii="Arial" w:cs="Arial" w:eastAsia="Arial" w:hAnsi="Arial"/>
          <w:sz w:val="18"/>
          <w:szCs w:val="18"/>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and the representations, warranties and covenants of the holders of Registrable Securities included in such registration statement in any underwriting agreement which are made to or for the benefit of any Underwriters, to the extent applicable, shall also be made to and for the benefit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firstLine="1296"/>
        <w:spacing w:after="0" w:line="286" w:lineRule="auto"/>
        <w:rPr>
          <w:sz w:val="20"/>
          <w:szCs w:val="20"/>
          <w:color w:val="auto"/>
        </w:rPr>
      </w:pPr>
      <w:r>
        <w:rPr>
          <w:rFonts w:ascii="Arial" w:cs="Arial" w:eastAsia="Arial" w:hAnsi="Arial"/>
          <w:sz w:val="17"/>
          <w:szCs w:val="17"/>
          <w:color w:val="auto"/>
        </w:rPr>
        <w:t xml:space="preserve">3.1.7 </w:t>
      </w:r>
      <w:r>
        <w:rPr>
          <w:rFonts w:ascii="Arial" w:cs="Arial" w:eastAsia="Arial" w:hAnsi="Arial"/>
          <w:sz w:val="17"/>
          <w:szCs w:val="17"/>
          <w:u w:val="single" w:color="auto"/>
          <w:color w:val="auto"/>
        </w:rPr>
        <w:t>Comfort Letter</w:t>
      </w:r>
      <w:r>
        <w:rPr>
          <w:rFonts w:ascii="Arial" w:cs="Arial" w:eastAsia="Arial" w:hAnsi="Arial"/>
          <w:sz w:val="17"/>
          <w:szCs w:val="17"/>
          <w:color w:val="auto"/>
        </w:rPr>
        <w:t>. The Company shall obtain a “cold comfort” letter from the Company’s independent registered public accountants in the event of an underwritten offering, in customary form and covering such matters of the type customarily covered by “cold comfort” letters as the managing Underwriter may reasonably request, and reasonably satisfactory to a majority-in-interest of the participating holders.</w:t>
      </w:r>
    </w:p>
    <w:p>
      <w:pPr>
        <w:spacing w:after="0" w:line="16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Opinions</w:t>
      </w:r>
      <w:r>
        <w:rPr>
          <w:rFonts w:ascii="Arial" w:cs="Arial" w:eastAsia="Arial" w:hAnsi="Arial"/>
          <w:sz w:val="18"/>
          <w:szCs w:val="18"/>
          <w:color w:val="auto"/>
        </w:rPr>
        <w:t>. On the date the Registrable Securities are delivered for sale pursuant to any Registration, the Company shall obtain an opinion, dated such date, of one (1)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reasonably satisfactory to a majority in interest of the participating holders.</w:t>
      </w:r>
    </w:p>
    <w:p>
      <w:pPr>
        <w:spacing w:after="0" w:line="188"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3.1.9 </w:t>
      </w:r>
      <w:r>
        <w:rPr>
          <w:rFonts w:ascii="Arial" w:cs="Arial" w:eastAsia="Arial" w:hAnsi="Arial"/>
          <w:sz w:val="17"/>
          <w:szCs w:val="17"/>
          <w:u w:val="single" w:color="auto"/>
          <w:color w:val="auto"/>
        </w:rPr>
        <w:t>Cooperation</w:t>
      </w:r>
      <w:r>
        <w:rPr>
          <w:rFonts w:ascii="Arial" w:cs="Arial" w:eastAsia="Arial" w:hAnsi="Arial"/>
          <w:sz w:val="17"/>
          <w:szCs w:val="17"/>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 If an Underwritten Offering involves Registrable Securities with a total offering price (including piggyback securities and before deducting underwriting discounts) to exceed $10,000,000, the Company will use its reasonable best efforts to make available senior executives of the Company to participate in customary “road show” presentations that may be reasonably requested by the Underwriter in the Underwritten Offering.</w:t>
      </w:r>
    </w:p>
    <w:p>
      <w:pPr>
        <w:spacing w:after="0" w:line="17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3.1.10 </w:t>
      </w:r>
      <w:r>
        <w:rPr>
          <w:rFonts w:ascii="Arial" w:cs="Arial" w:eastAsia="Arial" w:hAnsi="Arial"/>
          <w:sz w:val="18"/>
          <w:szCs w:val="18"/>
          <w:u w:val="single" w:color="auto"/>
          <w:color w:val="auto"/>
        </w:rPr>
        <w:t>Records</w:t>
      </w:r>
      <w:r>
        <w:rPr>
          <w:rFonts w:ascii="Arial" w:cs="Arial" w:eastAsia="Arial" w:hAnsi="Arial"/>
          <w:sz w:val="18"/>
          <w:szCs w:val="18"/>
          <w:color w:val="auto"/>
        </w:rPr>
        <w:t>. Upon execution of confidentiality agreements,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9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3.1.11 </w:t>
      </w:r>
      <w:r>
        <w:rPr>
          <w:rFonts w:ascii="Arial" w:cs="Arial" w:eastAsia="Arial" w:hAnsi="Arial"/>
          <w:sz w:val="18"/>
          <w:szCs w:val="18"/>
          <w:u w:val="single" w:color="auto"/>
          <w:color w:val="auto"/>
        </w:rPr>
        <w:t>Earnings Statement</w:t>
      </w:r>
      <w:r>
        <w:rPr>
          <w:rFonts w:ascii="Arial" w:cs="Arial" w:eastAsia="Arial" w:hAnsi="Arial"/>
          <w:sz w:val="18"/>
          <w:szCs w:val="18"/>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3.1.12 </w:t>
      </w:r>
      <w:r>
        <w:rPr>
          <w:rFonts w:ascii="Arial" w:cs="Arial" w:eastAsia="Arial" w:hAnsi="Arial"/>
          <w:sz w:val="18"/>
          <w:szCs w:val="18"/>
          <w:u w:val="single" w:color="auto"/>
          <w:color w:val="auto"/>
        </w:rPr>
        <w:t>Listing</w:t>
      </w:r>
      <w:r>
        <w:rPr>
          <w:rFonts w:ascii="Arial" w:cs="Arial" w:eastAsia="Arial" w:hAnsi="Arial"/>
          <w:sz w:val="18"/>
          <w:szCs w:val="18"/>
          <w:color w:val="auto"/>
        </w:rPr>
        <w:t>. The Company shall use its reasonable best efforts to cause all Registrable Securities included in any Registration Statement to be listed on such exchanges or otherwise designated for trading in the same manner as similar securities issued by the Company are then listed or designated.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firstLine="648"/>
        <w:spacing w:after="0" w:line="271"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Obligation to Suspend Distribution</w:t>
      </w:r>
      <w:r>
        <w:rPr>
          <w:rFonts w:ascii="Arial" w:cs="Arial" w:eastAsia="Arial" w:hAnsi="Arial"/>
          <w:sz w:val="17"/>
          <w:szCs w:val="17"/>
          <w:color w:val="auto"/>
        </w:rPr>
        <w:t xml:space="preserve">. Upon receipt of any notice from the Company of the happening of any event of the kind described in </w:t>
      </w:r>
      <w:r>
        <w:rPr>
          <w:rFonts w:ascii="Arial" w:cs="Arial" w:eastAsia="Arial" w:hAnsi="Arial"/>
          <w:sz w:val="17"/>
          <w:szCs w:val="17"/>
          <w:u w:val="single" w:color="auto"/>
          <w:color w:val="auto"/>
        </w:rPr>
        <w:t>Section 3.1.4(iv)</w:t>
      </w:r>
      <w:r>
        <w:rPr>
          <w:rFonts w:ascii="Arial" w:cs="Arial" w:eastAsia="Arial" w:hAnsi="Arial"/>
          <w:sz w:val="17"/>
          <w:szCs w:val="17"/>
          <w:color w:val="auto"/>
        </w:rPr>
        <w:t xml:space="preserve">, or, upon any suspension by the Company, pursuant to a written insider trading compliance program adopted by the Company Board,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3.1.4(iv)</w:t>
      </w:r>
      <w:r>
        <w:rPr>
          <w:rFonts w:ascii="Arial" w:cs="Arial" w:eastAsia="Arial" w:hAnsi="Arial"/>
          <w:sz w:val="17"/>
          <w:szCs w:val="17"/>
          <w:color w:val="auto"/>
        </w:rPr>
        <w:t xml:space="preserve">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xml:space="preserve">. The Company shall bear all costs and expenses incurred in connection with the Resale Shelf Registration Statement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any Demand Registration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any Underwritten Takedown pursuant to </w:t>
      </w:r>
      <w:r>
        <w:rPr>
          <w:rFonts w:ascii="Arial" w:cs="Arial" w:eastAsia="Arial" w:hAnsi="Arial"/>
          <w:sz w:val="16"/>
          <w:szCs w:val="16"/>
          <w:u w:val="single" w:color="auto"/>
          <w:color w:val="auto"/>
        </w:rPr>
        <w:t>Section 2.1.5(a)(i)</w:t>
      </w:r>
      <w:r>
        <w:rPr>
          <w:rFonts w:ascii="Arial" w:cs="Arial" w:eastAsia="Arial" w:hAnsi="Arial"/>
          <w:sz w:val="16"/>
          <w:szCs w:val="16"/>
          <w:color w:val="auto"/>
        </w:rPr>
        <w:t xml:space="preserve">, any Piggy-Back Registration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any registration on Form S-3 effected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w:t>
      </w:r>
      <w:r>
        <w:rPr>
          <w:rFonts w:ascii="Arial" w:cs="Arial" w:eastAsia="Arial" w:hAnsi="Arial"/>
          <w:sz w:val="16"/>
          <w:szCs w:val="16"/>
          <w:u w:val="single" w:color="auto"/>
          <w:color w:val="auto"/>
        </w:rPr>
        <w:t>Section 3.1.10</w:t>
      </w:r>
      <w:r>
        <w:rPr>
          <w:rFonts w:ascii="Arial" w:cs="Arial" w:eastAsia="Arial" w:hAnsi="Arial"/>
          <w:sz w:val="16"/>
          <w:szCs w:val="16"/>
          <w:color w:val="auto"/>
        </w:rPr>
        <w:t>; (vi) Financial Industry Regulatory Authority fees; (vii) fees and disbursements of counsel for the Company and fees and expenses for independent certified public accountants retained by the Company; (viii) the fees and expenses of any special experts retained by the Company in connection with such registration and (ix) the reasonable fees and expenses of one legal counsel selected by the holders of a majority-in-interest of the Registrable Securities included in such registration not to exceed $25,000.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Underwriter’s marketing costs pro rata in proportion to the respective amount of shares each is selling in such offering.</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Information</w:t>
      </w:r>
      <w:r>
        <w:rPr>
          <w:rFonts w:ascii="Arial" w:cs="Arial" w:eastAsia="Arial" w:hAnsi="Arial"/>
          <w:sz w:val="18"/>
          <w:szCs w:val="18"/>
          <w:color w:val="auto"/>
        </w:rPr>
        <w:t>. The holders of Registrable Securities shall promptly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and in connection with the Company’s obligation to comply with Federal and applicable state securities laws.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4. INDEMNIFICATION AND CONTRIBUTION.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Arial" w:cs="Arial" w:eastAsia="Arial" w:hAnsi="Arial"/>
          <w:sz w:val="16"/>
          <w:szCs w:val="16"/>
          <w:b w:val="1"/>
          <w:bCs w:val="1"/>
          <w:u w:val="single" w:color="auto"/>
          <w:color w:val="auto"/>
        </w:rPr>
        <w:t>Investor Indemnified Party</w:t>
      </w:r>
      <w:r>
        <w:rPr>
          <w:rFonts w:ascii="Arial" w:cs="Arial" w:eastAsia="Arial" w:hAnsi="Arial"/>
          <w:sz w:val="16"/>
          <w:szCs w:val="16"/>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shall indemnify the Underwriters, their officers, directors and each person who controls such Underwriters (within the meaning of the Securities Act) to the same extent as provided in the foregoing sentence with respect to the indemnification of the holders.</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Indemnification by Holders of Registrable Securities</w:t>
      </w:r>
      <w:r>
        <w:rPr>
          <w:rFonts w:ascii="Arial" w:cs="Arial" w:eastAsia="Arial" w:hAnsi="Arial"/>
          <w:sz w:val="17"/>
          <w:szCs w:val="17"/>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other selling holder and each other person, if any, who controls another selling holder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but only to the extent that such untrue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 The selling holders shall indemnify the Underwriters, their officers, directors and each person who controls such Underwriters (within the meaning of the Securities Act) to the same extent as provided in the foregoing with respect to the indemnification of the Company.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firstLine="648"/>
        <w:spacing w:after="0" w:line="285"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xml:space="preserve">. Promptly after receipt by any person of any notice of any loss, claim, damage or liability or any action in respect of which indemnity may be sought pursuant to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4.2</w:t>
      </w:r>
      <w:r>
        <w:rPr>
          <w:rFonts w:ascii="Arial" w:cs="Arial" w:eastAsia="Arial" w:hAnsi="Arial"/>
          <w:sz w:val="16"/>
          <w:szCs w:val="16"/>
          <w:color w:val="auto"/>
        </w:rPr>
        <w:t>, such person (the “</w:t>
      </w:r>
      <w:r>
        <w:rPr>
          <w:rFonts w:ascii="Arial" w:cs="Arial" w:eastAsia="Arial" w:hAnsi="Arial"/>
          <w:sz w:val="16"/>
          <w:szCs w:val="16"/>
          <w:b w:val="1"/>
          <w:bCs w:val="1"/>
          <w:u w:val="single" w:color="auto"/>
          <w:color w:val="auto"/>
        </w:rPr>
        <w:t>Indemnified Party</w:t>
      </w:r>
      <w:r>
        <w:rPr>
          <w:rFonts w:ascii="Arial" w:cs="Arial" w:eastAsia="Arial" w:hAnsi="Arial"/>
          <w:sz w:val="16"/>
          <w:szCs w:val="16"/>
          <w:color w:val="auto"/>
        </w:rPr>
        <w:t>”) shall, if a claim in respect thereof is to be made against any other person for indemnification hereunder, notify such other person (the “</w:t>
      </w:r>
      <w:r>
        <w:rPr>
          <w:rFonts w:ascii="Arial" w:cs="Arial" w:eastAsia="Arial" w:hAnsi="Arial"/>
          <w:sz w:val="16"/>
          <w:szCs w:val="16"/>
          <w:b w:val="1"/>
          <w:bCs w:val="1"/>
          <w:u w:val="single" w:color="auto"/>
          <w:color w:val="auto"/>
        </w:rPr>
        <w:t>Indemnifying Party</w:t>
      </w:r>
      <w:r>
        <w:rPr>
          <w:rFonts w:ascii="Arial" w:cs="Arial" w:eastAsia="Arial" w:hAnsi="Arial"/>
          <w:sz w:val="16"/>
          <w:szCs w:val="16"/>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which counsel is reasonably acceptable to the Indemnifying Party)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4.4.1 If the indemnification provided for in the foregoing </w:t>
      </w:r>
      <w:r>
        <w:rPr>
          <w:rFonts w:ascii="Arial" w:cs="Arial" w:eastAsia="Arial" w:hAnsi="Arial"/>
          <w:sz w:val="17"/>
          <w:szCs w:val="17"/>
          <w:u w:val="single" w:color="auto"/>
          <w:color w:val="auto"/>
        </w:rPr>
        <w:t>Sections 4.1</w:t>
      </w:r>
      <w:r>
        <w:rPr>
          <w:rFonts w:ascii="Arial" w:cs="Arial" w:eastAsia="Arial" w:hAnsi="Arial"/>
          <w:sz w:val="17"/>
          <w:szCs w:val="17"/>
          <w:color w:val="auto"/>
        </w:rPr>
        <w:t xml:space="preserve">, </w:t>
      </w:r>
      <w:r>
        <w:rPr>
          <w:rFonts w:ascii="Arial" w:cs="Arial" w:eastAsia="Arial" w:hAnsi="Arial"/>
          <w:sz w:val="17"/>
          <w:szCs w:val="17"/>
          <w:u w:val="single" w:color="auto"/>
          <w:color w:val="auto"/>
        </w:rPr>
        <w:t>4.2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4.3</w:t>
      </w:r>
      <w:r>
        <w:rPr>
          <w:rFonts w:ascii="Arial" w:cs="Arial" w:eastAsia="Arial" w:hAnsi="Arial"/>
          <w:sz w:val="17"/>
          <w:szCs w:val="17"/>
          <w:color w:val="auto"/>
        </w:rPr>
        <w:t xml:space="preserve">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ind w:firstLine="1296"/>
        <w:spacing w:after="0" w:line="263" w:lineRule="auto"/>
        <w:rPr>
          <w:sz w:val="20"/>
          <w:szCs w:val="20"/>
          <w:color w:val="auto"/>
        </w:rPr>
      </w:pPr>
      <w:r>
        <w:rPr>
          <w:rFonts w:ascii="Arial" w:cs="Arial" w:eastAsia="Arial" w:hAnsi="Arial"/>
          <w:sz w:val="18"/>
          <w:szCs w:val="18"/>
          <w:color w:val="auto"/>
        </w:rPr>
        <w:t xml:space="preserve">4.4.2 The parties hereto agree that it would not be just and equitable if contribution pursuant to this </w:t>
      </w:r>
      <w:r>
        <w:rPr>
          <w:rFonts w:ascii="Arial" w:cs="Arial" w:eastAsia="Arial" w:hAnsi="Arial"/>
          <w:sz w:val="18"/>
          <w:szCs w:val="18"/>
          <w:u w:val="single" w:color="auto"/>
          <w:color w:val="auto"/>
        </w:rPr>
        <w:t>Section 4.4.2</w:t>
      </w:r>
      <w:r>
        <w:rPr>
          <w:rFonts w:ascii="Arial" w:cs="Arial" w:eastAsia="Arial" w:hAnsi="Arial"/>
          <w:sz w:val="18"/>
          <w:szCs w:val="18"/>
          <w:color w:val="auto"/>
        </w:rPr>
        <w:t xml:space="preserve"> were determined by pro rata allocation or by any other method of allocation which does not take account of the equitable considerations referred to in the immediately preceding </w:t>
      </w:r>
      <w:r>
        <w:rPr>
          <w:rFonts w:ascii="Arial" w:cs="Arial" w:eastAsia="Arial" w:hAnsi="Arial"/>
          <w:sz w:val="18"/>
          <w:szCs w:val="18"/>
          <w:u w:val="single" w:color="auto"/>
          <w:color w:val="auto"/>
        </w:rPr>
        <w:t>Section 4.4.1</w:t>
      </w:r>
      <w:r>
        <w:rPr>
          <w:rFonts w:ascii="Arial" w:cs="Arial" w:eastAsia="Arial" w:hAnsi="Arial"/>
          <w:sz w:val="18"/>
          <w:szCs w:val="18"/>
          <w:color w:val="auto"/>
        </w:rPr>
        <w:t>.</w:t>
      </w:r>
    </w:p>
    <w:p>
      <w:pPr>
        <w:spacing w:after="0" w:line="184"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w:t>
      </w:r>
      <w:r>
        <w:rPr>
          <w:rFonts w:ascii="Arial" w:cs="Arial" w:eastAsia="Arial" w:hAnsi="Arial"/>
          <w:sz w:val="18"/>
          <w:szCs w:val="18"/>
          <w:u w:val="single" w:color="auto"/>
          <w:color w:val="auto"/>
        </w:rPr>
        <w:t>Section 4.4</w:t>
      </w:r>
      <w:r>
        <w:rPr>
          <w:rFonts w:ascii="Arial" w:cs="Arial" w:eastAsia="Arial" w:hAnsi="Arial"/>
          <w:sz w:val="18"/>
          <w:szCs w:val="18"/>
          <w:color w:val="auto"/>
        </w:rPr>
        <w:t>,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5. UNDERWRITING AND DISTRIBUTION.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Rule 144</w:t>
      </w:r>
      <w:r>
        <w:rPr>
          <w:rFonts w:ascii="Arial" w:cs="Arial" w:eastAsia="Arial" w:hAnsi="Arial"/>
          <w:sz w:val="17"/>
          <w:szCs w:val="17"/>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such holders with true and complete copies of all such filings. The Company further covenants that it shall take such further action as any such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6. LOCK-UP AGREEMENTS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Investor Lock-Up</w:t>
      </w:r>
      <w:r>
        <w:rPr>
          <w:rFonts w:ascii="Arial" w:cs="Arial" w:eastAsia="Arial" w:hAnsi="Arial"/>
          <w:sz w:val="17"/>
          <w:szCs w:val="17"/>
          <w:color w:val="auto"/>
        </w:rPr>
        <w:t xml:space="preserve">. Each Investor agrees that such Investor shall not Transfer any shares of Common Stock or any securities convertible into or exercisable or exchangeable (directly or indirectly) for Common Stock (whether such shares of Common Stock or any such securities are held by such Investor as of the date of this Agreement or are thereafter acquired) for one hundred eighty (180) days following the Closing Date (as such term is defined in the Merger Agreement). The foregoing restriction is expressly agreed to preclude each Investor during the Lock-up Period from engaging in any hedging or other transaction which is designed to or which reasonably could be expected to lead to or result in a sale or disposition of such Investor’s shares of Common Stock even if such shares of Common Stock would be disposed of by someone other than the undersigned. Such prohibited hedging or other transactions during the Lock-up Period would include without limitation any short sale or any purchase, sale or grant of any right (including, without limitation, any put or call option) with respect to any of the Investor’s shares of Common Stock or with respect to any security that includes, relates to, or derives any significant part of its value from such shares of Common Stock. The foregoing notwithstanding, each executive officer and director of the Company shall be permitted to establish a plan to acquire and sell shares of Common Stock pursuant to Rule 10b5-1 under the Exchange Act; provided, however, no sale of shares under any such plan shall be made prior to the expiration of the one hundred eighty (180) lock-up period referred to in the first sentence of this </w:t>
      </w:r>
      <w:r>
        <w:rPr>
          <w:rFonts w:ascii="Arial" w:cs="Arial" w:eastAsia="Arial" w:hAnsi="Arial"/>
          <w:sz w:val="17"/>
          <w:szCs w:val="17"/>
          <w:u w:val="single" w:color="auto"/>
          <w:color w:val="auto"/>
        </w:rPr>
        <w:t>Section 6.1</w:t>
      </w:r>
      <w:r>
        <w:rPr>
          <w:rFonts w:ascii="Arial" w:cs="Arial" w:eastAsia="Arial" w:hAnsi="Arial"/>
          <w:sz w:val="17"/>
          <w:szCs w:val="17"/>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7. MISCELLANEOUS.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Other Registration Rights and Arrangements</w:t>
      </w:r>
      <w:r>
        <w:rPr>
          <w:rFonts w:ascii="Arial" w:cs="Arial" w:eastAsia="Arial" w:hAnsi="Arial"/>
          <w:sz w:val="18"/>
          <w:szCs w:val="18"/>
          <w:color w:val="auto"/>
        </w:rPr>
        <w:t>. The Company represents and warrants that no person, other than a holder of the Registrable Securities has any right to require the Company to register any of the Company’s share capital for sale or to include the Company’s share capital in any registration filed by the Company for the sale of shares for its own account or for the account of any other person. Company and the Company Investors hereby terminate the Prior Agreement, which shall be of no further force and effect and is hereby superseded and replaced in its entirety by this Agreement. The Company shall not hereafter enter into any agreement with respect to its securities which is inconsistent with or violates the rights granted to the holders of Registrable Securities in this Agreement and in the event of any conflict between any such agreement or agreements and this Agreement, the terms of this Agreement shall prevail.</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Assignment; No Third Party Beneficiaries</w:t>
      </w:r>
      <w:r>
        <w:rPr>
          <w:rFonts w:ascii="Arial" w:cs="Arial" w:eastAsia="Arial" w:hAnsi="Arial"/>
          <w:sz w:val="17"/>
          <w:szCs w:val="17"/>
          <w:color w:val="auto"/>
        </w:rPr>
        <w:t xml:space="preserve">.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permitted transfer of Registrable Securities by any such holder. This Agreement and the provisions hereof shall be binding upon and shall inure to the benefit of each of the parties hereto and their respective successors and assigns and the holders of Registrable Securities and their respective successors and permitted assigns. This Agreement is not intended to confer any rights or benefits on any persons that are not party hereto other than as expressly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7.2</w:t>
      </w:r>
      <w:r>
        <w:rPr>
          <w:rFonts w:ascii="Arial" w:cs="Arial" w:eastAsia="Arial" w:hAnsi="Arial"/>
          <w:sz w:val="17"/>
          <w:szCs w:val="17"/>
          <w:color w:val="auto"/>
        </w:rPr>
        <w:t>. The rights of a holder of Registrable Securities under this Agreement may be transferred by such a holder to a transferee who acquires or holds Registrable Securities; provided, however, that such transferee has executed and delivered to the Company a properly completed agreement to be bound by the terms of this Agreement substantially in form attached hereto as Exhibit A (an “</w:t>
      </w:r>
      <w:r>
        <w:rPr>
          <w:rFonts w:ascii="Arial" w:cs="Arial" w:eastAsia="Arial" w:hAnsi="Arial"/>
          <w:sz w:val="17"/>
          <w:szCs w:val="17"/>
          <w:b w:val="1"/>
          <w:bCs w:val="1"/>
          <w:u w:val="single" w:color="auto"/>
          <w:color w:val="auto"/>
        </w:rPr>
        <w:t>Addendum Agreement</w:t>
      </w:r>
      <w:r>
        <w:rPr>
          <w:rFonts w:ascii="Arial" w:cs="Arial" w:eastAsia="Arial" w:hAnsi="Arial"/>
          <w:sz w:val="17"/>
          <w:szCs w:val="17"/>
          <w:color w:val="auto"/>
        </w:rPr>
        <w:t>”), and the transferor shall have delivered to the Company no later than thirty (30) days following the date of the transfer, written notification of such transfer setting forth the name of the transferor, the name and address of the transferee, and the number of Registrable Securities so transferred. The execution of an Addendum Agreement shall constitute a permitted amendment of this Agreement.</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Amendments and Modifications</w:t>
      </w:r>
      <w:r>
        <w:rPr>
          <w:rFonts w:ascii="Arial" w:cs="Arial" w:eastAsia="Arial" w:hAnsi="Arial"/>
          <w:sz w:val="17"/>
          <w:szCs w:val="17"/>
          <w:color w:val="auto"/>
        </w:rPr>
        <w:t>.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Without limiting the generality of the foregoing, clause “(ii) of the definition of “Registrable Securities, Section 2.1.5(c)(ii), Section 2.2.1(i), Section 2.2.1(c), Section 6.1 and Section 7.4 shall only be waived, amended and modified by the Company Investors who hold a majority in interest of the Registrable Securities held by all Company Investors at the time in question.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firstLine="648"/>
        <w:spacing w:after="0" w:line="269"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Term</w:t>
      </w:r>
      <w:r>
        <w:rPr>
          <w:rFonts w:ascii="Arial" w:cs="Arial" w:eastAsia="Arial" w:hAnsi="Arial"/>
          <w:sz w:val="17"/>
          <w:szCs w:val="17"/>
          <w:color w:val="auto"/>
        </w:rPr>
        <w:t>. This Agreement shall terminate upon the earlier of (i) the tenth anniversary of the date of this Agreement or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 (B) the Holders of all Registrable Securities are permitted to sell the Registrable Securities under Rule 144 (or any similar provision) under the Securities Act without limitation on the amount of securities sold or the manner of sale; provided further that with respect to any Investor, such Investor will have no rights under this Agreement and all obligations of the Company to such Investor under this Agreement shall terminate upon the earlier of (x) the date such Investor ceases to hold at least 1% of the Registrable Securities or (y) if such Investor is an individual and such Investor is a director or an executive officer of Gemini or the Company as of immediately prior to the consummation of the Merger, the date when such Investor is permitted to sell the Registrable Securities under Rule 144 (or any similar provision) under the Securities Act without limitation on the amount of securities sold or the manner of sale; provided, however, that the provisions of Section 4, Section 5.1 and Section 6.1 shall survive such termination.</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requests, consents, approvals or other communications (collectively,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required or permitted to be given hereunder or which are given with respect to this Agreement shall be in writing and shall be personally served, delivered by reputable air courier service with charges prepaid, or transmitted by facsimile or email, addressed as set forth below, or to such other address as such party shall have specified most recently by written notice. Notice shall be deemed given (i) on the date of service or transmission if personally served or transmitted by telegram, telex or facsimile; provided, that if such service or transmission is not on a Business Day or is after normal business hours, then such notice shall be deemed given on the next Business Day (ii) one Business Day after being deposited with a reputable courier service with an order for next-day delivery, to the parties as follows: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Gemini: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Gemini Therapeutics,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300 One Kendall Square, 3rd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Jason Meyenburg</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JMeyenburg@geminitherapeutics.com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Attn:</w:t>
        <w:tab/>
        <w:t>Mitchell S. Bloom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Jocelyn M. Arel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Daniel J. Espinoza</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mbloom@goodwinlaw.com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jarel@goodwinlaw.com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despinoza@goodwinlaw.com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FS Development Corp.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Dennis Ryan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docs-Investments@foresitecapital.com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Joel L. Rubinstein,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joel.rubinstein@whitecase.com</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to an Investor, to the address set forth under such Investor’s signature to this Agreement or to such Investor’s address as found in the Company’s books and records.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an original, and all of which taken together shall constitute one and the same instrument.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 including without limitation the Prior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ind w:firstLine="1296"/>
        <w:spacing w:after="0" w:line="277" w:lineRule="auto"/>
        <w:rPr>
          <w:sz w:val="20"/>
          <w:szCs w:val="20"/>
          <w:color w:val="auto"/>
        </w:rPr>
      </w:pPr>
      <w:r>
        <w:rPr>
          <w:rFonts w:ascii="Arial" w:cs="Arial" w:eastAsia="Arial" w:hAnsi="Arial"/>
          <w:sz w:val="18"/>
          <w:szCs w:val="18"/>
          <w:color w:val="auto"/>
        </w:rPr>
        <w:t>IN WITNESS WHEREOF, the parties have caused this Registration Rights Agreement to be executed and delivered by their duly authorized representatives as of the date first written above.</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u w:val="single" w:color="auto"/>
          <w:color w:val="auto"/>
        </w:rPr>
        <w:t>FS DEVELOPMENT CORP.</w:t>
      </w:r>
      <w:r>
        <w:rPr>
          <w:rFonts w:ascii="Arial" w:cs="Arial" w:eastAsia="Arial" w:hAnsi="Arial"/>
          <w:sz w:val="18"/>
          <w:szCs w:val="18"/>
          <w:color w:val="auto"/>
        </w:rPr>
        <w: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Jim Tananbaum</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firstLine="1296"/>
        <w:spacing w:after="0" w:line="277" w:lineRule="auto"/>
        <w:rPr>
          <w:sz w:val="20"/>
          <w:szCs w:val="20"/>
          <w:color w:val="auto"/>
        </w:rPr>
      </w:pPr>
      <w:r>
        <w:rPr>
          <w:rFonts w:ascii="Arial" w:cs="Arial" w:eastAsia="Arial" w:hAnsi="Arial"/>
          <w:sz w:val="18"/>
          <w:szCs w:val="18"/>
          <w:color w:val="auto"/>
        </w:rPr>
        <w:t>IN WITNESS WHEREOF, the parties have caused this Registration Rights Agreement to be executed and delivered by their duly authorized representatives as of the date first written above.</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u w:val="single" w:color="auto"/>
          <w:color w:val="auto"/>
        </w:rPr>
        <w:t>FS DEVELOPMENT HOLDINGS, LLC,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D. Ryan</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Dennis D.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ind w:firstLine="1296"/>
        <w:spacing w:after="0" w:line="277" w:lineRule="auto"/>
        <w:rPr>
          <w:sz w:val="20"/>
          <w:szCs w:val="20"/>
          <w:color w:val="auto"/>
        </w:rPr>
      </w:pPr>
      <w:r>
        <w:rPr>
          <w:rFonts w:ascii="Arial" w:cs="Arial" w:eastAsia="Arial" w:hAnsi="Arial"/>
          <w:sz w:val="18"/>
          <w:szCs w:val="18"/>
          <w:color w:val="auto"/>
        </w:rPr>
        <w:t>IN WITNESS WHEREOF, the parties have caused this Registration Rights Agreement to be executed and delivered by their duly authorized representatives as of the date first written above.</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 Delaware corporation f/k/a FS Development Corp.</w:t>
      </w:r>
    </w:p>
    <w:p>
      <w:pPr>
        <w:spacing w:after="0" w:line="21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Meyenburg</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ind w:firstLine="1296"/>
        <w:spacing w:after="0" w:line="277" w:lineRule="auto"/>
        <w:rPr>
          <w:sz w:val="20"/>
          <w:szCs w:val="20"/>
          <w:color w:val="auto"/>
        </w:rPr>
      </w:pPr>
      <w:r>
        <w:rPr>
          <w:rFonts w:ascii="Arial" w:cs="Arial" w:eastAsia="Arial" w:hAnsi="Arial"/>
          <w:sz w:val="18"/>
          <w:szCs w:val="18"/>
          <w:color w:val="auto"/>
        </w:rPr>
        <w:t>IN WITNESS WHEREOF, the parties have caused this Registration Rights Agreement to be executed and delivered by their duly authorized representatives as of the date first written above.</w:t>
      </w:r>
    </w:p>
    <w:p>
      <w:pPr>
        <w:spacing w:after="0" w:line="170"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Carey</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Robert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Dubin</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Daniel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Deepa Pakianathan</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Deepa Pakianathan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ind w:left="5640"/>
        <w:spacing w:after="0"/>
        <w:rPr>
          <w:sz w:val="20"/>
          <w:szCs w:val="20"/>
          <w:color w:val="auto"/>
        </w:rPr>
      </w:pPr>
      <w:r>
        <w:rPr>
          <w:rFonts w:ascii="Arial" w:cs="Arial" w:eastAsia="Arial" w:hAnsi="Arial"/>
          <w:sz w:val="18"/>
          <w:szCs w:val="18"/>
          <w:b w:val="1"/>
          <w:bCs w:val="1"/>
          <w:color w:val="auto"/>
        </w:rPr>
        <w:t>LIGHTSTONE VENTURES,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LSV Associates,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 M. George</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Jean M.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2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LIGHTSTONE VENTURES (A), L.P.</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LSV Associates,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 M. George</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Jean M.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28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LIGHTSTONE SINGAPORE,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LSV Associates,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 M. George</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Jean M.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28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4" w:name="page55"/>
    <w:bookmarkEnd w:id="54"/>
    <w:p>
      <w:pPr>
        <w:ind w:left="5640"/>
        <w:spacing w:after="0"/>
        <w:rPr>
          <w:sz w:val="20"/>
          <w:szCs w:val="20"/>
          <w:color w:val="auto"/>
        </w:rPr>
      </w:pPr>
      <w:r>
        <w:rPr>
          <w:rFonts w:ascii="Arial" w:cs="Arial" w:eastAsia="Arial" w:hAnsi="Arial"/>
          <w:sz w:val="18"/>
          <w:szCs w:val="18"/>
          <w:b w:val="1"/>
          <w:bCs w:val="1"/>
          <w:color w:val="auto"/>
        </w:rPr>
        <w:t>ORBIMED PRIVATE INVESTMENTS VI,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OrbiMed Capital GP VI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OrbiMed Advisors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Managing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Carl Gordon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ATLAS VENTURE FUND X,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Atlas Venture Associates X,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Atlas Venture Associates X,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Ommer Chohan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WU CAPITAL INVESTMENT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Wu Capital Investment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Director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Yajun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Yajun Wu</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20"/>
          </w:cols>
          <w:pgMar w:left="1440" w:top="904" w:right="1139" w:bottom="1440" w:gutter="0" w:footer="0" w:header="0"/>
        </w:sectPr>
      </w:pPr>
    </w:p>
    <w:bookmarkStart w:id="55" w:name="page56"/>
    <w:bookmarkEnd w:id="55"/>
    <w:p>
      <w:pPr>
        <w:ind w:left="5640"/>
        <w:spacing w:after="0"/>
        <w:rPr>
          <w:sz w:val="20"/>
          <w:szCs w:val="20"/>
          <w:color w:val="auto"/>
        </w:rPr>
      </w:pPr>
      <w:r>
        <w:rPr>
          <w:rFonts w:ascii="Arial" w:cs="Arial" w:eastAsia="Arial" w:hAnsi="Arial"/>
          <w:sz w:val="17"/>
          <w:szCs w:val="17"/>
          <w:b w:val="1"/>
          <w:bCs w:val="1"/>
          <w:color w:val="auto"/>
        </w:rPr>
        <w:t>ATLAS VENTURE OPPORTUNITY FUND I, L.P.</w:t>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Atlas Venture Opportunity Fund I, L.P.</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Ommer Chohan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580"/>
          </w:cols>
          <w:pgMar w:left="1440" w:top="904" w:right="87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Addendum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Addendum Agreement (“</w:t>
      </w:r>
      <w:r>
        <w:rPr>
          <w:rFonts w:ascii="Arial" w:cs="Arial" w:eastAsia="Arial" w:hAnsi="Arial"/>
          <w:sz w:val="17"/>
          <w:szCs w:val="17"/>
          <w:u w:val="single" w:color="auto"/>
          <w:color w:val="auto"/>
        </w:rPr>
        <w:t>Addendum Agreement</w:t>
      </w:r>
      <w:r>
        <w:rPr>
          <w:rFonts w:ascii="Arial" w:cs="Arial" w:eastAsia="Arial" w:hAnsi="Arial"/>
          <w:sz w:val="17"/>
          <w:szCs w:val="17"/>
          <w:color w:val="auto"/>
        </w:rPr>
        <w:t>”) is executed on __________________, 20___, by the undersigned (the “</w:t>
      </w:r>
      <w:r>
        <w:rPr>
          <w:rFonts w:ascii="Arial" w:cs="Arial" w:eastAsia="Arial" w:hAnsi="Arial"/>
          <w:sz w:val="17"/>
          <w:szCs w:val="17"/>
          <w:u w:val="single" w:color="auto"/>
          <w:color w:val="auto"/>
        </w:rPr>
        <w:t>New Holder</w:t>
      </w:r>
      <w:r>
        <w:rPr>
          <w:rFonts w:ascii="Arial" w:cs="Arial" w:eastAsia="Arial" w:hAnsi="Arial"/>
          <w:sz w:val="17"/>
          <w:szCs w:val="17"/>
          <w:color w:val="auto"/>
        </w:rPr>
        <w:t>”)</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the terms of that certain Registration Rights Agreement dated as of February 5, 2021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the Company and the Investors identified therein, as such Agreement may be amended, supplemented or otherwise modified from time to time. Capitalized terms used but not defined in this Addendum Agreement shall have the respective meanings ascribed to such terms in the Agreement. By the execution of this Addendum Agreement, the New Holder agrees as follows:</w:t>
      </w:r>
    </w:p>
    <w:p>
      <w:pPr>
        <w:spacing w:after="0" w:line="193" w:lineRule="exact"/>
        <w:rPr>
          <w:sz w:val="20"/>
          <w:szCs w:val="20"/>
          <w:color w:val="auto"/>
        </w:rPr>
      </w:pPr>
    </w:p>
    <w:p>
      <w:pPr>
        <w:jc w:val="both"/>
        <w:ind w:firstLine="656"/>
        <w:spacing w:after="0" w:line="286" w:lineRule="auto"/>
        <w:tabs>
          <w:tab w:leader="none" w:pos="828"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Acknowledgment</w:t>
      </w:r>
      <w:r>
        <w:rPr>
          <w:rFonts w:ascii="Arial" w:cs="Arial" w:eastAsia="Arial" w:hAnsi="Arial"/>
          <w:sz w:val="17"/>
          <w:szCs w:val="17"/>
          <w:color w:val="auto"/>
        </w:rPr>
        <w:t>. New Holder acknowledges that New Holder is acquiring certain shares of common stock of the Company (the “</w:t>
      </w:r>
      <w:r>
        <w:rPr>
          <w:rFonts w:ascii="Arial" w:cs="Arial" w:eastAsia="Arial" w:hAnsi="Arial"/>
          <w:sz w:val="17"/>
          <w:szCs w:val="17"/>
          <w:u w:val="single" w:color="auto"/>
          <w:color w:val="auto"/>
        </w:rPr>
        <w:t>Shares</w:t>
      </w:r>
      <w:r>
        <w:rPr>
          <w:rFonts w:ascii="Arial" w:cs="Arial" w:eastAsia="Arial" w:hAnsi="Arial"/>
          <w:sz w:val="17"/>
          <w:szCs w:val="17"/>
          <w:color w:val="auto"/>
        </w:rPr>
        <w:t>”) as a transferee of such Shares from a party in such party’s capacity as a holder of Registrable Securities under the Agreement, and after such transfer, New Holder shall be considered an “Investor” and a holder of Registrable Securities for all purposes under the Agreement.</w:t>
      </w:r>
    </w:p>
    <w:p>
      <w:pPr>
        <w:spacing w:after="0" w:line="165" w:lineRule="exact"/>
        <w:rPr>
          <w:rFonts w:ascii="Arial" w:cs="Arial" w:eastAsia="Arial" w:hAnsi="Arial"/>
          <w:sz w:val="17"/>
          <w:szCs w:val="17"/>
          <w:color w:val="auto"/>
        </w:rPr>
      </w:pPr>
    </w:p>
    <w:p>
      <w:pPr>
        <w:ind w:right="20" w:firstLine="656"/>
        <w:spacing w:after="0" w:line="277" w:lineRule="auto"/>
        <w:tabs>
          <w:tab w:leader="none" w:pos="84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New Holder hereby (a) agrees that the Shares shall be bound by and subject to the terms of the Agreement and (b) adopts the Agreement with the same force and effect as if the New Holder were originally a party thereto.</w:t>
      </w:r>
    </w:p>
    <w:p>
      <w:pPr>
        <w:spacing w:after="0" w:line="170" w:lineRule="exact"/>
        <w:rPr>
          <w:rFonts w:ascii="Arial" w:cs="Arial" w:eastAsia="Arial" w:hAnsi="Arial"/>
          <w:sz w:val="18"/>
          <w:szCs w:val="18"/>
          <w:color w:val="auto"/>
        </w:rPr>
      </w:pPr>
    </w:p>
    <w:p>
      <w:pPr>
        <w:ind w:right="20" w:firstLine="656"/>
        <w:spacing w:after="0" w:line="277" w:lineRule="auto"/>
        <w:tabs>
          <w:tab w:leader="none" w:pos="82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required or permitted by the Agreement shall be given to New Holder at the address or facsimile number listed below New Holder’s signature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3"/>
          </w:tcPr>
          <w:p>
            <w:pPr>
              <w:spacing w:after="0"/>
              <w:rPr>
                <w:sz w:val="20"/>
                <w:szCs w:val="20"/>
                <w:color w:val="auto"/>
              </w:rPr>
            </w:pPr>
            <w:r>
              <w:rPr>
                <w:rFonts w:ascii="Arial" w:cs="Arial" w:eastAsia="Arial" w:hAnsi="Arial"/>
                <w:sz w:val="18"/>
                <w:szCs w:val="18"/>
                <w:color w:val="auto"/>
              </w:rPr>
              <w:t>NEW HOLDER:</w:t>
            </w:r>
          </w:p>
        </w:tc>
        <w:tc>
          <w:tcPr>
            <w:tcW w:w="6720" w:type="dxa"/>
            <w:vAlign w:val="bottom"/>
            <w:gridSpan w:val="2"/>
          </w:tcPr>
          <w:p>
            <w:pPr>
              <w:ind w:left="2240"/>
              <w:spacing w:after="0"/>
              <w:rPr>
                <w:sz w:val="20"/>
                <w:szCs w:val="20"/>
                <w:color w:val="auto"/>
              </w:rPr>
            </w:pPr>
            <w:r>
              <w:rPr>
                <w:rFonts w:ascii="Arial" w:cs="Arial" w:eastAsia="Arial" w:hAnsi="Arial"/>
                <w:sz w:val="18"/>
                <w:szCs w:val="18"/>
                <w:color w:val="auto"/>
              </w:rPr>
              <w:t>ACCEPTED AND AGREED:</w:t>
            </w:r>
          </w:p>
        </w:tc>
      </w:tr>
      <w:tr>
        <w:trPr>
          <w:trHeight w:val="432"/>
        </w:trPr>
        <w:tc>
          <w:tcPr>
            <w:tcW w:w="4520" w:type="dxa"/>
            <w:vAlign w:val="bottom"/>
            <w:gridSpan w:val="3"/>
          </w:tcPr>
          <w:p>
            <w:pPr>
              <w:spacing w:after="0"/>
              <w:rPr>
                <w:sz w:val="20"/>
                <w:szCs w:val="20"/>
                <w:color w:val="auto"/>
              </w:rPr>
            </w:pPr>
            <w:r>
              <w:rPr>
                <w:rFonts w:ascii="Arial" w:cs="Arial" w:eastAsia="Arial" w:hAnsi="Arial"/>
                <w:sz w:val="18"/>
                <w:szCs w:val="18"/>
                <w:color w:val="auto"/>
              </w:rPr>
              <w:t>Print Name:</w:t>
            </w:r>
          </w:p>
        </w:tc>
        <w:tc>
          <w:tcPr>
            <w:tcW w:w="6720" w:type="dxa"/>
            <w:vAlign w:val="bottom"/>
            <w:gridSpan w:val="2"/>
          </w:tcPr>
          <w:p>
            <w:pPr>
              <w:ind w:left="2240"/>
              <w:spacing w:after="0"/>
              <w:rPr>
                <w:sz w:val="20"/>
                <w:szCs w:val="20"/>
                <w:color w:val="auto"/>
              </w:rPr>
            </w:pPr>
            <w:r>
              <w:rPr>
                <w:rFonts w:ascii="Arial" w:cs="Arial" w:eastAsia="Arial" w:hAnsi="Arial"/>
                <w:sz w:val="18"/>
                <w:szCs w:val="18"/>
                <w:color w:val="auto"/>
              </w:rPr>
              <w:t>FS DEVELOPMENT CORP.</w:t>
            </w:r>
          </w:p>
        </w:tc>
      </w:tr>
      <w:tr>
        <w:trPr>
          <w:trHeight w:val="223"/>
        </w:trPr>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380" w:type="dxa"/>
            <w:vAlign w:val="bottom"/>
            <w:tcBorders>
              <w:bottom w:val="single" w:sz="8" w:color="auto"/>
            </w:tcBorders>
          </w:tcPr>
          <w:p>
            <w:pPr>
              <w:spacing w:after="0"/>
              <w:rPr>
                <w:sz w:val="19"/>
                <w:szCs w:val="19"/>
                <w:color w:val="auto"/>
              </w:rPr>
            </w:pPr>
          </w:p>
        </w:tc>
        <w:tc>
          <w:tcPr>
            <w:tcW w:w="268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439"/>
        </w:trPr>
        <w:tc>
          <w:tcPr>
            <w:tcW w:w="4520" w:type="dxa"/>
            <w:vAlign w:val="bottom"/>
            <w:gridSpan w:val="3"/>
          </w:tcPr>
          <w:p>
            <w:pPr>
              <w:spacing w:after="0"/>
              <w:rPr>
                <w:sz w:val="20"/>
                <w:szCs w:val="20"/>
                <w:color w:val="auto"/>
              </w:rPr>
            </w:pPr>
            <w:r>
              <w:rPr>
                <w:rFonts w:ascii="Arial" w:cs="Arial" w:eastAsia="Arial" w:hAnsi="Arial"/>
                <w:sz w:val="18"/>
                <w:szCs w:val="18"/>
                <w:color w:val="auto"/>
              </w:rPr>
              <w:t>By:</w:t>
            </w:r>
          </w:p>
        </w:tc>
        <w:tc>
          <w:tcPr>
            <w:tcW w:w="6720" w:type="dxa"/>
            <w:vAlign w:val="bottom"/>
            <w:gridSpan w:val="2"/>
          </w:tcPr>
          <w:p>
            <w:pPr>
              <w:ind w:left="2240"/>
              <w:spacing w:after="0"/>
              <w:rPr>
                <w:sz w:val="20"/>
                <w:szCs w:val="20"/>
                <w:color w:val="auto"/>
              </w:rPr>
            </w:pPr>
            <w:r>
              <w:rPr>
                <w:rFonts w:ascii="Arial" w:cs="Arial" w:eastAsia="Arial" w:hAnsi="Arial"/>
                <w:sz w:val="18"/>
                <w:szCs w:val="18"/>
                <w:color w:val="auto"/>
              </w:rPr>
              <w:t>By:</w:t>
            </w:r>
          </w:p>
        </w:tc>
      </w:tr>
      <w:tr>
        <w:trPr>
          <w:trHeight w:val="682"/>
        </w:trPr>
        <w:tc>
          <w:tcPr>
            <w:tcW w:w="460" w:type="dxa"/>
            <w:vAlign w:val="bottom"/>
            <w:tcBorders>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3380" w:type="dxa"/>
            <w:vAlign w:val="bottom"/>
            <w:tcBorders>
              <w:top w:val="single" w:sz="8" w:color="auto"/>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0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7" w:name="page58"/>
    <w:bookmarkEnd w:id="57"/>
    <w:p>
      <w:pPr>
        <w:jc w:val="right"/>
        <w:ind w:right="3959"/>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Investors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FS Development Holdings,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Robert Carey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Daniel Dubin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Deepa Pakianathan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Gemini Investors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Atlas Venture Fund X, L.P.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Lightstone Singapore L.P.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Lightstone Ventures (A), L.P.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Lightstone Ventures, L.P.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OrbiMed Private Investments VI, LP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Wu Capital Investment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ESCROW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THIS ESCROW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February 5, 2021, by and between: FS Development 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LLC, a Delaware limited liability company (“</w:t>
      </w:r>
      <w:r>
        <w:rPr>
          <w:rFonts w:ascii="Arial" w:cs="Arial" w:eastAsia="Arial" w:hAnsi="Arial"/>
          <w:sz w:val="18"/>
          <w:szCs w:val="18"/>
          <w:b w:val="1"/>
          <w:bCs w:val="1"/>
          <w:color w:val="auto"/>
        </w:rPr>
        <w:t>Sponsor</w:t>
      </w:r>
      <w:r>
        <w:rPr>
          <w:rFonts w:ascii="Arial" w:cs="Arial" w:eastAsia="Arial" w:hAnsi="Arial"/>
          <w:sz w:val="18"/>
          <w:szCs w:val="18"/>
          <w:color w:val="auto"/>
        </w:rPr>
        <w:t>”), FS Development Corp., a Delaware corporation (“</w:t>
      </w:r>
      <w:r>
        <w:rPr>
          <w:rFonts w:ascii="Arial" w:cs="Arial" w:eastAsia="Arial" w:hAnsi="Arial"/>
          <w:sz w:val="18"/>
          <w:szCs w:val="18"/>
          <w:b w:val="1"/>
          <w:bCs w:val="1"/>
          <w:color w:val="auto"/>
        </w:rPr>
        <w:t>Parent</w:t>
      </w:r>
      <w:r>
        <w:rPr>
          <w:rFonts w:ascii="Arial" w:cs="Arial" w:eastAsia="Arial" w:hAnsi="Arial"/>
          <w:sz w:val="18"/>
          <w:szCs w:val="18"/>
          <w:color w:val="auto"/>
        </w:rPr>
        <w:t>”), Shareholder Representative Services LLC, a Colorado limited liability company solely in its capacity as the representative of the Company Securityholders (the “</w:t>
      </w:r>
      <w:r>
        <w:rPr>
          <w:rFonts w:ascii="Arial" w:cs="Arial" w:eastAsia="Arial" w:hAnsi="Arial"/>
          <w:sz w:val="18"/>
          <w:szCs w:val="18"/>
          <w:b w:val="1"/>
          <w:bCs w:val="1"/>
          <w:color w:val="auto"/>
        </w:rPr>
        <w:t>Stockholder</w:t>
      </w:r>
      <w:r>
        <w:rPr>
          <w:rFonts w:ascii="Arial" w:cs="Arial" w:eastAsia="Arial" w:hAnsi="Arial"/>
          <w:sz w:val="18"/>
          <w:szCs w:val="18"/>
          <w:color w:val="auto"/>
        </w:rPr>
        <w:t xml:space="preserve"> </w:t>
      </w:r>
      <w:r>
        <w:rPr>
          <w:rFonts w:ascii="Arial" w:cs="Arial" w:eastAsia="Arial" w:hAnsi="Arial"/>
          <w:sz w:val="18"/>
          <w:szCs w:val="18"/>
          <w:b w:val="1"/>
          <w:bCs w:val="1"/>
          <w:color w:val="auto"/>
        </w:rPr>
        <w:t>Representative</w:t>
      </w:r>
      <w:r>
        <w:rPr>
          <w:rFonts w:ascii="Arial" w:cs="Arial" w:eastAsia="Arial" w:hAnsi="Arial"/>
          <w:sz w:val="18"/>
          <w:szCs w:val="18"/>
          <w:color w:val="auto"/>
        </w:rPr>
        <w:t>”), solely in its capacity as the representative, agent and attorney-in-fact of the stockholders of the Company, and Continental Stock</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&amp; Trust Company, a New York corporation (the “</w:t>
      </w:r>
      <w:r>
        <w:rPr>
          <w:rFonts w:ascii="Arial" w:cs="Arial" w:eastAsia="Arial" w:hAnsi="Arial"/>
          <w:sz w:val="18"/>
          <w:szCs w:val="18"/>
          <w:b w:val="1"/>
          <w:bCs w:val="1"/>
          <w:color w:val="auto"/>
        </w:rPr>
        <w:t>Escrow Agent</w:t>
      </w:r>
      <w:r>
        <w:rPr>
          <w:rFonts w:ascii="Arial" w:cs="Arial" w:eastAsia="Arial" w:hAnsi="Arial"/>
          <w:sz w:val="18"/>
          <w:szCs w:val="18"/>
          <w:color w:val="auto"/>
        </w:rPr>
        <w:t>”).</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Parent, FSG Merger Sub Inc., a Delaware corporation and a wholly-owned subsidiary of Parent (“</w:t>
      </w:r>
      <w:r>
        <w:rPr>
          <w:rFonts w:ascii="Arial" w:cs="Arial" w:eastAsia="Arial" w:hAnsi="Arial"/>
          <w:sz w:val="17"/>
          <w:szCs w:val="17"/>
          <w:b w:val="1"/>
          <w:bCs w:val="1"/>
          <w:color w:val="auto"/>
        </w:rPr>
        <w:t>Merger Sub</w:t>
      </w:r>
      <w:r>
        <w:rPr>
          <w:rFonts w:ascii="Arial" w:cs="Arial" w:eastAsia="Arial" w:hAnsi="Arial"/>
          <w:sz w:val="17"/>
          <w:szCs w:val="17"/>
          <w:color w:val="auto"/>
        </w:rPr>
        <w:t>”), Gemini</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the Stockholder Representative entered into an Agreement and Plan of Merger, dated October 15, 2020 (the “</w:t>
      </w:r>
      <w:r>
        <w:rPr>
          <w:rFonts w:ascii="Arial" w:cs="Arial" w:eastAsia="Arial" w:hAnsi="Arial"/>
          <w:sz w:val="17"/>
          <w:szCs w:val="17"/>
          <w:b w:val="1"/>
          <w:bCs w:val="1"/>
          <w:color w:val="auto"/>
        </w:rPr>
        <w:t>Merger Agreement</w:t>
      </w:r>
      <w:r>
        <w:rPr>
          <w:rFonts w:ascii="Arial" w:cs="Arial" w:eastAsia="Arial" w:hAnsi="Arial"/>
          <w:sz w:val="17"/>
          <w:szCs w:val="17"/>
          <w:color w:val="auto"/>
        </w:rPr>
        <w:t>”), providing for, among other things, the merger of Merger Sub with and into the Company and the conversion of shares of Company Capital Stock (other than the Dissenting Shares) into the right to receive a number of Parent Class A Shares equal to the Closing Consideration Conversion Ratio in accordance with the terms set forth in the Merger Agreement; and</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4.1(i) of the Merger Agreement, Parent is required to deposit 2,150,000 Parent Class A Shares, par value</w:t>
      </w:r>
      <w:r>
        <w:rPr>
          <w:rFonts w:ascii="Arial" w:cs="Arial" w:eastAsia="Arial" w:hAnsi="Arial"/>
          <w:sz w:val="18"/>
          <w:szCs w:val="18"/>
          <w:b w:val="1"/>
          <w:bCs w:val="1"/>
          <w:color w:val="auto"/>
        </w:rPr>
        <w:t xml:space="preserve"> </w:t>
      </w:r>
      <w:r>
        <w:rPr>
          <w:rFonts w:ascii="Arial" w:cs="Arial" w:eastAsia="Arial" w:hAnsi="Arial"/>
          <w:sz w:val="18"/>
          <w:szCs w:val="18"/>
          <w:color w:val="auto"/>
        </w:rPr>
        <w:t>$0.0001 per share (the “</w:t>
      </w:r>
      <w:r>
        <w:rPr>
          <w:rFonts w:ascii="Arial" w:cs="Arial" w:eastAsia="Arial" w:hAnsi="Arial"/>
          <w:sz w:val="18"/>
          <w:szCs w:val="18"/>
          <w:b w:val="1"/>
          <w:bCs w:val="1"/>
          <w:color w:val="auto"/>
        </w:rPr>
        <w:t>Escrow Shares</w:t>
      </w:r>
      <w:r>
        <w:rPr>
          <w:rFonts w:ascii="Arial" w:cs="Arial" w:eastAsia="Arial" w:hAnsi="Arial"/>
          <w:sz w:val="18"/>
          <w:szCs w:val="18"/>
          <w:color w:val="auto"/>
        </w:rPr>
        <w:t>”), which Escrow Shares would otherwise be issuable to the Escrow Participants (as defined in the Merger Agreement), with the Escrow Agent on the date hereof in connection with the indemnification obligations of the Escrow Participants as contemplated by the Merger Agreement; and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foregoing and of the mutual covenants hereinafter set forth, the parties hereto agree as follows: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Appointment; Defined Terms.</w:t>
      </w:r>
    </w:p>
    <w:p>
      <w:pPr>
        <w:spacing w:after="0" w:line="229" w:lineRule="exact"/>
        <w:rPr>
          <w:sz w:val="20"/>
          <w:szCs w:val="20"/>
          <w:color w:val="auto"/>
        </w:rPr>
      </w:pPr>
    </w:p>
    <w:p>
      <w:pPr>
        <w:ind w:firstLine="8"/>
        <w:spacing w:after="0" w:line="277" w:lineRule="auto"/>
        <w:tabs>
          <w:tab w:leader="none" w:pos="2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Sponsor and the Stockholder Representative hereby appoint the Escrow Agent as its escrow agent for the purposes set forth herein, and the Escrow Agent hereby accepts such appointment under the terms and conditions set forth herein.</w:t>
      </w:r>
    </w:p>
    <w:p>
      <w:pPr>
        <w:spacing w:after="0" w:line="170" w:lineRule="exact"/>
        <w:rPr>
          <w:rFonts w:ascii="Arial" w:cs="Arial" w:eastAsia="Arial" w:hAnsi="Arial"/>
          <w:sz w:val="18"/>
          <w:szCs w:val="18"/>
          <w:color w:val="auto"/>
        </w:rPr>
      </w:pPr>
    </w:p>
    <w:p>
      <w:pPr>
        <w:ind w:firstLine="8"/>
        <w:spacing w:after="0" w:line="277" w:lineRule="auto"/>
        <w:tabs>
          <w:tab w:leader="none" w:pos="2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capitalized terms with respect to the Escrow Agent shall be defined herein. The Escrow Agent shall act only in accordance with the terms and conditions contained in this Agreement and shall have no duties or obligations with respect to the Merger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Escrow Shares.</w:t>
      </w:r>
    </w:p>
    <w:p>
      <w:pPr>
        <w:spacing w:after="0" w:line="229" w:lineRule="exact"/>
        <w:rPr>
          <w:sz w:val="20"/>
          <w:szCs w:val="20"/>
          <w:color w:val="auto"/>
        </w:rPr>
      </w:pPr>
    </w:p>
    <w:p>
      <w:pPr>
        <w:ind w:firstLine="8"/>
        <w:spacing w:after="0" w:line="342" w:lineRule="auto"/>
        <w:tabs>
          <w:tab w:leader="none" w:pos="25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Parent agrees to deposit the Escrow Shares with the Escrow Agent on the date hereof. The Escrow Agent shall hold the Escrow Shares as a book-entry position registered on a pro rata basis in the proportion set forth next to the name of each stockholder of the Company as indicated on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Escrow Shares.</w:t>
      </w:r>
    </w:p>
    <w:p>
      <w:pPr>
        <w:spacing w:after="0" w:line="229" w:lineRule="exact"/>
        <w:rPr>
          <w:rFonts w:ascii="Arial" w:cs="Arial" w:eastAsia="Arial" w:hAnsi="Arial"/>
          <w:sz w:val="18"/>
          <w:szCs w:val="18"/>
          <w:color w:val="auto"/>
        </w:rPr>
      </w:pPr>
    </w:p>
    <w:p>
      <w:pPr>
        <w:jc w:val="both"/>
        <w:ind w:left="660" w:hanging="4"/>
        <w:spacing w:after="0" w:line="311" w:lineRule="auto"/>
        <w:tabs>
          <w:tab w:leader="none" w:pos="8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For so long as the Escrow Shares are held by the Escrow Agent, with respect to any matter for which the Escrow Shares are permitted to vote, the Escrow Agent shall vote, or cause to be voted, the Escrow Shares in the manner directed by the Stockholder Representative. In the absence of an instruction from the Stockholder Representative, the Escrow Agent shall not vote any of the shares comprising the Escrow Shares.</w:t>
      </w:r>
    </w:p>
    <w:p>
      <w:pPr>
        <w:spacing w:after="0" w:line="148" w:lineRule="exact"/>
        <w:rPr>
          <w:rFonts w:ascii="Arial" w:cs="Arial" w:eastAsia="Arial" w:hAnsi="Arial"/>
          <w:sz w:val="16"/>
          <w:szCs w:val="16"/>
          <w:color w:val="auto"/>
        </w:rPr>
      </w:pPr>
    </w:p>
    <w:p>
      <w:pPr>
        <w:jc w:val="both"/>
        <w:ind w:left="660" w:hanging="4"/>
        <w:spacing w:after="0" w:line="279" w:lineRule="auto"/>
        <w:tabs>
          <w:tab w:leader="none" w:pos="929" w:val="left"/>
        </w:tabs>
        <w:numPr>
          <w:ilvl w:val="1"/>
          <w:numId w:val="44"/>
        </w:numPr>
        <w:rPr>
          <w:rFonts w:ascii="Arial" w:cs="Arial" w:eastAsia="Arial" w:hAnsi="Arial"/>
          <w:sz w:val="17"/>
          <w:szCs w:val="17"/>
          <w:color w:val="auto"/>
        </w:rPr>
      </w:pPr>
      <w:r>
        <w:rPr>
          <w:rFonts w:ascii="Arial" w:cs="Arial" w:eastAsia="Arial" w:hAnsi="Arial"/>
          <w:sz w:val="17"/>
          <w:szCs w:val="17"/>
          <w:color w:val="auto"/>
        </w:rPr>
        <w:t>Any dividends or other distributions paid with respect to the Escrow Shares (collectively, the “</w:t>
      </w:r>
      <w:r>
        <w:rPr>
          <w:rFonts w:ascii="Arial" w:cs="Arial" w:eastAsia="Arial" w:hAnsi="Arial"/>
          <w:sz w:val="17"/>
          <w:szCs w:val="17"/>
          <w:u w:val="single" w:color="auto"/>
          <w:color w:val="auto"/>
        </w:rPr>
        <w:t>Escrowed Dividends</w:t>
      </w:r>
      <w:r>
        <w:rPr>
          <w:rFonts w:ascii="Arial" w:cs="Arial" w:eastAsia="Arial" w:hAnsi="Arial"/>
          <w:sz w:val="17"/>
          <w:szCs w:val="17"/>
          <w:color w:val="auto"/>
        </w:rPr>
        <w:t>”) shall be delivered to the Escrow Agent and shall immediately be disbursed by the Escrow Agent to the same person or entity to whom such Escrow Shares are to be released in accordance with the terms of this Agreement. For the avoidance of doubt, any release or distribution of Escrow Dividends is intended to comply with, and shall be effected in accordance with, Rev. Proc. 84-42, 1984-1 C.B. 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both"/>
        <w:ind w:left="660" w:hanging="4"/>
        <w:spacing w:after="0" w:line="311" w:lineRule="auto"/>
        <w:tabs>
          <w:tab w:leader="none" w:pos="1010"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In the event of any stock split, reverse stock split, stock dividend, recapitalization, reorganization, merger, consolidation, combination, exchange of shares, liquidation, spin-off or other similar change in capitalization or event, or any distribution to holders of the common stock of Parent other than a regular cash dividend, the Escrow Shares under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above shall be appropriately adjusted on a pro rata basis.</w:t>
      </w:r>
    </w:p>
    <w:p>
      <w:pPr>
        <w:spacing w:after="0" w:line="144" w:lineRule="exact"/>
        <w:rPr>
          <w:rFonts w:ascii="Arial" w:cs="Arial" w:eastAsia="Arial" w:hAnsi="Arial"/>
          <w:sz w:val="16"/>
          <w:szCs w:val="16"/>
          <w:color w:val="auto"/>
        </w:rPr>
      </w:pPr>
    </w:p>
    <w:p>
      <w:pPr>
        <w:ind w:left="180" w:hanging="172"/>
        <w:spacing w:after="0"/>
        <w:tabs>
          <w:tab w:leader="none" w:pos="1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Disposition and Termination.</w:t>
      </w:r>
    </w:p>
    <w:p>
      <w:pPr>
        <w:spacing w:after="0" w:line="229" w:lineRule="exact"/>
        <w:rPr>
          <w:sz w:val="20"/>
          <w:szCs w:val="20"/>
          <w:color w:val="auto"/>
        </w:rPr>
      </w:pPr>
    </w:p>
    <w:p>
      <w:pPr>
        <w:ind w:right="20" w:firstLine="8"/>
        <w:spacing w:after="0" w:line="277" w:lineRule="auto"/>
        <w:tabs>
          <w:tab w:leader="none" w:pos="249"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event that the Escrow Agent receives an instruction letter signed by each of Sponsor and the Stockholder Representative, the Escrow Agent shall promptly distribute all or any portion of the Escrow Shares as directed by such instruction letter.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Escrow Agent.</w:t>
      </w:r>
    </w:p>
    <w:p>
      <w:pPr>
        <w:spacing w:after="0" w:line="229" w:lineRule="exact"/>
        <w:rPr>
          <w:sz w:val="20"/>
          <w:szCs w:val="20"/>
          <w:color w:val="auto"/>
        </w:rPr>
      </w:pPr>
    </w:p>
    <w:p>
      <w:pPr>
        <w:jc w:val="both"/>
        <w:ind w:firstLine="8"/>
        <w:spacing w:after="0" w:line="285" w:lineRule="auto"/>
        <w:tabs>
          <w:tab w:leader="none" w:pos="257"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The Escrow Agent shall have only those duties as are specifically and expressly provided herein, which shall be deemed purely ministerial in nature, and no other duties shall be implied. The Escrow Agent shall neither be responsible for, nor chargeable with, knowledge of, nor have any requirements to comply with, the terms and conditions of any other agreement, instrument or document between Parent or Sponsor and any other person or entity, in connection herewith, if any, including without limitation the Merger Agreement or nor shall the Escrow Agent be required to determine if any person or entity has complied with any such agreements, nor shall any additional obligations of the Escrow Agent be inferred from the terms of such agreements, even though reference thereto may be made in this Agreement. In the event of any conflict between the terms and provisions of this Agreement, those of the Merger Agreement, any schedule or exhibit attached to this Agreement, or any other agreement between Parent or Sponsor and any other person or entity, the terms and conditions of this Agreement shall control. The Escrow Agent may rely upon and shall not be liable for acting or refraining from acting upon any written notice, document, instruction or request furnished to it hereunder and believed by it to be genuine and to have been signed or presented by the applicable person without inquiry and without requiring substantiating evidence of any kind. The Escrow Agent shall not be liable to any beneficiary or other person for refraining from acting upon any instruction setting forth, claiming, containing, objecting to, or related to the transfer or distribution of the Escrow Shares, or any portion thereof, unless such instruction shall have been delivered to the Escrow Agent in accordance with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below and the Escrow Agent has been able to satisfy any applicable security procedures as may be required hereunder and as set forth in </w:t>
      </w:r>
      <w:r>
        <w:rPr>
          <w:rFonts w:ascii="Arial" w:cs="Arial" w:eastAsia="Arial" w:hAnsi="Arial"/>
          <w:sz w:val="16"/>
          <w:szCs w:val="16"/>
          <w:u w:val="single" w:color="auto"/>
          <w:color w:val="auto"/>
        </w:rPr>
        <w:t>Section 10</w:t>
      </w:r>
      <w:r>
        <w:rPr>
          <w:rFonts w:ascii="Arial" w:cs="Arial" w:eastAsia="Arial" w:hAnsi="Arial"/>
          <w:sz w:val="16"/>
          <w:szCs w:val="16"/>
          <w:color w:val="auto"/>
        </w:rPr>
        <w:t>. The Escrow Agent shall be under no duty to inquire into or investigate the validity, accuracy or content of any such document, notice, instruction or request. The Escrow Agent shall have no duty to solicit any payments which may be due it or the Escrow Shares nor shall the Escrow Agent have any duty or obligation to confirm or verify the accuracy or correctness of any amounts deposited with it hereunder.</w:t>
      </w:r>
    </w:p>
    <w:p>
      <w:pPr>
        <w:spacing w:after="0" w:line="176" w:lineRule="exact"/>
        <w:rPr>
          <w:rFonts w:ascii="Arial" w:cs="Arial" w:eastAsia="Arial" w:hAnsi="Arial"/>
          <w:sz w:val="16"/>
          <w:szCs w:val="16"/>
          <w:color w:val="auto"/>
        </w:rPr>
      </w:pPr>
    </w:p>
    <w:p>
      <w:pPr>
        <w:jc w:val="both"/>
        <w:ind w:firstLine="8"/>
        <w:spacing w:after="0" w:line="269" w:lineRule="auto"/>
        <w:tabs>
          <w:tab w:leader="none" w:pos="287"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Escrow Agent shall not be liable for any action taken, suffered or omitted to be taken by it in good faith except to the extent that a final adjudication of a court of competent jurisdiction determines that the Escrow Agent’s fraud, gross negligence or willful misconduct was the primary cause of any loss. The Escrow Agent may execute any of its powers and perform any of its duties hereunder directly or through affiliates or agents. The Escrow Agent may consult with counsel, accountants and other skilled persons to be selected and retained by it. The Escrow Agent shall not be liable for any action taken, suffered or omitted to be taken by it in good faith, in accordance with, or in reliance upon, the advice or opinion of any such counsel, accountants or other skilled persons except to the extent that a final adjudication of a court of competent jurisdiction determines that the Escrow Agent’s fraud, gross negligence or willful misconduct was the primary cause of any loss. In the event that the Escrow Agent shall be uncertain or believe there is some ambiguity as to its duties or rights hereunder or shall receive instructions, claims or demands which, in its opinion, conflict with any of the provisions of this Agreement, it shall be entitled to refrain from taking any action and its sole obligation shall be to keep safely all property held in escrow until it shall be given a direction in writing which eliminates such ambiguity or uncertainty to the satisfaction of the Escrow Agent or by a final and non-appealable order or judgment of a court of competent jurisdiction.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5. Succession.</w:t>
      </w:r>
    </w:p>
    <w:p>
      <w:pPr>
        <w:spacing w:after="0" w:line="229" w:lineRule="exact"/>
        <w:rPr>
          <w:sz w:val="20"/>
          <w:szCs w:val="20"/>
          <w:color w:val="auto"/>
        </w:rPr>
      </w:pPr>
    </w:p>
    <w:p>
      <w:pPr>
        <w:jc w:val="both"/>
        <w:ind w:firstLine="8"/>
        <w:spacing w:after="0" w:line="269" w:lineRule="auto"/>
        <w:tabs>
          <w:tab w:leader="none" w:pos="252"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The Escrow Agent may resign and be discharged from its duties or obligations hereunder by giving thirty (30) days’ advance notice in writing of such resignation to the other parties hereto specifying a date when such resignation shall take effect,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resignation shall not take effect until a successor escrow agent has been appointed in accordance with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If the parties hereto have jointly failed to appoint a successor escrow agent prior to the expiration of thirty (30) days following receipt of the notice of resignation, the Escrow Agent may petition any court of competent jurisdiction for the appointment of a successor escrow agent or for other appropriate relief, and any such resulting appointment shall be binding upon all of the parties hereto. The Escrow Agent’s sole responsibility after such thirty (30) day notice period expires shall be to hold the Escrow Shares and to deliver the same to a designated substitute escrow agent, if any, or in accordance with the directions of a final order or judgment of a court of competent jurisdiction, at which time of delivery the Escrow Agent’s obligations hereunder shall cease and terminate, subject to the provisions of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below. In accordance with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below, the Escrow Agent shall have the right to withhold, as security, an amount of shares equal to any dollar amount due and owing to the Escrow Agent, plus any costs and expenses the Escrow Agent shall reasonably believe may be incurred by the Escrow Agent in connection with the termination of this Agreement.</w:t>
      </w:r>
    </w:p>
    <w:p>
      <w:pPr>
        <w:spacing w:after="0" w:line="181" w:lineRule="exact"/>
        <w:rPr>
          <w:rFonts w:ascii="Arial" w:cs="Arial" w:eastAsia="Arial" w:hAnsi="Arial"/>
          <w:sz w:val="17"/>
          <w:szCs w:val="17"/>
          <w:color w:val="auto"/>
        </w:rPr>
      </w:pPr>
    </w:p>
    <w:p>
      <w:pPr>
        <w:ind w:firstLine="8"/>
        <w:spacing w:after="0" w:line="277" w:lineRule="auto"/>
        <w:tabs>
          <w:tab w:leader="none" w:pos="26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entity into which the Escrow Agent may be merged or converted or with which it may be consolidated, or any entity to which all or substantially all the escrow business may be transferred, shall be the Escrow Agent under this Agreement without further act.</w:t>
      </w:r>
    </w:p>
    <w:p>
      <w:pPr>
        <w:spacing w:after="0" w:line="166" w:lineRule="exact"/>
        <w:rPr>
          <w:sz w:val="20"/>
          <w:szCs w:val="20"/>
          <w:color w:val="auto"/>
        </w:rPr>
      </w:pPr>
    </w:p>
    <w:p>
      <w:pPr>
        <w:jc w:val="both"/>
        <w:ind w:firstLine="8"/>
        <w:spacing w:after="0" w:line="274" w:lineRule="auto"/>
        <w:tabs>
          <w:tab w:leader="none" w:pos="19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Compensation and Reimbursement. </w:t>
      </w:r>
      <w:r>
        <w:rPr>
          <w:rFonts w:ascii="Arial" w:cs="Arial" w:eastAsia="Arial" w:hAnsi="Arial"/>
          <w:sz w:val="17"/>
          <w:szCs w:val="17"/>
          <w:color w:val="auto"/>
        </w:rPr>
        <w:t>The Escrow Agent shall be entitled to compensation for its services under this Agreement as Escrow Agent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 reimbursement for its reasonable and documented out-of-pocket costs and expenses, in the amounts and payable as set forth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All amounts owing under the foregoing sentence shall be paid by Parent. The Escrow Agent shall also be entitled to payment of any amounts to which the Escrow Agent is entitled under the indemnification provisions contained herein as set forth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7; </w:t>
      </w:r>
      <w:r>
        <w:rPr>
          <w:rFonts w:ascii="Arial" w:cs="Arial" w:eastAsia="Arial" w:hAnsi="Arial"/>
          <w:sz w:val="17"/>
          <w:szCs w:val="17"/>
          <w:i w:val="1"/>
          <w:iCs w:val="1"/>
          <w:color w:val="auto"/>
        </w:rPr>
        <w:t>provided, however, that</w:t>
      </w:r>
      <w:r>
        <w:rPr>
          <w:rFonts w:ascii="Arial" w:cs="Arial" w:eastAsia="Arial" w:hAnsi="Arial"/>
          <w:sz w:val="17"/>
          <w:szCs w:val="17"/>
          <w:color w:val="auto"/>
        </w:rPr>
        <w:t xml:space="preserve"> such compensation, expenses, disbursements and advances shall not be paid from the Escrow Shares. The obligations of Parent set forth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shall survive the resignation, replacement or removal of the Escrow Agent or the termination of this Agreement.</w:t>
      </w:r>
    </w:p>
    <w:p>
      <w:pPr>
        <w:spacing w:after="0" w:line="173" w:lineRule="exact"/>
        <w:rPr>
          <w:rFonts w:ascii="Arial" w:cs="Arial" w:eastAsia="Arial" w:hAnsi="Arial"/>
          <w:sz w:val="17"/>
          <w:szCs w:val="17"/>
          <w:b w:val="1"/>
          <w:bCs w:val="1"/>
          <w:color w:val="auto"/>
        </w:rPr>
      </w:pPr>
    </w:p>
    <w:p>
      <w:pPr>
        <w:ind w:left="180" w:hanging="172"/>
        <w:spacing w:after="0"/>
        <w:tabs>
          <w:tab w:leader="none" w:pos="1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jc w:val="both"/>
        <w:ind w:firstLine="8"/>
        <w:spacing w:after="0" w:line="272" w:lineRule="auto"/>
        <w:tabs>
          <w:tab w:leader="none" w:pos="194"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Escrow Agent shall be indemnified and held harmless by Parent from and against any expenses, including counsel fees and disbursements, or loss suffered by the Escrow Agent in connection with any action, suit or other proceeding involving any claim which in any way, directly or indirectly, arises out of or relates to this Agreement, the services of the Escrow Agent hereunder, other than expenses or losses arising from the fraud, gross negligence or willful misconduct of the Escrow Agent. Promptly after the receipt by the Escrow Agent of notice of any demand or claim or the commencement of any action, suit or proceeding, the Escrow Agent shall notify the other parties hereto in writing and keep the parties advised with respect to all developments concerning such claim. In the event of the receipt of such notice, the Escrow Agent, in its sole discretion, may commence an action in the nature of interpleader in the any state or federal court located in New York County, State of New York.</w:t>
      </w:r>
    </w:p>
    <w:p>
      <w:pPr>
        <w:spacing w:after="0" w:line="177" w:lineRule="exact"/>
        <w:rPr>
          <w:rFonts w:ascii="Arial" w:cs="Arial" w:eastAsia="Arial" w:hAnsi="Arial"/>
          <w:sz w:val="17"/>
          <w:szCs w:val="17"/>
          <w:color w:val="auto"/>
        </w:rPr>
      </w:pPr>
    </w:p>
    <w:p>
      <w:pPr>
        <w:jc w:val="both"/>
        <w:ind w:firstLine="8"/>
        <w:spacing w:after="0" w:line="291" w:lineRule="auto"/>
        <w:tabs>
          <w:tab w:leader="none" w:pos="214"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Escrow Agent shall not be liable for any action taken or omitted by it in good faith and in the exercise of its own best judgment (absent gross negligence or willful misconduct), and may rely conclusively and shall be protected in acting upon any order, notice, demand, certificate, opinion or advice of counsel (including counsel chosen by the Escrow Agent), statement, instrument, report or other paper or document (not only as to its due execution and the validity and effectiveness of its provisions, but also as to the truth and acceptability of any information therein contained) which is believed by the Escrow Agent to be genuine and to be signed or presented by the proper person or persons. The Escrow Agent shall not be bound by any notice or demand, or any waiver, modification, termination or rescission of this Agreement unless evidenced by a writing delivered to the Escrow Agent signed by the proper party or parties and, if the duties or rights of the Escrow Agent are affected, unless it shall have given its prior written consent thereto.</w:t>
      </w:r>
    </w:p>
    <w:p>
      <w:pPr>
        <w:spacing w:after="0" w:line="166" w:lineRule="exact"/>
        <w:rPr>
          <w:rFonts w:ascii="Arial" w:cs="Arial" w:eastAsia="Arial" w:hAnsi="Arial"/>
          <w:sz w:val="16"/>
          <w:szCs w:val="16"/>
          <w:color w:val="auto"/>
        </w:rPr>
      </w:pPr>
    </w:p>
    <w:p>
      <w:pPr>
        <w:jc w:val="both"/>
        <w:ind w:firstLine="8"/>
        <w:spacing w:after="0" w:line="259" w:lineRule="auto"/>
        <w:tabs>
          <w:tab w:leader="none" w:pos="18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Escrow Agent shall not be liable for any action taken by it in good faith and believed by it to be authorized or within the rights or powers conferred upon it by this Agreement (absent gross negligence or willful misconduct), and may consult with counsel of its own choice and shall have full and complete authorization and indemnification, for any action taken or suffered by it hereunder in good faith and in accordance with the opinion of such counsel.</w:t>
      </w:r>
    </w:p>
    <w:p>
      <w:pPr>
        <w:spacing w:after="0" w:line="186" w:lineRule="exact"/>
        <w:rPr>
          <w:rFonts w:ascii="Arial" w:cs="Arial" w:eastAsia="Arial" w:hAnsi="Arial"/>
          <w:sz w:val="18"/>
          <w:szCs w:val="18"/>
          <w:color w:val="auto"/>
        </w:rPr>
      </w:pPr>
    </w:p>
    <w:p>
      <w:pPr>
        <w:ind w:left="200" w:hanging="192"/>
        <w:spacing w:after="0"/>
        <w:tabs>
          <w:tab w:leader="none" w:pos="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survive termination of this Agreement or the resignation, replacement or removal of the Escrow Agent for any reason.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8. Patriot Act Disclosure/Taxpayer Identification Numbers/Tax Reporting.</w:t>
      </w:r>
    </w:p>
    <w:p>
      <w:pPr>
        <w:spacing w:after="0" w:line="225" w:lineRule="exact"/>
        <w:rPr>
          <w:sz w:val="20"/>
          <w:szCs w:val="20"/>
          <w:color w:val="auto"/>
        </w:rPr>
      </w:pPr>
    </w:p>
    <w:p>
      <w:pPr>
        <w:jc w:val="both"/>
        <w:ind w:firstLine="8"/>
        <w:spacing w:after="0" w:line="255" w:lineRule="auto"/>
        <w:tabs>
          <w:tab w:leader="none" w:pos="258"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Patriot Act Disclosure. </w:t>
      </w:r>
      <w:r>
        <w:rPr>
          <w:rFonts w:ascii="Arial" w:cs="Arial" w:eastAsia="Arial" w:hAnsi="Arial"/>
          <w:sz w:val="18"/>
          <w:szCs w:val="18"/>
          <w:color w:val="auto"/>
        </w:rPr>
        <w:t>Section 326 of the Uniting and Strengthening America by Providing Appropriate Tools Required to Intercept and Obstruct</w:t>
      </w:r>
      <w:r>
        <w:rPr>
          <w:rFonts w:ascii="Arial" w:cs="Arial" w:eastAsia="Arial" w:hAnsi="Arial"/>
          <w:sz w:val="18"/>
          <w:szCs w:val="18"/>
          <w:b w:val="1"/>
          <w:bCs w:val="1"/>
          <w:color w:val="auto"/>
        </w:rPr>
        <w:t xml:space="preserve"> </w:t>
      </w:r>
      <w:r>
        <w:rPr>
          <w:rFonts w:ascii="Arial" w:cs="Arial" w:eastAsia="Arial" w:hAnsi="Arial"/>
          <w:sz w:val="18"/>
          <w:szCs w:val="18"/>
          <w:color w:val="auto"/>
        </w:rPr>
        <w:t>Terrorism Act of 2001 (“</w:t>
      </w:r>
      <w:r>
        <w:rPr>
          <w:rFonts w:ascii="Arial" w:cs="Arial" w:eastAsia="Arial" w:hAnsi="Arial"/>
          <w:sz w:val="18"/>
          <w:szCs w:val="18"/>
          <w:b w:val="1"/>
          <w:bCs w:val="1"/>
          <w:color w:val="auto"/>
        </w:rPr>
        <w:t>USA PATRIOT Act</w:t>
      </w:r>
      <w:r>
        <w:rPr>
          <w:rFonts w:ascii="Arial" w:cs="Arial" w:eastAsia="Arial" w:hAnsi="Arial"/>
          <w:sz w:val="18"/>
          <w:szCs w:val="18"/>
          <w:color w:val="auto"/>
        </w:rPr>
        <w:t>”) requires the Escrow Agent to implement reasonable procedures to verify the identity of any person that opens a new account with it. Accordingly, parties hereto acknowledge that Section 326 of the USA PATRIOT Act and the Escrow Agent’s identity verification procedures require the Escrow Agent to obtain information which may be used to confirm identity, including without limitation name, address and organizational documents (“identifying information”). The parties hereto agree to provide the Escrow Agent with information and consent to the Escrow Agent obtaining from third parties any such identifying information required as a condition of opening an account with or using any service provided by the Escrow Agent.</w:t>
      </w:r>
    </w:p>
    <w:p>
      <w:pPr>
        <w:spacing w:after="0" w:line="192" w:lineRule="exact"/>
        <w:rPr>
          <w:rFonts w:ascii="Arial" w:cs="Arial" w:eastAsia="Arial" w:hAnsi="Arial"/>
          <w:sz w:val="18"/>
          <w:szCs w:val="18"/>
          <w:color w:val="auto"/>
        </w:rPr>
      </w:pPr>
    </w:p>
    <w:p>
      <w:pPr>
        <w:ind w:firstLine="8"/>
        <w:spacing w:after="0" w:line="277" w:lineRule="auto"/>
        <w:tabs>
          <w:tab w:leader="none" w:pos="28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underlying transaction does not constitute an installment sale requiring any tax reporting or withholding of imputed interest or original issue discount to the IRS or other taxing authority.</w:t>
      </w:r>
    </w:p>
    <w:p>
      <w:pPr>
        <w:spacing w:after="0" w:line="166" w:lineRule="exact"/>
        <w:rPr>
          <w:sz w:val="20"/>
          <w:szCs w:val="20"/>
          <w:color w:val="auto"/>
        </w:rPr>
      </w:pPr>
    </w:p>
    <w:p>
      <w:pPr>
        <w:jc w:val="both"/>
        <w:ind w:firstLine="8"/>
        <w:spacing w:after="0" w:line="303" w:lineRule="auto"/>
        <w:tabs>
          <w:tab w:leader="none" w:pos="18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and communications hereunder shall be deemed to have been duly given and made if in writing and if (i) served by personal delivery</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party for whom it is intended, (ii) delivered by registered or certified mail, return receipt requested, or by Federal Express or similar overnight courier, or (iii) sent by facsimile or email, provided that the receipt of such facsimile or email is promptly confirmed, by telephone, electronically or otherwise, to the party at the address set forth below, or such other address as may be designated in writing hereafter, in the same manner, by such party: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If to Sponsor: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FS Development Holdings,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Jim Tananbaum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E-mail:Jim@foresitecapital.com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Parent: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FS Development 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Jim Tananbaum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E-mail:Jim@foresitecapital.com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Stockholder Representative: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Shareholder Representative Services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950 17th Street, Suite 1400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Denver, CO 80202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Managing Director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deals@srsacquiom.com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(303) 623-0294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(303) 648-4085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Escrow Agent: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Continental Stock Transfer and Trust</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State Street - 30th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No: (212) 616-7615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George Dalton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spacing w:after="0" w:line="255" w:lineRule="auto"/>
        <w:rPr>
          <w:sz w:val="20"/>
          <w:szCs w:val="20"/>
          <w:color w:val="auto"/>
        </w:rPr>
      </w:pPr>
      <w:r>
        <w:rPr>
          <w:rFonts w:ascii="Arial" w:cs="Arial" w:eastAsia="Arial" w:hAnsi="Arial"/>
          <w:sz w:val="18"/>
          <w:szCs w:val="18"/>
          <w:color w:val="auto"/>
        </w:rPr>
        <w:t>Notwithstanding the above, in the case of communications delivered to the Escrow Agent, such communications shall be deemed to have been given on the date received by an officer of the Escrow Agent or any employee of the Escrow Agent who reports directly to any such officer at the above-referenced office. In the event that the Escrow Agent, in its sole discretion, shall determine that an emergency exists, the Escrow Agent may use such other means of communication as the Escrow Agent deems appropriate. For purposes of this Agreement, “</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other than a Saturday, Sunday or any other day on which the Escrow Agent located at the notice address set forth above is authorized or required by law or executive order to remain closed.</w:t>
      </w:r>
    </w:p>
    <w:p>
      <w:pPr>
        <w:spacing w:after="0" w:line="188" w:lineRule="exact"/>
        <w:rPr>
          <w:sz w:val="20"/>
          <w:szCs w:val="20"/>
          <w:color w:val="auto"/>
        </w:rPr>
      </w:pPr>
    </w:p>
    <w:p>
      <w:pPr>
        <w:jc w:val="both"/>
        <w:ind w:firstLine="8"/>
        <w:spacing w:after="0" w:line="273" w:lineRule="auto"/>
        <w:tabs>
          <w:tab w:leader="none" w:pos="274"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Security Procedures. </w:t>
      </w:r>
      <w:r>
        <w:rPr>
          <w:rFonts w:ascii="Arial" w:cs="Arial" w:eastAsia="Arial" w:hAnsi="Arial"/>
          <w:sz w:val="17"/>
          <w:szCs w:val="17"/>
          <w:color w:val="auto"/>
        </w:rPr>
        <w:t>Notwithstanding anything to the contrary as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9</w:t>
      </w:r>
      <w:r>
        <w:rPr>
          <w:rFonts w:ascii="Arial" w:cs="Arial" w:eastAsia="Arial" w:hAnsi="Arial"/>
          <w:sz w:val="17"/>
          <w:szCs w:val="17"/>
          <w:color w:val="auto"/>
        </w:rPr>
        <w:t>, any instructions setting forth, claiming, containing, objecting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or in any way related to the transfer or distribution, including but not limited to any transfer instructions that may otherwise be set forth in a written instruction permitted pursuant to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Agreement, may be given to the Escrow Agent only by confirmed facsimile or other electronic transmission (including e-mail) and no instruction for or related to the transfer or distribution of the Escrow Shares, or any portion thereof, shall be deemed delivered and effective unless the Escrow Agent actually shall have received such instruction by facsimile or other electronic transmission (including e-mail) at the number or e-mail address provided to Sponsor and the Stockholder Representative by the Escrow Agent in accordance with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and as further evidenced by a confirmed transmittal to that number.</w:t>
      </w:r>
    </w:p>
    <w:p>
      <w:pPr>
        <w:spacing w:after="0" w:line="176" w:lineRule="exact"/>
        <w:rPr>
          <w:sz w:val="20"/>
          <w:szCs w:val="20"/>
          <w:color w:val="auto"/>
        </w:rPr>
      </w:pPr>
    </w:p>
    <w:p>
      <w:pPr>
        <w:jc w:val="both"/>
        <w:ind w:firstLine="8"/>
        <w:spacing w:after="0" w:line="279" w:lineRule="auto"/>
        <w:tabs>
          <w:tab w:leader="none" w:pos="245"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In the event transfer instructions are so received by the Escrow Agent by facsimile or other electronic transmission (including e-mail), the Escrow Agent is authorized to seek confirmation of such instructions by telephone call-back to the person or persons designated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and the Escrow Agent may rely upon the confirmation of anyone purporting to be the person or persons so designated. The persons and telephone numbers for call-backs may be changed only in a writing actually received and acknowledged by the Escrow Agent.</w:t>
      </w:r>
    </w:p>
    <w:p>
      <w:pPr>
        <w:spacing w:after="0" w:line="171" w:lineRule="exact"/>
        <w:rPr>
          <w:rFonts w:ascii="Arial" w:cs="Arial" w:eastAsia="Arial" w:hAnsi="Arial"/>
          <w:sz w:val="17"/>
          <w:szCs w:val="17"/>
          <w:color w:val="auto"/>
        </w:rPr>
      </w:pPr>
    </w:p>
    <w:p>
      <w:pPr>
        <w:ind w:firstLine="8"/>
        <w:spacing w:after="0" w:line="277" w:lineRule="auto"/>
        <w:tabs>
          <w:tab w:leader="none" w:pos="261"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Assuming compliance with the provisions of this Agreement, Sponsor acknowledges that the Escrow Agent is authorized to deliver the Escrow Shares to the custodian account or recipient designated by Sponsor and the Stockholder Representative in writing.</w:t>
      </w:r>
    </w:p>
    <w:p>
      <w:pPr>
        <w:spacing w:after="0" w:line="166" w:lineRule="exact"/>
        <w:rPr>
          <w:sz w:val="20"/>
          <w:szCs w:val="20"/>
          <w:color w:val="auto"/>
        </w:rPr>
      </w:pPr>
    </w:p>
    <w:p>
      <w:pPr>
        <w:jc w:val="both"/>
        <w:ind w:firstLine="8"/>
        <w:spacing w:after="0" w:line="255" w:lineRule="auto"/>
        <w:tabs>
          <w:tab w:leader="none" w:pos="267"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Court Orders. </w:t>
      </w:r>
      <w:r>
        <w:rPr>
          <w:rFonts w:ascii="Arial" w:cs="Arial" w:eastAsia="Arial" w:hAnsi="Arial"/>
          <w:sz w:val="18"/>
          <w:szCs w:val="18"/>
          <w:color w:val="auto"/>
        </w:rPr>
        <w:t>In the event that any escrow property shall be attached, garnished or levied upon by any court order, or the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shall be stayed or enjoined by an order of a com1, or any order, judgment or decree shall be made or entered by any court order affecting the property deposited under this Agreement, the Escrow Agent is hereby expressly authorized, in its sole discretion, to obey and comply with all writs, orders or decrees so entered or issued, which it is advised by opinion of legal counsel of its own choosing is binding upon it, whether with or without jurisdiction, and in the event that the Escrow Agent reasonably obeys or complies with any such writ, order or decree it shall not be liable to any of the parties hereto or to any other person, entity, firm or corporation, by reason of such compliance notwithstanding such writ, order or decree be subsequently reversed, modified, annulled, set aside or vacated.</w:t>
      </w:r>
    </w:p>
    <w:p>
      <w:pPr>
        <w:spacing w:after="0" w:line="188" w:lineRule="exact"/>
        <w:rPr>
          <w:rFonts w:ascii="Arial" w:cs="Arial" w:eastAsia="Arial" w:hAnsi="Arial"/>
          <w:sz w:val="18"/>
          <w:szCs w:val="18"/>
          <w:b w:val="1"/>
          <w:bCs w:val="1"/>
          <w:color w:val="auto"/>
        </w:rPr>
      </w:pPr>
    </w:p>
    <w:p>
      <w:pPr>
        <w:jc w:val="both"/>
        <w:ind w:firstLine="8"/>
        <w:spacing w:after="0" w:line="267" w:lineRule="auto"/>
        <w:tabs>
          <w:tab w:leader="none" w:pos="297"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Miscellaneous. </w:t>
      </w:r>
      <w:r>
        <w:rPr>
          <w:rFonts w:ascii="Arial" w:cs="Arial" w:eastAsia="Arial" w:hAnsi="Arial"/>
          <w:sz w:val="17"/>
          <w:szCs w:val="17"/>
          <w:color w:val="auto"/>
        </w:rPr>
        <w:t>Except for changes to transfer instructions as provided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color w:val="auto"/>
        </w:rPr>
        <w:t>, the provisions of this Agreement may be waived, altered,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amended or supplemented, in whole or in part, only by a writing signed by the Escrow Agent and the other parties hereto. Neither this Agreement nor any right or interest hereunder may be assigned in whole or in part by the Escrow Agent or any other party hereto without the prior consent of all the other parties hereto. This Agreement shall be governed by and construed under the laws of the State of New York. Each of the parties hereto irrevocably waives any objection on the grounds of venue, forum non-conveniens or any similar grounds and irrevocably consents to service of process by mail or in any other manner permitted by applicable law and consents to the jurisdiction of any court of the State of New York or United States federal court, in each case, sitting in New York County, New York. To the extent that in any jurisdiction any party may now or hereafter be entitled to claim for itself or its assets, immunity from suit, execution attachment (before or after judgment), or other legal process, such party shall not claim, and it hereby irrevocably waives, such immunity. The parties further hereby waive any right to a trial by jury with respect to any lawsuit or judicial proceeding arising or relating to this Agreement. No party to this Agreement is liable to any other party for losses due to, or if it is unable to perform its obligations under the terms of this Agreement because of, acts of God, fire, war, terrorism, floods, strikes, electrical outages, equipment or transmission failure, or other causes reasonably beyond its control. This Agreement may be executed in one or more counterparts, each of which shall be deemed an original, but all of which together shall constitute one and the same instrument. All signatures of the parties to this Agreement may be transmitted by facsimile or other electronic transmission (including e-mail), and such facsimile or other electronic transmission (including e-mail) will, for all purposes, be deemed to be the original signature of such party whose signature it reproduces, and will be binding upon such party. If any provision of this Agreement is determined to be prohibited or unenforceable by reason of any applicable law of a jurisdiction, then such provision shall, as to such jurisdiction, be ineffective to the extent of such prohibition or unenforceability without invalidating the remaining provisions thereof, and any such prohibition or unenforceability in such jurisdiction shall not invalidate or render unenforceable such provisions in any other jurisdiction. A person who is not a party to this Agreement shall have no right to enforce any term of this Agreement. The parties represent, warrant and covenant that each document, notice, instruction or request provided by such party to the other party shall comply with applicable laws and regulations. Where, however, the conflicting provisions of any such applicable law may be waived, they are hereby irrevocably waived by the parties hereto to the fullest extent permitted by law, to the end that this Agreement shall be enforced as written. Except as expressly provided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above, nothing in this Agreement, whether express or implied, shall be construed to give to any person or entity other than the Escrow Agent and the other parties hereto any legal or equitable right, remedy, interest or claim under or in respect of this Agreement or the Escrow Shares escrowed hereunder.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 left blank]</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have executed this Agreement as of the date set forth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FS DEVELOPMENT HOLDINGS,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Jim Tananbaum</w:t>
            </w:r>
          </w:p>
        </w:tc>
      </w:tr>
      <w:tr>
        <w:trPr>
          <w:trHeight w:val="202"/>
        </w:trPr>
        <w:tc>
          <w:tcPr>
            <w:tcW w:w="92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580" w:type="dxa"/>
            <w:vAlign w:val="bottom"/>
          </w:tcPr>
          <w:p>
            <w:pPr>
              <w:spacing w:after="0" w:line="201" w:lineRule="exact"/>
              <w:rPr>
                <w:sz w:val="20"/>
                <w:szCs w:val="20"/>
                <w:color w:val="auto"/>
              </w:rPr>
            </w:pPr>
            <w:r>
              <w:rPr>
                <w:rFonts w:ascii="Arial" w:cs="Arial" w:eastAsia="Arial" w:hAnsi="Arial"/>
                <w:sz w:val="18"/>
                <w:szCs w:val="18"/>
                <w:color w:val="auto"/>
              </w:rPr>
              <w:t>Jim Tananbaum</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Telephone:  415-877-4887</w:t>
            </w:r>
          </w:p>
        </w:tc>
      </w:tr>
      <w:tr>
        <w:trPr>
          <w:trHeight w:val="432"/>
        </w:trPr>
        <w:tc>
          <w:tcPr>
            <w:tcW w:w="920" w:type="dxa"/>
            <w:vAlign w:val="bottom"/>
          </w:tcPr>
          <w:p>
            <w:pPr>
              <w:spacing w:after="0"/>
              <w:rPr>
                <w:sz w:val="20"/>
                <w:szCs w:val="20"/>
                <w:color w:val="auto"/>
              </w:rPr>
            </w:pPr>
            <w:r>
              <w:rPr>
                <w:rFonts w:ascii="Arial" w:cs="Arial" w:eastAsia="Arial" w:hAnsi="Arial"/>
                <w:sz w:val="18"/>
                <w:szCs w:val="18"/>
                <w:b w:val="1"/>
                <w:bCs w:val="1"/>
                <w:color w:val="auto"/>
              </w:rPr>
              <w:t>PARENT:</w:t>
            </w:r>
          </w:p>
        </w:tc>
        <w:tc>
          <w:tcPr>
            <w:tcW w:w="3580" w:type="dxa"/>
            <w:vAlign w:val="bottom"/>
          </w:tcPr>
          <w:p>
            <w:pPr>
              <w:spacing w:after="0"/>
              <w:rPr>
                <w:sz w:val="24"/>
                <w:szCs w:val="24"/>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FS DEVELOPMENT CORP.</w:t>
            </w:r>
          </w:p>
        </w:tc>
      </w:tr>
      <w:tr>
        <w:trPr>
          <w:trHeight w:val="439"/>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Jim Tananbaum</w:t>
            </w:r>
          </w:p>
        </w:tc>
      </w:tr>
      <w:tr>
        <w:trPr>
          <w:trHeight w:val="202"/>
        </w:trPr>
        <w:tc>
          <w:tcPr>
            <w:tcW w:w="92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580" w:type="dxa"/>
            <w:vAlign w:val="bottom"/>
          </w:tcPr>
          <w:p>
            <w:pPr>
              <w:spacing w:after="0" w:line="201" w:lineRule="exact"/>
              <w:rPr>
                <w:sz w:val="20"/>
                <w:szCs w:val="20"/>
                <w:color w:val="auto"/>
              </w:rPr>
            </w:pPr>
            <w:r>
              <w:rPr>
                <w:rFonts w:ascii="Arial" w:cs="Arial" w:eastAsia="Arial" w:hAnsi="Arial"/>
                <w:sz w:val="18"/>
                <w:szCs w:val="18"/>
                <w:color w:val="auto"/>
              </w:rPr>
              <w:t>Jim Tananbaum</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w w:val="99"/>
              </w:rPr>
              <w:t>Telephone:</w:t>
            </w:r>
          </w:p>
        </w:tc>
        <w:tc>
          <w:tcPr>
            <w:tcW w:w="3580" w:type="dxa"/>
            <w:vAlign w:val="bottom"/>
          </w:tcPr>
          <w:p>
            <w:pPr>
              <w:spacing w:after="0"/>
              <w:rPr>
                <w:sz w:val="20"/>
                <w:szCs w:val="20"/>
                <w:color w:val="auto"/>
              </w:rPr>
            </w:pPr>
            <w:r>
              <w:rPr>
                <w:rFonts w:ascii="Arial" w:cs="Arial" w:eastAsia="Arial" w:hAnsi="Arial"/>
                <w:sz w:val="18"/>
                <w:szCs w:val="18"/>
                <w:color w:val="auto"/>
              </w:rPr>
              <w:t>415-877-4887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REPRESENTATIVE SERVICES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solely in its capacity as the representative of the Company Securityholders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Riffe</w:t>
            </w:r>
          </w:p>
        </w:tc>
      </w:tr>
      <w:tr>
        <w:trPr>
          <w:trHeight w:val="202"/>
        </w:trPr>
        <w:tc>
          <w:tcPr>
            <w:tcW w:w="920" w:type="dxa"/>
            <w:vAlign w:val="bottom"/>
          </w:tcPr>
          <w:p>
            <w:pPr>
              <w:spacing w:after="0" w:line="190" w:lineRule="exact"/>
              <w:rPr>
                <w:sz w:val="20"/>
                <w:szCs w:val="20"/>
                <w:color w:val="auto"/>
              </w:rPr>
            </w:pPr>
            <w:r>
              <w:rPr>
                <w:rFonts w:ascii="Arial" w:cs="Arial" w:eastAsia="Arial" w:hAnsi="Arial"/>
                <w:sz w:val="18"/>
                <w:szCs w:val="18"/>
                <w:color w:val="auto"/>
              </w:rPr>
              <w:t>Name:</w:t>
            </w:r>
          </w:p>
        </w:tc>
        <w:tc>
          <w:tcPr>
            <w:tcW w:w="3580" w:type="dxa"/>
            <w:vAlign w:val="bottom"/>
          </w:tcPr>
          <w:p>
            <w:pPr>
              <w:spacing w:after="0" w:line="201" w:lineRule="exact"/>
              <w:rPr>
                <w:sz w:val="20"/>
                <w:szCs w:val="20"/>
                <w:color w:val="auto"/>
              </w:rPr>
            </w:pPr>
            <w:r>
              <w:rPr>
                <w:rFonts w:ascii="Arial" w:cs="Arial" w:eastAsia="Arial" w:hAnsi="Arial"/>
                <w:sz w:val="18"/>
                <w:szCs w:val="18"/>
                <w:color w:val="auto"/>
              </w:rPr>
              <w:t>Sam Riffe</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CONTINENTAL STOCK TRANSFER AND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Isaac Ragan</w:t>
            </w:r>
          </w:p>
        </w:tc>
      </w:tr>
      <w:tr>
        <w:trPr>
          <w:trHeight w:val="202"/>
        </w:trPr>
        <w:tc>
          <w:tcPr>
            <w:tcW w:w="92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580" w:type="dxa"/>
            <w:vAlign w:val="bottom"/>
          </w:tcPr>
          <w:p>
            <w:pPr>
              <w:spacing w:after="0" w:line="201" w:lineRule="exact"/>
              <w:rPr>
                <w:sz w:val="20"/>
                <w:szCs w:val="20"/>
                <w:color w:val="auto"/>
              </w:rPr>
            </w:pPr>
            <w:r>
              <w:rPr>
                <w:rFonts w:ascii="Arial" w:cs="Arial" w:eastAsia="Arial" w:hAnsi="Arial"/>
                <w:sz w:val="18"/>
                <w:szCs w:val="18"/>
                <w:color w:val="auto"/>
              </w:rPr>
              <w:t>Isaac Ragan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w w:val="99"/>
              </w:rPr>
              <w:t>Telephone:</w:t>
            </w:r>
          </w:p>
        </w:tc>
        <w:tc>
          <w:tcPr>
            <w:tcW w:w="3580" w:type="dxa"/>
            <w:vAlign w:val="bottom"/>
          </w:tcPr>
          <w:p>
            <w:pPr>
              <w:spacing w:after="0"/>
              <w:rPr>
                <w:sz w:val="20"/>
                <w:szCs w:val="20"/>
                <w:color w:val="auto"/>
              </w:rPr>
            </w:pPr>
            <w:r>
              <w:rPr>
                <w:rFonts w:ascii="Arial" w:cs="Arial" w:eastAsia="Arial" w:hAnsi="Arial"/>
                <w:sz w:val="18"/>
                <w:szCs w:val="18"/>
                <w:color w:val="auto"/>
              </w:rPr>
              <w:t>212-845-3291</w:t>
            </w:r>
          </w:p>
        </w:tc>
      </w:tr>
    </w:tbl>
    <w:p>
      <w:pPr>
        <w:spacing w:after="0" w:line="200" w:lineRule="exact"/>
        <w:rPr>
          <w:sz w:val="20"/>
          <w:szCs w:val="20"/>
          <w:color w:val="auto"/>
        </w:rPr>
      </w:pPr>
    </w:p>
    <w:p>
      <w:pPr>
        <w:spacing w:after="0" w:line="211"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2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Schedule l</w:t>
            </w:r>
          </w:p>
        </w:tc>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414"/>
        </w:trPr>
        <w:tc>
          <w:tcPr>
            <w:tcW w:w="2660" w:type="dxa"/>
            <w:vAlign w:val="bottom"/>
          </w:tcPr>
          <w:p>
            <w:pPr>
              <w:spacing w:after="0"/>
              <w:rPr>
                <w:sz w:val="24"/>
                <w:szCs w:val="24"/>
                <w:color w:val="auto"/>
              </w:rPr>
            </w:pPr>
          </w:p>
        </w:tc>
        <w:tc>
          <w:tcPr>
            <w:tcW w:w="530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0"/>
              </w:rPr>
              <w:t>Telephone Number(s) and authorized signature(s) for</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94"/>
        </w:trPr>
        <w:tc>
          <w:tcPr>
            <w:tcW w:w="2660" w:type="dxa"/>
            <w:vAlign w:val="bottom"/>
          </w:tcPr>
          <w:p>
            <w:pPr>
              <w:spacing w:after="0"/>
              <w:rPr>
                <w:sz w:val="16"/>
                <w:szCs w:val="16"/>
                <w:color w:val="auto"/>
              </w:rPr>
            </w:pPr>
          </w:p>
        </w:tc>
        <w:tc>
          <w:tcPr>
            <w:tcW w:w="8580" w:type="dxa"/>
            <w:vAlign w:val="bottom"/>
            <w:gridSpan w:val="7"/>
          </w:tcPr>
          <w:p>
            <w:pPr>
              <w:jc w:val="center"/>
              <w:ind w:right="2550"/>
              <w:spacing w:after="0" w:line="194" w:lineRule="exact"/>
              <w:rPr>
                <w:sz w:val="20"/>
                <w:szCs w:val="20"/>
                <w:color w:val="auto"/>
              </w:rPr>
            </w:pPr>
            <w:r>
              <w:rPr>
                <w:rFonts w:ascii="Arial" w:cs="Arial" w:eastAsia="Arial" w:hAnsi="Arial"/>
                <w:sz w:val="18"/>
                <w:szCs w:val="18"/>
                <w:b w:val="1"/>
                <w:bCs w:val="1"/>
                <w:color w:val="auto"/>
                <w:w w:val="88"/>
              </w:rPr>
              <w:t>Person(s) Designated by Sponsor to give Escrow Shares Transfer Instructions</w:t>
            </w:r>
          </w:p>
        </w:tc>
      </w:tr>
      <w:tr>
        <w:trPr>
          <w:trHeight w:val="460"/>
        </w:trPr>
        <w:tc>
          <w:tcPr>
            <w:tcW w:w="2660" w:type="dxa"/>
            <w:vAlign w:val="bottom"/>
          </w:tcPr>
          <w:p>
            <w:pPr>
              <w:ind w:left="1700"/>
              <w:spacing w:after="0"/>
              <w:rPr>
                <w:sz w:val="20"/>
                <w:szCs w:val="20"/>
                <w:color w:val="auto"/>
              </w:rPr>
            </w:pPr>
            <w:r>
              <w:rPr>
                <w:rFonts w:ascii="Arial" w:cs="Arial" w:eastAsia="Arial" w:hAnsi="Arial"/>
                <w:sz w:val="18"/>
                <w:szCs w:val="18"/>
                <w:color w:val="auto"/>
              </w:rPr>
              <w:t>Name</w:t>
            </w: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20" w:type="dxa"/>
            <w:vAlign w:val="bottom"/>
            <w:tcBorders>
              <w:top w:val="single" w:sz="8" w:color="auto"/>
            </w:tcBorders>
            <w:gridSpan w:val="3"/>
          </w:tcPr>
          <w:p>
            <w:pPr>
              <w:jc w:val="center"/>
              <w:ind w:right="1420"/>
              <w:spacing w:after="0"/>
              <w:rPr>
                <w:sz w:val="20"/>
                <w:szCs w:val="20"/>
                <w:color w:val="auto"/>
              </w:rPr>
            </w:pPr>
            <w:r>
              <w:rPr>
                <w:rFonts w:ascii="Arial" w:cs="Arial" w:eastAsia="Arial" w:hAnsi="Arial"/>
                <w:sz w:val="18"/>
                <w:szCs w:val="18"/>
                <w:color w:val="auto"/>
                <w:w w:val="90"/>
              </w:rPr>
              <w:t>Telephone Number</w:t>
            </w:r>
          </w:p>
        </w:tc>
        <w:tc>
          <w:tcPr>
            <w:tcW w:w="640" w:type="dxa"/>
            <w:vAlign w:val="bottom"/>
            <w:tcBorders>
              <w:top w:val="single" w:sz="8" w:color="auto"/>
            </w:tcBorders>
          </w:tcPr>
          <w:p>
            <w:pPr>
              <w:spacing w:after="0"/>
              <w:rPr>
                <w:sz w:val="24"/>
                <w:szCs w:val="24"/>
                <w:color w:val="auto"/>
              </w:rPr>
            </w:pPr>
          </w:p>
        </w:tc>
        <w:tc>
          <w:tcPr>
            <w:tcW w:w="2640" w:type="dxa"/>
            <w:vAlign w:val="bottom"/>
          </w:tcPr>
          <w:p>
            <w:pPr>
              <w:jc w:val="center"/>
              <w:ind w:right="1870"/>
              <w:spacing w:after="0"/>
              <w:rPr>
                <w:sz w:val="20"/>
                <w:szCs w:val="20"/>
                <w:color w:val="auto"/>
              </w:rPr>
            </w:pPr>
            <w:r>
              <w:rPr>
                <w:rFonts w:ascii="Arial" w:cs="Arial" w:eastAsia="Arial" w:hAnsi="Arial"/>
                <w:sz w:val="18"/>
                <w:szCs w:val="18"/>
                <w:color w:val="auto"/>
                <w:w w:val="88"/>
              </w:rPr>
              <w:t>Signature</w:t>
            </w:r>
          </w:p>
        </w:tc>
      </w:tr>
      <w:tr>
        <w:trPr>
          <w:trHeight w:val="202"/>
        </w:trPr>
        <w:tc>
          <w:tcPr>
            <w:tcW w:w="2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Jim Tananbaum</w:t>
            </w: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650 954 8801</w:t>
            </w:r>
          </w:p>
        </w:tc>
        <w:tc>
          <w:tcPr>
            <w:tcW w:w="1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gridSpan w:val="2"/>
          </w:tcPr>
          <w:p>
            <w:pPr>
              <w:jc w:val="center"/>
              <w:ind w:right="1230"/>
              <w:spacing w:after="0" w:line="201" w:lineRule="exact"/>
              <w:rPr>
                <w:sz w:val="20"/>
                <w:szCs w:val="20"/>
                <w:color w:val="auto"/>
              </w:rPr>
            </w:pPr>
            <w:r>
              <w:rPr>
                <w:rFonts w:ascii="Arial" w:cs="Arial" w:eastAsia="Arial" w:hAnsi="Arial"/>
                <w:sz w:val="18"/>
                <w:szCs w:val="18"/>
                <w:color w:val="auto"/>
                <w:w w:val="88"/>
              </w:rPr>
              <w:t>/s/ Jim Tananbaum</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Dennis D. Ryan</w:t>
            </w:r>
          </w:p>
        </w:tc>
        <w:tc>
          <w:tcPr>
            <w:tcW w:w="3860" w:type="dxa"/>
            <w:vAlign w:val="bottom"/>
            <w:gridSpan w:val="3"/>
          </w:tcPr>
          <w:p>
            <w:pPr>
              <w:jc w:val="center"/>
              <w:ind w:left="1150"/>
              <w:spacing w:after="0"/>
              <w:rPr>
                <w:sz w:val="20"/>
                <w:szCs w:val="20"/>
                <w:color w:val="auto"/>
              </w:rPr>
            </w:pPr>
            <w:r>
              <w:rPr>
                <w:rFonts w:ascii="Arial" w:cs="Arial" w:eastAsia="Arial" w:hAnsi="Arial"/>
                <w:sz w:val="18"/>
                <w:szCs w:val="18"/>
                <w:color w:val="auto"/>
                <w:w w:val="88"/>
              </w:rPr>
              <w:t>415 606 1311</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80" w:type="dxa"/>
            <w:vAlign w:val="bottom"/>
            <w:gridSpan w:val="2"/>
          </w:tcPr>
          <w:p>
            <w:pPr>
              <w:jc w:val="center"/>
              <w:ind w:right="1230"/>
              <w:spacing w:after="0"/>
              <w:rPr>
                <w:sz w:val="20"/>
                <w:szCs w:val="20"/>
                <w:color w:val="auto"/>
              </w:rPr>
            </w:pPr>
            <w:r>
              <w:rPr>
                <w:rFonts w:ascii="Arial" w:cs="Arial" w:eastAsia="Arial" w:hAnsi="Arial"/>
                <w:sz w:val="18"/>
                <w:szCs w:val="18"/>
                <w:color w:val="auto"/>
                <w:w w:val="90"/>
              </w:rPr>
              <w:t>/s/ Dennis D. Ryan</w:t>
            </w: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Schedule 1 - 1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Telephone Number(s) and authorized signature(s)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Person(s) Designated by Stockholder Representative to give Escrow Shares Transfer Instructions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2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c>
          <w:tcPr>
            <w:tcW w:w="120" w:type="dxa"/>
            <w:vAlign w:val="bottom"/>
          </w:tcPr>
          <w:p>
            <w:pPr>
              <w:spacing w:after="0"/>
              <w:rPr>
                <w:sz w:val="20"/>
                <w:szCs w:val="20"/>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Signature</w:t>
            </w:r>
          </w:p>
        </w:tc>
      </w:tr>
      <w:tr>
        <w:trPr>
          <w:trHeight w:val="418"/>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Authorized Representative #1</w:t>
            </w: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51"/>
        </w:trPr>
        <w:tc>
          <w:tcPr>
            <w:tcW w:w="3940" w:type="dxa"/>
            <w:vAlign w:val="bottom"/>
            <w:gridSpan w:val="2"/>
          </w:tcPr>
          <w:p>
            <w:pPr>
              <w:spacing w:after="0"/>
              <w:rPr>
                <w:sz w:val="20"/>
                <w:szCs w:val="20"/>
                <w:color w:val="auto"/>
              </w:rPr>
            </w:pPr>
            <w:r>
              <w:rPr>
                <w:rFonts w:ascii="Arial" w:cs="Arial" w:eastAsia="Arial" w:hAnsi="Arial"/>
                <w:sz w:val="18"/>
                <w:szCs w:val="18"/>
                <w:color w:val="auto"/>
              </w:rPr>
              <w:t>Chris Letang</w:t>
            </w: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(303) 957-2855</w:t>
            </w:r>
          </w:p>
        </w:tc>
        <w:tc>
          <w:tcPr>
            <w:tcW w:w="120" w:type="dxa"/>
            <w:vAlign w:val="bottom"/>
          </w:tcPr>
          <w:p>
            <w:pPr>
              <w:spacing w:after="0"/>
              <w:rPr>
                <w:sz w:val="21"/>
                <w:szCs w:val="21"/>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Chris Letang</w:t>
            </w: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Managing Director</w:t>
            </w: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431"/>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Authorized Representative #2</w:t>
            </w: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51"/>
        </w:trPr>
        <w:tc>
          <w:tcPr>
            <w:tcW w:w="3940" w:type="dxa"/>
            <w:vAlign w:val="bottom"/>
            <w:gridSpan w:val="2"/>
          </w:tcPr>
          <w:p>
            <w:pPr>
              <w:spacing w:after="0"/>
              <w:rPr>
                <w:sz w:val="20"/>
                <w:szCs w:val="20"/>
                <w:color w:val="auto"/>
              </w:rPr>
            </w:pPr>
            <w:r>
              <w:rPr>
                <w:rFonts w:ascii="Arial" w:cs="Arial" w:eastAsia="Arial" w:hAnsi="Arial"/>
                <w:sz w:val="18"/>
                <w:szCs w:val="18"/>
                <w:color w:val="auto"/>
              </w:rPr>
              <w:t>Casey McTigue</w:t>
            </w: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(415) 363-6081</w:t>
            </w:r>
          </w:p>
        </w:tc>
        <w:tc>
          <w:tcPr>
            <w:tcW w:w="120" w:type="dxa"/>
            <w:vAlign w:val="bottom"/>
          </w:tcPr>
          <w:p>
            <w:pPr>
              <w:spacing w:after="0"/>
              <w:rPr>
                <w:sz w:val="21"/>
                <w:szCs w:val="21"/>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Casey McTigue</w:t>
            </w: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Executive Director</w:t>
            </w: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431"/>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Authorized Representative #3</w:t>
            </w: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51"/>
        </w:trPr>
        <w:tc>
          <w:tcPr>
            <w:tcW w:w="3940" w:type="dxa"/>
            <w:vAlign w:val="bottom"/>
            <w:gridSpan w:val="2"/>
          </w:tcPr>
          <w:p>
            <w:pPr>
              <w:spacing w:after="0"/>
              <w:rPr>
                <w:sz w:val="20"/>
                <w:szCs w:val="20"/>
                <w:color w:val="auto"/>
              </w:rPr>
            </w:pPr>
            <w:r>
              <w:rPr>
                <w:rFonts w:ascii="Arial" w:cs="Arial" w:eastAsia="Arial" w:hAnsi="Arial"/>
                <w:sz w:val="18"/>
                <w:szCs w:val="18"/>
                <w:color w:val="auto"/>
              </w:rPr>
              <w:t>Lon LeClair</w:t>
            </w: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(303) 222-2078</w:t>
            </w:r>
          </w:p>
        </w:tc>
        <w:tc>
          <w:tcPr>
            <w:tcW w:w="120" w:type="dxa"/>
            <w:vAlign w:val="bottom"/>
          </w:tcPr>
          <w:p>
            <w:pPr>
              <w:spacing w:after="0"/>
              <w:rPr>
                <w:sz w:val="21"/>
                <w:szCs w:val="21"/>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Lon LeClair</w:t>
            </w: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President</w:t>
            </w: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431"/>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Authorized Representative #4</w:t>
            </w: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51"/>
        </w:trPr>
        <w:tc>
          <w:tcPr>
            <w:tcW w:w="3940" w:type="dxa"/>
            <w:vAlign w:val="bottom"/>
            <w:gridSpan w:val="2"/>
          </w:tcPr>
          <w:p>
            <w:pPr>
              <w:spacing w:after="0"/>
              <w:rPr>
                <w:sz w:val="20"/>
                <w:szCs w:val="20"/>
                <w:color w:val="auto"/>
              </w:rPr>
            </w:pPr>
            <w:r>
              <w:rPr>
                <w:rFonts w:ascii="Arial" w:cs="Arial" w:eastAsia="Arial" w:hAnsi="Arial"/>
                <w:sz w:val="18"/>
                <w:szCs w:val="18"/>
                <w:color w:val="auto"/>
              </w:rPr>
              <w:t>Paul Koenig</w:t>
            </w: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(303) 957-2850</w:t>
            </w:r>
          </w:p>
        </w:tc>
        <w:tc>
          <w:tcPr>
            <w:tcW w:w="120" w:type="dxa"/>
            <w:vAlign w:val="bottom"/>
          </w:tcPr>
          <w:p>
            <w:pPr>
              <w:spacing w:after="0"/>
              <w:rPr>
                <w:sz w:val="21"/>
                <w:szCs w:val="21"/>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Paul Koenig</w:t>
            </w: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Managing Director</w:t>
            </w: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tcPr>
          <w:p>
            <w:pPr>
              <w:spacing w:after="0"/>
              <w:rPr>
                <w:sz w:val="17"/>
                <w:szCs w:val="17"/>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Schedule 1 - 2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0"/>
        </w:trPr>
        <w:tc>
          <w:tcPr>
            <w:tcW w:w="9340" w:type="dxa"/>
            <w:vAlign w:val="bottom"/>
            <w:gridSpan w:val="2"/>
          </w:tcPr>
          <w:p>
            <w:pPr>
              <w:ind w:left="5180"/>
              <w:spacing w:after="0"/>
              <w:rPr>
                <w:sz w:val="20"/>
                <w:szCs w:val="20"/>
                <w:color w:val="auto"/>
              </w:rPr>
            </w:pPr>
            <w:r>
              <w:rPr>
                <w:rFonts w:ascii="Arial" w:cs="Arial" w:eastAsia="Arial" w:hAnsi="Arial"/>
                <w:sz w:val="18"/>
                <w:szCs w:val="18"/>
                <w:color w:val="auto"/>
              </w:rPr>
              <w:t>EXHIBIT A</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9340" w:type="dxa"/>
            <w:vAlign w:val="bottom"/>
            <w:gridSpan w:val="2"/>
          </w:tcPr>
          <w:p>
            <w:pPr>
              <w:ind w:left="3580"/>
              <w:spacing w:after="0"/>
              <w:rPr>
                <w:sz w:val="20"/>
                <w:szCs w:val="20"/>
                <w:color w:val="auto"/>
              </w:rPr>
            </w:pPr>
            <w:r>
              <w:rPr>
                <w:rFonts w:ascii="Arial" w:cs="Arial" w:eastAsia="Arial" w:hAnsi="Arial"/>
                <w:sz w:val="18"/>
                <w:szCs w:val="18"/>
                <w:b w:val="1"/>
                <w:bCs w:val="1"/>
                <w:color w:val="auto"/>
              </w:rPr>
              <w:t>ESCROW PARTICIPANT</w:t>
            </w:r>
          </w:p>
        </w:tc>
        <w:tc>
          <w:tcPr>
            <w:tcW w:w="1900" w:type="dxa"/>
            <w:vAlign w:val="bottom"/>
            <w:gridSpan w:val="2"/>
          </w:tcPr>
          <w:p>
            <w:pPr>
              <w:ind w:left="120"/>
              <w:spacing w:after="0"/>
              <w:rPr>
                <w:sz w:val="20"/>
                <w:szCs w:val="20"/>
                <w:color w:val="auto"/>
              </w:rPr>
            </w:pPr>
            <w:r>
              <w:rPr>
                <w:rFonts w:ascii="Arial" w:cs="Arial" w:eastAsia="Arial" w:hAnsi="Arial"/>
                <w:sz w:val="18"/>
                <w:szCs w:val="18"/>
                <w:b w:val="1"/>
                <w:bCs w:val="1"/>
                <w:color w:val="auto"/>
              </w:rPr>
              <w:t>ESCROW SHARES</w:t>
            </w:r>
          </w:p>
        </w:tc>
      </w:tr>
      <w:tr>
        <w:trPr>
          <w:trHeight w:val="243"/>
        </w:trPr>
        <w:tc>
          <w:tcPr>
            <w:tcW w:w="9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Adarsha Koirala</w:t>
            </w:r>
          </w:p>
        </w:tc>
        <w:tc>
          <w:tcPr>
            <w:tcW w:w="120" w:type="dxa"/>
            <w:vAlign w:val="bottom"/>
            <w:tcBorders>
              <w:top w:val="single" w:sz="8" w:color="CCEEFF"/>
            </w:tcBorders>
            <w:shd w:val="clear" w:color="auto" w:fill="CCEEFF"/>
          </w:tcPr>
          <w:p>
            <w:pPr>
              <w:spacing w:after="0"/>
              <w:rPr>
                <w:sz w:val="21"/>
                <w:szCs w:val="21"/>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top w:val="single" w:sz="8" w:color="CCEEFF"/>
            </w:tcBorders>
            <w:shd w:val="clear" w:color="auto" w:fill="CCEEFF"/>
          </w:tcPr>
          <w:p>
            <w:pPr>
              <w:spacing w:after="0"/>
              <w:rPr>
                <w:sz w:val="21"/>
                <w:szCs w:val="21"/>
                <w:color w:val="auto"/>
              </w:rPr>
            </w:pPr>
          </w:p>
        </w:tc>
      </w:tr>
      <w:tr>
        <w:trPr>
          <w:trHeight w:val="237"/>
        </w:trPr>
        <w:tc>
          <w:tcPr>
            <w:tcW w:w="9340" w:type="dxa"/>
            <w:vAlign w:val="bottom"/>
            <w:gridSpan w:val="2"/>
          </w:tcPr>
          <w:p>
            <w:pPr>
              <w:spacing w:after="0"/>
              <w:rPr>
                <w:sz w:val="20"/>
                <w:szCs w:val="20"/>
                <w:color w:val="auto"/>
              </w:rPr>
            </w:pPr>
            <w:r>
              <w:rPr>
                <w:rFonts w:ascii="Arial" w:cs="Arial" w:eastAsia="Arial" w:hAnsi="Arial"/>
                <w:sz w:val="18"/>
                <w:szCs w:val="18"/>
                <w:color w:val="auto"/>
              </w:rPr>
              <w:t>Amilcar Ribeiro</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3,598</w:t>
            </w:r>
          </w:p>
        </w:tc>
      </w:tr>
      <w:tr>
        <w:trPr>
          <w:trHeight w:val="249"/>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Herbert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6,529</w:t>
            </w:r>
          </w:p>
        </w:tc>
      </w:tr>
      <w:tr>
        <w:trPr>
          <w:trHeight w:val="237"/>
        </w:trPr>
        <w:tc>
          <w:tcPr>
            <w:tcW w:w="9340" w:type="dxa"/>
            <w:vAlign w:val="bottom"/>
            <w:gridSpan w:val="2"/>
          </w:tcPr>
          <w:p>
            <w:pPr>
              <w:spacing w:after="0"/>
              <w:rPr>
                <w:sz w:val="20"/>
                <w:szCs w:val="20"/>
                <w:color w:val="auto"/>
              </w:rPr>
            </w:pPr>
            <w:r>
              <w:rPr>
                <w:rFonts w:ascii="Arial" w:cs="Arial" w:eastAsia="Arial" w:hAnsi="Arial"/>
                <w:sz w:val="18"/>
                <w:szCs w:val="18"/>
                <w:color w:val="auto"/>
              </w:rPr>
              <w:t>Atlas Venture Fund X, L.P.</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481,118</w:t>
            </w:r>
          </w:p>
        </w:tc>
      </w:tr>
      <w:tr>
        <w:trPr>
          <w:trHeight w:val="249"/>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Atlas Ventures Opportunity Fund I, IL.P.</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87,393</w:t>
            </w:r>
          </w:p>
        </w:tc>
      </w:tr>
      <w:tr>
        <w:trPr>
          <w:trHeight w:val="237"/>
        </w:trPr>
        <w:tc>
          <w:tcPr>
            <w:tcW w:w="9340" w:type="dxa"/>
            <w:vAlign w:val="bottom"/>
            <w:gridSpan w:val="2"/>
          </w:tcPr>
          <w:p>
            <w:pPr>
              <w:spacing w:after="0"/>
              <w:rPr>
                <w:sz w:val="20"/>
                <w:szCs w:val="20"/>
                <w:color w:val="auto"/>
              </w:rPr>
            </w:pPr>
            <w:r>
              <w:rPr>
                <w:rFonts w:ascii="Arial" w:cs="Arial" w:eastAsia="Arial" w:hAnsi="Arial"/>
                <w:sz w:val="18"/>
                <w:szCs w:val="18"/>
                <w:color w:val="auto"/>
              </w:rPr>
              <w:t>Claude Knopf</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1,567</w:t>
            </w:r>
          </w:p>
        </w:tc>
      </w:tr>
      <w:tr>
        <w:trPr>
          <w:trHeight w:val="249"/>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Dean Bok</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r>
      <w:tr>
        <w:trPr>
          <w:trHeight w:val="237"/>
        </w:trPr>
        <w:tc>
          <w:tcPr>
            <w:tcW w:w="9340" w:type="dxa"/>
            <w:vAlign w:val="bottom"/>
            <w:gridSpan w:val="2"/>
          </w:tcPr>
          <w:p>
            <w:pPr>
              <w:spacing w:after="0"/>
              <w:rPr>
                <w:sz w:val="20"/>
                <w:szCs w:val="20"/>
                <w:color w:val="auto"/>
              </w:rPr>
            </w:pPr>
            <w:r>
              <w:rPr>
                <w:rFonts w:ascii="Arial" w:cs="Arial" w:eastAsia="Arial" w:hAnsi="Arial"/>
                <w:sz w:val="18"/>
                <w:szCs w:val="18"/>
                <w:color w:val="auto"/>
              </w:rPr>
              <w:t>Eric Sullivan</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5,441</w:t>
            </w:r>
          </w:p>
        </w:tc>
      </w:tr>
      <w:tr>
        <w:trPr>
          <w:trHeight w:val="249"/>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McLaughlin</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117,531</w:t>
            </w:r>
          </w:p>
        </w:tc>
      </w:tr>
      <w:tr>
        <w:trPr>
          <w:trHeight w:val="237"/>
        </w:trPr>
        <w:tc>
          <w:tcPr>
            <w:tcW w:w="9340" w:type="dxa"/>
            <w:vAlign w:val="bottom"/>
            <w:gridSpan w:val="2"/>
          </w:tcPr>
          <w:p>
            <w:pPr>
              <w:spacing w:after="0"/>
              <w:rPr>
                <w:sz w:val="20"/>
                <w:szCs w:val="20"/>
                <w:color w:val="auto"/>
              </w:rPr>
            </w:pPr>
            <w:r>
              <w:rPr>
                <w:rFonts w:ascii="Arial" w:cs="Arial" w:eastAsia="Arial" w:hAnsi="Arial"/>
                <w:sz w:val="18"/>
                <w:szCs w:val="18"/>
                <w:color w:val="auto"/>
              </w:rPr>
              <w:t>Johanna Seddon</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6,530</w:t>
            </w:r>
          </w:p>
        </w:tc>
      </w:tr>
      <w:tr>
        <w:trPr>
          <w:trHeight w:val="249"/>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Kimberly Nasiff</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r>
      <w:tr>
        <w:trPr>
          <w:trHeight w:val="237"/>
        </w:trPr>
        <w:tc>
          <w:tcPr>
            <w:tcW w:w="9340" w:type="dxa"/>
            <w:vAlign w:val="bottom"/>
            <w:gridSpan w:val="2"/>
          </w:tcPr>
          <w:p>
            <w:pPr>
              <w:spacing w:after="0"/>
              <w:rPr>
                <w:sz w:val="20"/>
                <w:szCs w:val="20"/>
                <w:color w:val="auto"/>
              </w:rPr>
            </w:pPr>
            <w:r>
              <w:rPr>
                <w:rFonts w:ascii="Arial" w:cs="Arial" w:eastAsia="Arial" w:hAnsi="Arial"/>
                <w:sz w:val="18"/>
                <w:szCs w:val="18"/>
                <w:color w:val="auto"/>
              </w:rPr>
              <w:t>Lei Cheng</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r>
      <w:tr>
        <w:trPr>
          <w:trHeight w:val="249"/>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Lightstone Singapore L.P.</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156,760</w:t>
            </w:r>
          </w:p>
        </w:tc>
      </w:tr>
      <w:tr>
        <w:trPr>
          <w:trHeight w:val="237"/>
        </w:trPr>
        <w:tc>
          <w:tcPr>
            <w:tcW w:w="9340" w:type="dxa"/>
            <w:vAlign w:val="bottom"/>
            <w:gridSpan w:val="2"/>
          </w:tcPr>
          <w:p>
            <w:pPr>
              <w:spacing w:after="0"/>
              <w:rPr>
                <w:sz w:val="20"/>
                <w:szCs w:val="20"/>
                <w:color w:val="auto"/>
              </w:rPr>
            </w:pPr>
            <w:r>
              <w:rPr>
                <w:rFonts w:ascii="Arial" w:cs="Arial" w:eastAsia="Arial" w:hAnsi="Arial"/>
                <w:sz w:val="18"/>
                <w:szCs w:val="18"/>
                <w:color w:val="auto"/>
              </w:rPr>
              <w:t>Lightstone Ventures (A), L.P.</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44,941</w:t>
            </w:r>
          </w:p>
        </w:tc>
      </w:tr>
      <w:tr>
        <w:trPr>
          <w:trHeight w:val="249"/>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Lightstone Ventures, L.P.</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329,873</w:t>
            </w:r>
          </w:p>
        </w:tc>
      </w:tr>
      <w:tr>
        <w:trPr>
          <w:trHeight w:val="237"/>
        </w:trPr>
        <w:tc>
          <w:tcPr>
            <w:tcW w:w="9340" w:type="dxa"/>
            <w:vAlign w:val="bottom"/>
            <w:gridSpan w:val="2"/>
          </w:tcPr>
          <w:p>
            <w:pPr>
              <w:spacing w:after="0"/>
              <w:rPr>
                <w:sz w:val="20"/>
                <w:szCs w:val="20"/>
                <w:color w:val="auto"/>
              </w:rPr>
            </w:pPr>
            <w:r>
              <w:rPr>
                <w:rFonts w:ascii="Arial" w:cs="Arial" w:eastAsia="Arial" w:hAnsi="Arial"/>
                <w:sz w:val="18"/>
                <w:szCs w:val="18"/>
                <w:color w:val="auto"/>
              </w:rPr>
              <w:t>Liping Zhang</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1,341</w:t>
            </w:r>
          </w:p>
        </w:tc>
      </w:tr>
      <w:tr>
        <w:trPr>
          <w:trHeight w:val="249"/>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Huang</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r>
      <w:tr>
        <w:trPr>
          <w:trHeight w:val="237"/>
        </w:trPr>
        <w:tc>
          <w:tcPr>
            <w:tcW w:w="9340" w:type="dxa"/>
            <w:vAlign w:val="bottom"/>
            <w:gridSpan w:val="2"/>
          </w:tcPr>
          <w:p>
            <w:pPr>
              <w:spacing w:after="0"/>
              <w:rPr>
                <w:sz w:val="20"/>
                <w:szCs w:val="20"/>
                <w:color w:val="auto"/>
              </w:rPr>
            </w:pPr>
            <w:r>
              <w:rPr>
                <w:rFonts w:ascii="Arial" w:cs="Arial" w:eastAsia="Arial" w:hAnsi="Arial"/>
                <w:sz w:val="18"/>
                <w:szCs w:val="18"/>
                <w:color w:val="auto"/>
              </w:rPr>
              <w:t>Michael Ehrmann</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1,175</w:t>
            </w:r>
          </w:p>
        </w:tc>
      </w:tr>
      <w:tr>
        <w:trPr>
          <w:trHeight w:val="249"/>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Nancy Holekamp</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r>
      <w:tr>
        <w:trPr>
          <w:trHeight w:val="237"/>
        </w:trPr>
        <w:tc>
          <w:tcPr>
            <w:tcW w:w="9340" w:type="dxa"/>
            <w:vAlign w:val="bottom"/>
            <w:gridSpan w:val="2"/>
          </w:tcPr>
          <w:p>
            <w:pPr>
              <w:spacing w:after="0"/>
              <w:rPr>
                <w:sz w:val="20"/>
                <w:szCs w:val="20"/>
                <w:color w:val="auto"/>
              </w:rPr>
            </w:pPr>
            <w:r>
              <w:rPr>
                <w:rFonts w:ascii="Arial" w:cs="Arial" w:eastAsia="Arial" w:hAnsi="Arial"/>
                <w:sz w:val="18"/>
                <w:szCs w:val="18"/>
                <w:color w:val="auto"/>
              </w:rPr>
              <w:t>Nelly Kuklin</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r>
      <w:tr>
        <w:trPr>
          <w:trHeight w:val="249"/>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 L.P.</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637,036</w:t>
            </w:r>
          </w:p>
        </w:tc>
      </w:tr>
      <w:tr>
        <w:trPr>
          <w:trHeight w:val="237"/>
        </w:trPr>
        <w:tc>
          <w:tcPr>
            <w:tcW w:w="9340" w:type="dxa"/>
            <w:vAlign w:val="bottom"/>
            <w:gridSpan w:val="2"/>
          </w:tcPr>
          <w:p>
            <w:pPr>
              <w:spacing w:after="0"/>
              <w:rPr>
                <w:sz w:val="20"/>
                <w:szCs w:val="20"/>
                <w:color w:val="auto"/>
              </w:rPr>
            </w:pPr>
            <w:r>
              <w:rPr>
                <w:rFonts w:ascii="Arial" w:cs="Arial" w:eastAsia="Arial" w:hAnsi="Arial"/>
                <w:sz w:val="18"/>
                <w:szCs w:val="18"/>
                <w:color w:val="auto"/>
              </w:rPr>
              <w:t>Paul Barlow</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6,529</w:t>
            </w:r>
          </w:p>
        </w:tc>
      </w:tr>
      <w:tr>
        <w:trPr>
          <w:trHeight w:val="249"/>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Pavitra Ramachandran</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r>
      <w:tr>
        <w:trPr>
          <w:trHeight w:val="237"/>
        </w:trPr>
        <w:tc>
          <w:tcPr>
            <w:tcW w:w="9340" w:type="dxa"/>
            <w:vAlign w:val="bottom"/>
            <w:gridSpan w:val="2"/>
          </w:tcPr>
          <w:p>
            <w:pPr>
              <w:spacing w:after="0"/>
              <w:rPr>
                <w:sz w:val="20"/>
                <w:szCs w:val="20"/>
                <w:color w:val="auto"/>
              </w:rPr>
            </w:pPr>
            <w:r>
              <w:rPr>
                <w:rFonts w:ascii="Arial" w:cs="Arial" w:eastAsia="Arial" w:hAnsi="Arial"/>
                <w:sz w:val="18"/>
                <w:szCs w:val="18"/>
                <w:color w:val="auto"/>
              </w:rPr>
              <w:t>Philip Reilly</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4,836</w:t>
            </w:r>
          </w:p>
        </w:tc>
      </w:tr>
      <w:tr>
        <w:trPr>
          <w:trHeight w:val="249"/>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Pingjuan Li</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r>
      <w:tr>
        <w:trPr>
          <w:trHeight w:val="237"/>
        </w:trPr>
        <w:tc>
          <w:tcPr>
            <w:tcW w:w="9340" w:type="dxa"/>
            <w:vAlign w:val="bottom"/>
            <w:gridSpan w:val="2"/>
          </w:tcPr>
          <w:p>
            <w:pPr>
              <w:spacing w:after="0"/>
              <w:rPr>
                <w:sz w:val="20"/>
                <w:szCs w:val="20"/>
                <w:color w:val="auto"/>
              </w:rPr>
            </w:pPr>
            <w:r>
              <w:rPr>
                <w:rFonts w:ascii="Arial" w:cs="Arial" w:eastAsia="Arial" w:hAnsi="Arial"/>
                <w:sz w:val="18"/>
                <w:szCs w:val="18"/>
                <w:color w:val="auto"/>
              </w:rPr>
              <w:t>Renta Hutabarat</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r>
      <w:tr>
        <w:trPr>
          <w:trHeight w:val="249"/>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McKenna</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r>
      <w:tr>
        <w:trPr>
          <w:trHeight w:val="237"/>
        </w:trPr>
        <w:tc>
          <w:tcPr>
            <w:tcW w:w="9340" w:type="dxa"/>
            <w:vAlign w:val="bottom"/>
            <w:gridSpan w:val="2"/>
          </w:tcPr>
          <w:p>
            <w:pPr>
              <w:spacing w:after="0"/>
              <w:rPr>
                <w:sz w:val="20"/>
                <w:szCs w:val="20"/>
                <w:color w:val="auto"/>
              </w:rPr>
            </w:pPr>
            <w:r>
              <w:rPr>
                <w:rFonts w:ascii="Arial" w:cs="Arial" w:eastAsia="Arial" w:hAnsi="Arial"/>
                <w:sz w:val="18"/>
                <w:szCs w:val="18"/>
                <w:color w:val="auto"/>
              </w:rPr>
              <w:t>Scott Lauder</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12,537</w:t>
            </w:r>
          </w:p>
        </w:tc>
      </w:tr>
      <w:tr>
        <w:trPr>
          <w:trHeight w:val="249"/>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Squinto</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10,364</w:t>
            </w:r>
          </w:p>
        </w:tc>
      </w:tr>
      <w:tr>
        <w:trPr>
          <w:trHeight w:val="237"/>
        </w:trPr>
        <w:tc>
          <w:tcPr>
            <w:tcW w:w="9340" w:type="dxa"/>
            <w:vAlign w:val="bottom"/>
            <w:gridSpan w:val="2"/>
          </w:tcPr>
          <w:p>
            <w:pPr>
              <w:spacing w:after="0"/>
              <w:rPr>
                <w:sz w:val="20"/>
                <w:szCs w:val="20"/>
                <w:color w:val="auto"/>
              </w:rPr>
            </w:pPr>
            <w:r>
              <w:rPr>
                <w:rFonts w:ascii="Arial" w:cs="Arial" w:eastAsia="Arial" w:hAnsi="Arial"/>
                <w:sz w:val="18"/>
                <w:szCs w:val="18"/>
                <w:color w:val="auto"/>
              </w:rPr>
              <w:t>Tatiana Rokhlina</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r>
      <w:tr>
        <w:trPr>
          <w:trHeight w:val="249"/>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Wu Capital</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228,391</w:t>
            </w: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color w:val="auto"/>
              </w:rPr>
              <w:t>Zhao-Xue Yu</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lowerRoman"/>
      <w:start w:val="1"/>
    </w:lvl>
  </w:abstractNum>
  <w:abstractNum w:abstractNumId="1">
    <w:nsid w:val="2901D82"/>
    <w:multiLevelType w:val="hybridMultilevel"/>
    <w:lvl w:ilvl="0">
      <w:lvlJc w:val="left"/>
      <w:lvlText w:val="%1."/>
      <w:numFmt w:val="decimal"/>
      <w:start w:val="1"/>
    </w:lvl>
  </w:abstractNum>
  <w:abstractNum w:abstractNumId="2">
    <w:nsid w:val="3A95F874"/>
    <w:multiLevelType w:val="hybridMultilevel"/>
    <w:lvl w:ilvl="0">
      <w:lvlJc w:val="left"/>
      <w:lvlText w:val="%1."/>
      <w:numFmt w:val="decimal"/>
      <w:start w:val="6"/>
    </w:lvl>
  </w:abstractNum>
  <w:abstractNum w:abstractNumId="3">
    <w:nsid w:val="8138641"/>
    <w:multiLevelType w:val="hybridMultilevel"/>
    <w:lvl w:ilvl="0">
      <w:lvlJc w:val="left"/>
      <w:lvlText w:val="(%1)"/>
      <w:numFmt w:val="lowerLetter"/>
      <w:start w:val="1"/>
    </w:lvl>
    <w:lvl w:ilvl="1">
      <w:lvlJc w:val="left"/>
      <w:lvlText w:val="%2."/>
      <w:numFmt w:val="upperLetter"/>
      <w:start w:val="2"/>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1."/>
      <w:numFmt w:val="decimal"/>
      <w:start w:val="4"/>
    </w:lvl>
  </w:abstractNum>
  <w:abstractNum w:abstractNumId="7">
    <w:nsid w:val="6CEAF087"/>
    <w:multiLevelType w:val="hybridMultilevel"/>
    <w:lvl w:ilvl="0">
      <w:lvlJc w:val="left"/>
      <w:lvlText w:val="%1."/>
      <w:numFmt w:val="decimal"/>
      <w:start w:val="5"/>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2"/>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1)"/>
      <w:numFmt w:val="lowerLetter"/>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2"/>
    </w:lvl>
  </w:abstractNum>
  <w:abstractNum w:abstractNumId="15">
    <w:nsid w:val="5072367"/>
    <w:multiLevelType w:val="hybridMultilevel"/>
    <w:lvl w:ilvl="0">
      <w:lvlJc w:val="left"/>
      <w:lvlText w:val="%1"/>
      <w:numFmt w:val="lowerRoman"/>
      <w:start w:val="1"/>
    </w:lvl>
    <w:lvl w:ilvl="1">
      <w:lvlJc w:val="left"/>
      <w:lvlText w:val="(%2)"/>
      <w:numFmt w:val="upperLetter"/>
      <w:start w:val="1"/>
    </w:lvl>
  </w:abstractNum>
  <w:abstractNum w:abstractNumId="16">
    <w:nsid w:val="3804823E"/>
    <w:multiLevelType w:val="hybridMultilevel"/>
    <w:lvl w:ilvl="0">
      <w:lvlJc w:val="left"/>
      <w:lvlText w:val="(%1)"/>
      <w:numFmt w:val="lowerRoman"/>
      <w:start w:val="5"/>
    </w:lvl>
    <w:lvl w:ilvl="1">
      <w:lvlJc w:val="left"/>
      <w:lvlText w:val="%2"/>
      <w:numFmt w:val="upperLetter"/>
      <w:start w:val="1"/>
    </w:lvl>
  </w:abstractNum>
  <w:abstractNum w:abstractNumId="17">
    <w:nsid w:val="77465F01"/>
    <w:multiLevelType w:val="hybridMultilevel"/>
    <w:lvl w:ilvl="0">
      <w:lvlJc w:val="left"/>
      <w:lvlText w:val="(%1)"/>
      <w:numFmt w:val="lowerRoman"/>
      <w:start w:val="7"/>
    </w:lvl>
    <w:lvl w:ilvl="1">
      <w:lvlJc w:val="left"/>
      <w:lvlText w:val="(%2)"/>
      <w:numFmt w:val="upperLetter"/>
      <w:start w:val="2"/>
    </w:lvl>
  </w:abstractNum>
  <w:abstractNum w:abstractNumId="18">
    <w:nsid w:val="7724C67E"/>
    <w:multiLevelType w:val="hybridMultilevel"/>
    <w:lvl w:ilvl="0">
      <w:lvlJc w:val="left"/>
      <w:lvlText w:val="(%1)"/>
      <w:numFmt w:val="upperLetter"/>
      <w:start w:val="4"/>
    </w:lvl>
  </w:abstractNum>
  <w:abstractNum w:abstractNumId="19">
    <w:nsid w:val="5C482A97"/>
    <w:multiLevelType w:val="hybridMultilevel"/>
    <w:lvl w:ilvl="0">
      <w:lvlJc w:val="left"/>
      <w:lvlText w:val="(%1)"/>
      <w:numFmt w:val="lowerLetter"/>
      <w:start w:val="2"/>
    </w:lvl>
    <w:lvl w:ilvl="1">
      <w:lvlJc w:val="left"/>
      <w:lvlText w:val="(%2)"/>
      <w:numFmt w:val="decimal"/>
      <w:start w:val="3"/>
    </w:lvl>
  </w:abstractNum>
  <w:abstractNum w:abstractNumId="20">
    <w:nsid w:val="2463B9EA"/>
    <w:multiLevelType w:val="hybridMultilevel"/>
    <w:lvl w:ilvl="0">
      <w:lvlJc w:val="left"/>
      <w:lvlText w:val="(%1)"/>
      <w:numFmt w:val="decimal"/>
      <w:start w:val="4"/>
    </w:lvl>
  </w:abstractNum>
  <w:abstractNum w:abstractNumId="21">
    <w:nsid w:val="5E884ADC"/>
    <w:multiLevelType w:val="hybridMultilevel"/>
    <w:lvl w:ilvl="0">
      <w:lvlJc w:val="left"/>
      <w:lvlText w:val="(%1)"/>
      <w:numFmt w:val="lowerLetter"/>
      <w:start w:val="2"/>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lowerLetter"/>
      <w:start w:val="3"/>
    </w:lvl>
  </w:abstractNum>
  <w:abstractNum w:abstractNumId="24">
    <w:nsid w:val="580BD78F"/>
    <w:multiLevelType w:val="hybridMultilevel"/>
    <w:lvl w:ilvl="0">
      <w:lvlJc w:val="left"/>
      <w:lvlText w:val="(%1)"/>
      <w:numFmt w:val="lowerLetter"/>
      <w:start w:val="1"/>
    </w:lvl>
  </w:abstractNum>
  <w:abstractNum w:abstractNumId="25">
    <w:nsid w:val="153EA438"/>
    <w:multiLevelType w:val="hybridMultilevel"/>
    <w:lvl w:ilvl="0">
      <w:lvlJc w:val="left"/>
      <w:lvlText w:val="(%1)"/>
      <w:numFmt w:val="lowerLetter"/>
      <w:start w:val="5"/>
    </w:lvl>
  </w:abstractNum>
  <w:abstractNum w:abstractNumId="26">
    <w:nsid w:val="3855585C"/>
    <w:multiLevelType w:val="hybridMultilevel"/>
    <w:lvl w:ilvl="0">
      <w:lvlJc w:val="left"/>
      <w:lvlText w:val="(%1)"/>
      <w:numFmt w:val="lowerRoman"/>
      <w:start w:val="2"/>
    </w:lvl>
  </w:abstractNum>
  <w:abstractNum w:abstractNumId="27">
    <w:nsid w:val="70A64E2A"/>
    <w:multiLevelType w:val="hybridMultilevel"/>
    <w:lvl w:ilvl="0">
      <w:lvlJc w:val="left"/>
      <w:lvlText w:val="(%1)"/>
      <w:numFmt w:val="lowerLetter"/>
      <w:start w:val="1"/>
    </w:lvl>
  </w:abstractNum>
  <w:abstractNum w:abstractNumId="28">
    <w:nsid w:val="6A2342EC"/>
    <w:multiLevelType w:val="hybridMultilevel"/>
    <w:lvl w:ilvl="0">
      <w:lvlJc w:val="left"/>
      <w:lvlText w:val="(%1)"/>
      <w:numFmt w:val="lowerLetter"/>
      <w:start w:val="8"/>
    </w:lvl>
  </w:abstractNum>
  <w:abstractNum w:abstractNumId="29">
    <w:nsid w:val="2A487CB0"/>
    <w:multiLevelType w:val="hybridMultilevel"/>
    <w:lvl w:ilvl="0">
      <w:lvlJc w:val="left"/>
      <w:lvlText w:val="(%1)"/>
      <w:numFmt w:val="lowerLetter"/>
      <w:start w:val="1"/>
    </w:lvl>
    <w:lvl w:ilvl="1">
      <w:lvlJc w:val="left"/>
      <w:lvlText w:val="(%2)"/>
      <w:numFmt w:val="decimal"/>
      <w:start w:val="1"/>
    </w:lvl>
  </w:abstractNum>
  <w:abstractNum w:abstractNumId="30">
    <w:nsid w:val="1D4ED43B"/>
    <w:multiLevelType w:val="hybridMultilevel"/>
    <w:lvl w:ilvl="0">
      <w:lvlJc w:val="left"/>
      <w:lvlText w:val="(%1)"/>
      <w:numFmt w:val="lowerLetter"/>
      <w:start w:val="1"/>
    </w:lvl>
  </w:abstractNum>
  <w:abstractNum w:abstractNumId="31">
    <w:nsid w:val="725A06FB"/>
    <w:multiLevelType w:val="hybridMultilevel"/>
    <w:lvl w:ilvl="0">
      <w:lvlJc w:val="left"/>
      <w:lvlText w:val="(%1)"/>
      <w:numFmt w:val="lowerLetter"/>
      <w:start w:val="1"/>
    </w:lvl>
  </w:abstractNum>
  <w:abstractNum w:abstractNumId="32">
    <w:nsid w:val="2CD89A32"/>
    <w:multiLevelType w:val="hybridMultilevel"/>
    <w:lvl w:ilvl="0">
      <w:lvlJc w:val="left"/>
      <w:lvlText w:val="(%1)"/>
      <w:numFmt w:val="lowerLetter"/>
      <w:start w:val="1"/>
    </w:lvl>
  </w:abstractNum>
  <w:abstractNum w:abstractNumId="33">
    <w:nsid w:val="57E4CCAF"/>
    <w:multiLevelType w:val="hybridMultilevel"/>
    <w:lvl w:ilvl="0">
      <w:lvlJc w:val="left"/>
      <w:lvlText w:val="(%1)"/>
      <w:numFmt w:val="lowerLetter"/>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lowerLetter"/>
      <w:start w:val="1"/>
    </w:lvl>
    <w:lvl w:ilvl="1">
      <w:lvlJc w:val="left"/>
      <w:lvlText w:val="(%2)"/>
      <w:numFmt w:val="lowerRoman"/>
      <w:start w:val="1"/>
    </w:lvl>
  </w:abstractNum>
  <w:abstractNum w:abstractNumId="36">
    <w:nsid w:val="542289EC"/>
    <w:multiLevelType w:val="hybridMultilevel"/>
    <w:lvl w:ilvl="0">
      <w:lvlJc w:val="left"/>
      <w:lvlText w:val="(%1)"/>
      <w:numFmt w:val="lowerLetter"/>
      <w:start w:val="2"/>
    </w:lvl>
  </w:abstractNum>
  <w:abstractNum w:abstractNumId="37">
    <w:nsid w:val="6DE91B18"/>
    <w:multiLevelType w:val="hybridMultilevel"/>
    <w:lvl w:ilvl="0">
      <w:lvlJc w:val="left"/>
      <w:lvlText w:val="(%1)."/>
      <w:numFmt w:val="lowerLetter"/>
      <w:start w:val="61"/>
    </w:lvl>
  </w:abstractNum>
  <w:abstractNum w:abstractNumId="38">
    <w:nsid w:val="38437FDB"/>
    <w:multiLevelType w:val="hybridMultilevel"/>
    <w:lvl w:ilvl="0">
      <w:lvlJc w:val="left"/>
      <w:lvlText w:val="(%1)"/>
      <w:numFmt w:val="decimal"/>
      <w:start w:val="10"/>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1)"/>
      <w:numFmt w:val="upperLetter"/>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lowerLetter"/>
      <w:start w:val="1"/>
    </w:lvl>
  </w:abstractNum>
  <w:abstractNum w:abstractNumId="43">
    <w:nsid w:val="749ABB43"/>
    <w:multiLevelType w:val="hybridMultilevel"/>
    <w:lvl w:ilvl="0">
      <w:lvlJc w:val="left"/>
      <w:lvlText w:val="(%1)"/>
      <w:numFmt w:val="lowerLetter"/>
      <w:start w:val="1"/>
    </w:lvl>
    <w:lvl w:ilvl="1">
      <w:lvlJc w:val="left"/>
      <w:lvlText w:val="(%2)"/>
      <w:numFmt w:val="lowerRoman"/>
      <w:start w:val="1"/>
    </w:lvl>
  </w:abstractNum>
  <w:abstractNum w:abstractNumId="44">
    <w:nsid w:val="3DC240FB"/>
    <w:multiLevelType w:val="hybridMultilevel"/>
    <w:lvl w:ilvl="0">
      <w:lvlJc w:val="left"/>
      <w:lvlText w:val="%1"/>
      <w:numFmt w:val="decimal"/>
      <w:start w:val="1"/>
    </w:lvl>
    <w:lvl w:ilvl="1">
      <w:lvlJc w:val="left"/>
      <w:lvlText w:val="(%2)"/>
      <w:numFmt w:val="lowerRoman"/>
      <w:start w:val="3"/>
    </w:lvl>
  </w:abstractNum>
  <w:abstractNum w:abstractNumId="45">
    <w:nsid w:val="1BA026FA"/>
    <w:multiLevelType w:val="hybridMultilevel"/>
    <w:lvl w:ilvl="0">
      <w:lvlJc w:val="left"/>
      <w:lvlText w:val="%1."/>
      <w:numFmt w:val="decimal"/>
      <w:start w:val="3"/>
    </w:lvl>
    <w:lvl w:ilvl="1">
      <w:lvlJc w:val="left"/>
      <w:lvlText w:val="%2"/>
      <w:numFmt w:val="lowerRoman"/>
      <w:start w:val="1"/>
    </w:lvl>
  </w:abstractNum>
  <w:abstractNum w:abstractNumId="46">
    <w:nsid w:val="79A1DEAA"/>
    <w:multiLevelType w:val="hybridMultilevel"/>
    <w:lvl w:ilvl="0">
      <w:lvlJc w:val="left"/>
      <w:lvlText w:val="(%1)"/>
      <w:numFmt w:val="lowerLetter"/>
      <w:start w:val="1"/>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decimal"/>
      <w:start w:val="6"/>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lowerLetter"/>
      <w:start w:val="1"/>
    </w:lvl>
  </w:abstractNum>
  <w:abstractNum w:abstractNumId="52">
    <w:nsid w:val="4F4EF005"/>
    <w:multiLevelType w:val="hybridMultilevel"/>
    <w:lvl w:ilvl="0">
      <w:lvlJc w:val="left"/>
      <w:lvlText w:val="%1."/>
      <w:numFmt w:val="decimal"/>
      <w:start w:val="9"/>
    </w:lvl>
  </w:abstractNum>
  <w:abstractNum w:abstractNumId="53">
    <w:nsid w:val="23F9C13C"/>
    <w:multiLevelType w:val="hybridMultilevel"/>
    <w:lvl w:ilvl="0">
      <w:lvlJc w:val="left"/>
      <w:lvlText w:val="%1."/>
      <w:numFmt w:val="decimal"/>
      <w:start w:val="10"/>
    </w:lvl>
  </w:abstractNum>
  <w:abstractNum w:abstractNumId="54">
    <w:nsid w:val="649BB77C"/>
    <w:multiLevelType w:val="hybridMultilevel"/>
    <w:lvl w:ilvl="0">
      <w:lvlJc w:val="left"/>
      <w:lvlText w:val="(%1)"/>
      <w:numFmt w:val="lowerLetter"/>
      <w:start w:val="1"/>
    </w:lvl>
  </w:abstractNum>
  <w:abstractNum w:abstractNumId="55">
    <w:nsid w:val="275AC794"/>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2021-02-05T16:08:25Z</dcterms:created>
  <dcterms:modified xsi:type="dcterms:W3CDTF">2021-02-05T16:08:25Z</dcterms:modified>
</cp:coreProperties>
</file>