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297 Boston Post Road #248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Wayland, MA 01778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Gemini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333-267276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Georges Gemayel: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November 17,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Merger, page 23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reissue comment 2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part. Revise the risk factor to specifically address the fact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projections do not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the risk that none of the Disc product candidates receive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approval. We note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disclosure in the revisions on page 150 in response to 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comments.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Financial Analysis, page 157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4 and your revised disclosure on page 157. Please also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here what</w:t>
      </w:r>
    </w:p>
    <w:p>
      <w:pPr>
        <w:ind w:left="120" w:right="28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led SVB Securities to use a discount rate ranging from 10% to Georges Gemayel,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12%. In the alternative, if the range was provided by Gemini management,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24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information and any associated parameters provided by Gemini.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202-551-3639 or Brian Cascio at 202-551-3676 if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Jessica Ansart at 202-551-4511 or Abby Adams at 202-551-6902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LastNameGeorges Gemayel, Ph.D.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NameGemini Therapeutics, Inc.</w:t>
      </w:r>
    </w:p>
    <w:p>
      <w:pPr>
        <w:jc w:val="right"/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Nylen, Esq.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2023-01-09T00:13:45Z</dcterms:created>
  <dcterms:modified xsi:type="dcterms:W3CDTF">2023-01-09T00:13:45Z</dcterms:modified>
</cp:coreProperties>
</file>