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Disc Medicine,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254604101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Bain Capital Life Sciences Opportunities III,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983,500.00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983,500.00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983,500.00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10020"/>
          </w:cols>
          <w:pgMar w:left="360" w:top="166" w:right="3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321 Arsenal Street, Suite 101, Watertown, Massachusetts 02472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20"/>
        <w:spacing w:after="0" w:line="249" w:lineRule="auto"/>
        <w:rPr>
          <w:sz w:val="20"/>
          <w:szCs w:val="20"/>
          <w:color w:val="auto"/>
        </w:rPr>
      </w:pPr>
      <w:r>
        <w:rPr>
          <w:rFonts w:ascii="Times New Roman" w:cs="Times New Roman" w:eastAsia="Times New Roman" w:hAnsi="Times New Roman"/>
          <w:sz w:val="21"/>
          <w:szCs w:val="21"/>
          <w:color w:val="auto"/>
        </w:rPr>
        <w:t>This Schedule 13G is being filed by Bain Capital Life Sciences Opportunities III, LP, a Delaware limited partnership (the "Reporting Person"). Bain Capital Life Sciences Investors, LLC, a Delaware limited liability company ("BCLSI"), is the manager of Bain Capital Life Sciences III General Partner, LLC, a Delaware limited liability</w:t>
      </w:r>
    </w:p>
    <w:p>
      <w:pPr>
        <w:spacing w:after="0" w:line="1" w:lineRule="exact"/>
        <w:rPr>
          <w:sz w:val="20"/>
          <w:szCs w:val="20"/>
          <w:color w:val="auto"/>
        </w:rPr>
      </w:pPr>
    </w:p>
    <w:p>
      <w:pPr>
        <w:ind w:left="920" w:hanging="912"/>
        <w:spacing w:after="0" w:line="232"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("BCLS Fund III GP"), which is the general partner of Bain Capital Life Sciences Fund III, L.P., a Delaware limited partnership ("BCLS Fund III"), which is the sole member of Bain Capital Life Sciences Opportunities III GP, LLC, a Delaware limited liability company (together with the Reporting Person, BCLSI, BCLS Fund III GP and BCLS Fund III, the "Bain Capital Life Sciences Entities"), which is the general partner of the Reporting Person. As a result, BCLSI may be deemed to share voting and dispositive power with respect to the securities held by the Reporting Person.</w:t>
      </w:r>
    </w:p>
    <w:p>
      <w:pPr>
        <w:sectPr>
          <w:pgSz w:w="11900" w:h="16838" w:orient="portrait"/>
          <w:cols w:equalWidth="0" w:num="1">
            <w:col w:w="11140"/>
          </w:cols>
          <w:pgMar w:left="360" w:top="166" w:right="399" w:bottom="0" w:gutter="0" w:footer="0" w:header="0"/>
          <w:type w:val="continuous"/>
        </w:sect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The principal business address for each of the Bain Capital Life Sciences Entities is 200 Clarendon Street, Boston, Massachusetts 02116.</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 of the Bain Capital Life Sciences Entities is organized under the laws of the State of 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254604101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ectPr>
          <w:pgSz w:w="11900" w:h="16838" w:orient="portrait"/>
          <w:cols w:equalWidth="0" w:num="2">
            <w:col w:w="620" w:space="300"/>
            <w:col w:w="10220"/>
          </w:cols>
          <w:pgMar w:left="360" w:top="166" w:right="3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hanging="912"/>
        <w:spacing w:after="0" w:line="201" w:lineRule="auto"/>
        <w:tabs>
          <w:tab w:leader="none" w:pos="920" w:val="left"/>
        </w:tabs>
        <w:numPr>
          <w:ilvl w:val="0"/>
          <w:numId w:val="6"/>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As of December 31, 2024, the Reporting Person held 983,500 shares of Common Stock, representing approximately 3.3% of the outstanding shares of Common Stock.The percentage of the outstanding shares of Common Stock held by the Reporting Person is based on 29,757,732 shares of Common Stock outstanding as of November 7, 2024, as reported by the Issuer in its Quarterly Report on Form 10-Q for the quarter ended September 30, 2024.</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Item 4(a) hereof.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080" w:firstLine="6"/>
        <w:spacing w:after="0" w:line="486" w:lineRule="auto"/>
        <w:tabs>
          <w:tab w:leader="none" w:pos="123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983,500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4960" w:firstLine="6"/>
        <w:spacing w:after="0" w:line="486" w:lineRule="auto"/>
        <w:tabs>
          <w:tab w:leader="none" w:pos="128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983,500</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0980"/>
          </w:cols>
          <w:pgMar w:left="360" w:top="126" w:right="55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060"/>
          </w:cols>
          <w:pgMar w:left="360" w:top="126" w:right="559" w:bottom="0" w:gutter="0" w:footer="0" w:header="0"/>
          <w:type w:val="continuous"/>
        </w:sectPr>
      </w:pPr>
    </w:p>
    <w:p>
      <w:pPr>
        <w:ind w:left="94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0980"/>
          </w:cols>
          <w:pgMar w:left="360" w:top="126" w:right="55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5"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Bain Capital Life Sciences Opportunities III,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Ricky Sun</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Ricky Sun, Partner of Bain Capital Life Sciences</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Investors, LLC</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2025-02-14T06:58:37Z</dcterms:created>
  <dcterms:modified xsi:type="dcterms:W3CDTF">2025-02-14T06:58:37Z</dcterms:modified>
</cp:coreProperties>
</file>