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001-39438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85-1612845</w:t>
            </w:r>
          </w:p>
        </w:tc>
      </w:tr>
      <w:tr>
        <w:trPr>
          <w:trHeight w:val="148"/>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300 One Kendall Square, 3rd Floor</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5"/>
              </w:rPr>
              <w:t>Cambridge, MA</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44" w:right="200" w:hanging="426"/>
        <w:spacing w:after="0" w:line="277" w:lineRule="auto"/>
        <w:tabs>
          <w:tab w:leader="none" w:pos="40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0" w:lineRule="exact"/>
        <w:rPr>
          <w:sz w:val="24"/>
          <w:szCs w:val="24"/>
          <w:color w:val="auto"/>
        </w:rPr>
      </w:pPr>
    </w:p>
    <w:p>
      <w:pPr>
        <w:ind w:left="444" w:right="200" w:hanging="426"/>
        <w:spacing w:after="0" w:line="277" w:lineRule="auto"/>
        <w:tabs>
          <w:tab w:leader="none" w:pos="408"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On November 12, 2021, Gemini Therapeutics, Inc. (the “Company”) issued a press release entitled “Gemini Therapeutics Announces Poster Presentation at AAO 2021.”</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this Item 7.01, including Exhibit 99.1 to this Current Report on Form 8-K,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November 12, 2021, the Company announced that newly available safety data from its Phase 2a ReGAtta study of GEM103 in patients with geographic atrophy (“GA”) secondary to dry age-related macular degeneration (“AMD”) is being presented at the American Academy of Ophthalmology (AAO). ReGAtta is a dose escalation trial of GEM103, which is intravitreally administered recombinant human complement factor H (“CFH”), in dry AMD patients.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summary, based on newly available data that updates the May 2021 initial data from the Company’s ongoing ReGAtta Phase 2a study of GEM103, GEM103 continues to be generally well-tolerated:</w:t>
      </w:r>
    </w:p>
    <w:p>
      <w:pPr>
        <w:spacing w:after="0" w:line="76" w:lineRule="exact"/>
        <w:rPr>
          <w:sz w:val="20"/>
          <w:szCs w:val="20"/>
          <w:color w:val="auto"/>
        </w:rPr>
      </w:pPr>
    </w:p>
    <w:p>
      <w:pPr>
        <w:ind w:left="960" w:right="1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510 intravitreal administrations of GEM 103, no ocular serious adverse events related to study drug reported, no ocular adverse events leading to study discontinuation, and no anti-GEM103 antibodies detected in plasma.</w:t>
      </w:r>
    </w:p>
    <w:p>
      <w:pPr>
        <w:spacing w:after="0" w:line="75" w:lineRule="exact"/>
        <w:rPr>
          <w:rFonts w:ascii="Arial" w:cs="Arial" w:eastAsia="Arial" w:hAnsi="Arial"/>
          <w:sz w:val="18"/>
          <w:szCs w:val="18"/>
          <w:color w:val="auto"/>
        </w:rPr>
      </w:pPr>
    </w:p>
    <w:p>
      <w:pPr>
        <w:ind w:left="960" w:right="280" w:hanging="424"/>
        <w:spacing w:after="0" w:line="286"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17 patients (27.4%) experienced mild to moderate ocular adverse events in the study eye including two (2) intraocular inflammation adverse events. Inflammation was mild or moderate and the patients recovered without recurrence and no study drug interruption. The moderate case was unrelated to GEM103 and the patient had a history of autoimmune disease.</w:t>
      </w:r>
    </w:p>
    <w:p>
      <w:pPr>
        <w:spacing w:after="0" w:line="70" w:lineRule="exact"/>
        <w:rPr>
          <w:rFonts w:ascii="Arial" w:cs="Arial" w:eastAsia="Arial" w:hAnsi="Arial"/>
          <w:sz w:val="17"/>
          <w:szCs w:val="17"/>
          <w:color w:val="auto"/>
        </w:rPr>
      </w:pPr>
    </w:p>
    <w:p>
      <w:pPr>
        <w:ind w:left="960" w:right="8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increased risk observed for Choroidal Neovascularization (CNV). Two (2) adverse events of neovascular AMD in the study eye occurred; in both cases, there were no definitive evidence of CNV by independent reading center’s analysis of the retinal imaging. These events were determined to be unrelated to GEM103 and there was no impact on vision.</w:t>
      </w:r>
    </w:p>
    <w:p>
      <w:pPr>
        <w:sectPr>
          <w:pgSz w:w="11900" w:h="16838" w:orient="portrait"/>
          <w:cols w:equalWidth="0" w:num="1">
            <w:col w:w="10900"/>
          </w:cols>
          <w:pgMar w:left="440" w:top="297" w:right="5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Gemini’s Forward-Looking Statements</w:t>
      </w:r>
    </w:p>
    <w:p>
      <w:pPr>
        <w:spacing w:after="0" w:line="121" w:lineRule="exact"/>
        <w:rPr>
          <w:sz w:val="20"/>
          <w:szCs w:val="20"/>
          <w:color w:val="auto"/>
        </w:rPr>
      </w:pPr>
    </w:p>
    <w:p>
      <w:pPr>
        <w:ind w:left="4"/>
        <w:spacing w:after="0" w:line="284" w:lineRule="auto"/>
        <w:rPr>
          <w:sz w:val="20"/>
          <w:szCs w:val="20"/>
          <w:color w:val="auto"/>
        </w:rPr>
      </w:pPr>
      <w:r>
        <w:rPr>
          <w:rFonts w:ascii="Arial" w:cs="Arial" w:eastAsia="Arial" w:hAnsi="Arial"/>
          <w:sz w:val="16"/>
          <w:szCs w:val="16"/>
          <w:i w:val="1"/>
          <w:iCs w:val="1"/>
          <w:color w:val="auto"/>
        </w:rPr>
        <w:t>Certain statements in this press release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timing of and costs associated with our restructuring, and the benefits we expect to receive from the restructuring, the success, cost and timing of our product development activities and clinical trials, whether such data, when final, will be consistent with interim reported data, the timing to commence future clinical trials, the potential attributes and benefits of our product candidates, including GEM103, the reliability of the interim or final results of studies relating to safety and possible adverse effects, including serious adverse events, resulting from the administration of our product candidates, our ability to obtain and maintain regulatory approval for our product candidates, our projected cash runway and our ability to obtain funding for our operations when needed.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the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9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99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3"/>
                <w:szCs w:val="23"/>
                <w:color w:val="auto"/>
              </w:rPr>
            </w:pPr>
          </w:p>
        </w:tc>
        <w:tc>
          <w:tcPr>
            <w:tcW w:w="998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by Gemini Therapeutics, Inc., dated November 12,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80" w:type="dxa"/>
            <w:vAlign w:val="bottom"/>
            <w:shd w:val="clear" w:color="auto" w:fill="0000EE"/>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97" w:right="43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2021</w:t>
      </w:r>
    </w:p>
    <w:p>
      <w:pPr>
        <w:sectPr>
          <w:pgSz w:w="11900" w:h="16838" w:orient="portrait"/>
          <w:cols w:equalWidth="0" w:num="1">
            <w:col w:w="10260"/>
          </w:cols>
          <w:pgMar w:left="440" w:top="297"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171450</wp:posOffset>
            </wp:positionV>
            <wp:extent cx="1380490" cy="883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049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Announces Poster Presentation at AAO 2021</w:t>
      </w:r>
    </w:p>
    <w:p>
      <w:pPr>
        <w:spacing w:after="0" w:line="11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CAMBRIDGE, Mass. – November 12, 2021 </w:t>
      </w:r>
      <w:r>
        <w:rPr>
          <w:rFonts w:ascii="Arial" w:cs="Arial" w:eastAsia="Arial" w:hAnsi="Arial"/>
          <w:sz w:val="18"/>
          <w:szCs w:val="18"/>
          <w:color w:val="auto"/>
        </w:rPr>
        <w:t>– Gemini Therapeutics, Inc. (Nasdaq: GMTX), a clinical stage precision medicine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treatments for genetically-defined age-related macular degeneration (AMD), today announced that Raj Maturi, M.D., Adjunct Clinical Assistant Professor of Ophthalmology at Indiana University School of Medicine and an investigator in the ReGAtta study, will present a poster at the 2021 Annual Meeting of the American Academy of Ophthalmology (AAO), which is being held virtually and in-person at the Ernest N. Morial Convention Center, New Orleans, LA on November 12 – 15,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virtual poster at the AAO meeting include: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Phase 2a Open Label Study of GEM103 in Genetically Selected Geographic Atrophy (GA) Subjects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poster (PO329) features newly available data that updates the May 2021 initial data from the Company’s ongoing ReGAtta Phase 2a study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GEM103. In summary, GEM103 continues to be generally well-tolerated:</w:t>
      </w:r>
    </w:p>
    <w:p>
      <w:pPr>
        <w:spacing w:after="0" w:line="116" w:lineRule="exact"/>
        <w:rPr>
          <w:sz w:val="20"/>
          <w:szCs w:val="20"/>
          <w:color w:val="auto"/>
        </w:rPr>
      </w:pPr>
    </w:p>
    <w:p>
      <w:pPr>
        <w:ind w:left="960" w:right="22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510 intravitreal administrations of GEM 103, no ocular serious adverse events related to study drug reported, no ocular adverse events leading to study discontinuation, and no anti-GEM103 antibodies detected in plasma.</w:t>
      </w:r>
    </w:p>
    <w:p>
      <w:pPr>
        <w:spacing w:after="0" w:line="75" w:lineRule="exact"/>
        <w:rPr>
          <w:rFonts w:ascii="Arial" w:cs="Arial" w:eastAsia="Arial" w:hAnsi="Arial"/>
          <w:sz w:val="18"/>
          <w:szCs w:val="18"/>
          <w:color w:val="auto"/>
        </w:rPr>
      </w:pPr>
    </w:p>
    <w:p>
      <w:pPr>
        <w:ind w:left="960" w:right="200" w:hanging="424"/>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17 patients (27.4%) experienced mild to moderate ocular adverse events in the study eye including two intraocular inflammation adverse events. Inflammation was mild or moderate and the patients recovered without recurrence and no study drug interruption. The moderate case was unrelated to GEM103 and the patient had a history of autoimmune disease.</w:t>
      </w:r>
    </w:p>
    <w:p>
      <w:pPr>
        <w:spacing w:after="0" w:line="89" w:lineRule="exact"/>
        <w:rPr>
          <w:rFonts w:ascii="Arial" w:cs="Arial" w:eastAsia="Arial" w:hAnsi="Arial"/>
          <w:sz w:val="18"/>
          <w:szCs w:val="18"/>
          <w:color w:val="auto"/>
        </w:rPr>
      </w:pPr>
    </w:p>
    <w:p>
      <w:pPr>
        <w:ind w:left="960" w:right="20" w:hanging="424"/>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increased risk observed for Choroidal Neovascularization (CNV). Two adverse events of neovascular AMD in the study eye occurred; in both cases, there were no definitive evidence of CNV by independent reading center’s analysis of the retinal imaging. These events were determined to be unrelated to GEM103 and there was no impact on vision.</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Information on Gemini Therapeutics, including GEM103 and initial ReGAtta data, and the e-poster presented at AAO 2021, can be found on Gemini Therapeutics’ website under the Investors &amp; Media section: </w:t>
      </w:r>
      <w:r>
        <w:rPr>
          <w:rFonts w:ascii="Arial" w:cs="Arial" w:eastAsia="Arial" w:hAnsi="Arial"/>
          <w:sz w:val="18"/>
          <w:szCs w:val="18"/>
          <w:u w:val="single" w:color="auto"/>
          <w:color w:val="auto"/>
        </w:rPr>
        <w:t>Events and Presentations</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5" w:name="page6"/>
    <w:bookmarkEnd w:id="5"/>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77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9772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Gemini Therapeutics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Gemini Therapeutics is a clinical stage precision medicine company developing novel therapeutic compounds to treat genetically defined age-related macular degeneration (AMD). Gemini’s lead candidate, GEM103, is a recombinant form of human complement factor H protein (CFH) and is designed to address both complement hyperactivity and restore retinal health in patients with AMD. GEM103 is currently in a Phase 2a trial in dry AMD patients with a CFH risk variant and a Phase 1/2a study in patients with neovascular age-related macular degeneration with or at risk for macular atrophy. Gemini is also working to advance a potentiating antibody for CFH, GEM307, towards clinical development for treatment of systemic diseases. For more information, visit </w:t>
      </w:r>
      <w:r>
        <w:rPr>
          <w:rFonts w:ascii="Arial" w:cs="Arial" w:eastAsia="Arial" w:hAnsi="Arial"/>
          <w:sz w:val="18"/>
          <w:szCs w:val="18"/>
          <w:u w:val="single" w:color="auto"/>
          <w:color w:val="auto"/>
        </w:rPr>
        <w:t>www.geminitherapeutics.com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Other Information About Gemini Therapeutics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Investors and others should note that we communicate with our investors and the public using our website (</w:t>
      </w:r>
      <w:r>
        <w:rPr>
          <w:rFonts w:ascii="Arial" w:cs="Arial" w:eastAsia="Arial" w:hAnsi="Arial"/>
          <w:sz w:val="17"/>
          <w:szCs w:val="17"/>
          <w:u w:val="single" w:color="auto"/>
          <w:color w:val="auto"/>
        </w:rPr>
        <w:t>www.geminitherapeutics.com</w:t>
      </w:r>
      <w:r>
        <w:rPr>
          <w:rFonts w:ascii="Arial" w:cs="Arial" w:eastAsia="Arial" w:hAnsi="Arial"/>
          <w:sz w:val="17"/>
          <w:szCs w:val="17"/>
          <w:color w:val="auto"/>
        </w:rPr>
        <w:t>), the investor relations website (</w:t>
      </w:r>
      <w:r>
        <w:rPr>
          <w:rFonts w:ascii="Arial" w:cs="Arial" w:eastAsia="Arial" w:hAnsi="Arial"/>
          <w:sz w:val="17"/>
          <w:szCs w:val="17"/>
          <w:u w:val="single" w:color="auto"/>
          <w:color w:val="auto"/>
        </w:rPr>
        <w:t>https://investors.geminitherapeutics.com/</w:t>
      </w:r>
      <w:r>
        <w:rPr>
          <w:rFonts w:ascii="Arial" w:cs="Arial" w:eastAsia="Arial" w:hAnsi="Arial"/>
          <w:sz w:val="17"/>
          <w:szCs w:val="17"/>
          <w:color w:val="auto"/>
        </w:rPr>
        <w:t>), and on social media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LinkedIn</w:t>
      </w:r>
      <w:r>
        <w:rPr>
          <w:rFonts w:ascii="Arial" w:cs="Arial" w:eastAsia="Arial" w:hAnsi="Arial"/>
          <w:sz w:val="17"/>
          <w:szCs w:val="17"/>
          <w:color w:val="auto"/>
        </w:rPr>
        <w:t>), including but not limited to investor presentations and investor fact sheets, U.S. Securities and Exchange Commission filings, press releases, public conference calls and webcasts. The information that Gemini posts on these channels and websites could be deemed to be material information. As a result, Gemini encourages investors, the media, and others interested in Gemini to review the information that is posted on these channels, including the investor relations website, on a regular basis. This list of channels may be updated from time to time on Gemini’s investor relations website and may include additional social media channels. The contents of Gemini’s website or these channels, or any other website that may be accessed from its website or these channels, shall not be deemed incorporated by reference in any filing under the Securities Act of 1933, as amended.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Gemini’s 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Certain statements in this press release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timing of and costs associated with our restructuring, and the benefits we expect to receive from the restructuring, the success, cost and timing of our product development activities and clinical trials, whether such data, when final, will be consistent with interim reported data, the timing to commence future clinical trials, the potential attributes and benefits of our product candidates, including GEM103, the reliability of the interim or final results of studies relating to safety and possible adverse effects, including serious adverse events, resulting from the administration of our product candidates, our ability to obtain and maintain regulatory approval for our product candidates, our projected cash runway and our ability to obtain funding for our operations when needed.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w:t>
      </w:r>
    </w:p>
    <w:p>
      <w:pPr>
        <w:sectPr>
          <w:pgSz w:w="11900" w:h="16838" w:orient="portrait"/>
          <w:cols w:equalWidth="0" w:num="1">
            <w:col w:w="11020"/>
          </w:cols>
          <w:pgMar w:left="440" w:top="1440" w:right="439" w:bottom="1440" w:gutter="0" w:footer="0" w:header="0"/>
        </w:sectPr>
      </w:pPr>
    </w:p>
    <w:bookmarkStart w:id="6" w:name="page7"/>
    <w:bookmarkEnd w:id="6"/>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77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977265"/>
                    </a:xfrm>
                    <a:prstGeom prst="rect">
                      <a:avLst/>
                    </a:prstGeom>
                    <a:noFill/>
                  </pic:spPr>
                </pic:pic>
              </a:graphicData>
            </a:graphic>
          </wp:anchor>
        </w:drawing>
      </w:r>
    </w:p>
    <w:p>
      <w:pPr>
        <w:spacing w:after="0" w:line="289" w:lineRule="auto"/>
        <w:rPr>
          <w:sz w:val="20"/>
          <w:szCs w:val="20"/>
          <w:color w:val="auto"/>
        </w:rPr>
      </w:pPr>
      <w:r>
        <w:rPr>
          <w:rFonts w:ascii="Arial" w:cs="Arial" w:eastAsia="Arial" w:hAnsi="Arial"/>
          <w:sz w:val="16"/>
          <w:szCs w:val="16"/>
          <w:i w:val="1"/>
          <w:iCs w:val="1"/>
          <w:color w:val="auto"/>
        </w:rPr>
        <w:t>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the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Sherri Spear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gemini@argotpartners.com</w:t>
      </w:r>
    </w:p>
    <w:sectPr>
      <w:pgSz w:w="11900" w:h="16838" w:orient="portrait"/>
      <w:cols w:equalWidth="0" w:num="1">
        <w:col w:w="10840"/>
      </w:cols>
      <w:pgMar w:left="44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2021-11-12T10:09:42Z</dcterms:created>
  <dcterms:modified xsi:type="dcterms:W3CDTF">2021-11-12T10:09:42Z</dcterms:modified>
</cp:coreProperties>
</file>