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1"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Filed Pursuant to Rule 424(b)(5)</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333-269272</w:t>
      </w:r>
    </w:p>
    <w:p>
      <w:pPr>
        <w:spacing w:after="0" w:line="12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(To Prospectus dated January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1710690</wp:posOffset>
            </wp:positionH>
            <wp:positionV relativeFrom="paragraph">
              <wp:posOffset>469265</wp:posOffset>
            </wp:positionV>
            <wp:extent cx="372872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2872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Up to $59,700,000</w:t>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Common Stock</w:t>
      </w:r>
    </w:p>
    <w:p>
      <w:pPr>
        <w:spacing w:after="0" w:line="247" w:lineRule="exact"/>
        <w:rPr>
          <w:sz w:val="24"/>
          <w:szCs w:val="24"/>
          <w:color w:val="auto"/>
        </w:rPr>
      </w:pPr>
    </w:p>
    <w:p>
      <w:pPr>
        <w:ind w:left="120" w:right="60"/>
        <w:spacing w:after="0" w:line="229" w:lineRule="auto"/>
        <w:rPr>
          <w:sz w:val="20"/>
          <w:szCs w:val="20"/>
          <w:color w:val="auto"/>
        </w:rPr>
      </w:pPr>
      <w:r>
        <w:rPr>
          <w:rFonts w:ascii="Arial" w:cs="Arial" w:eastAsia="Arial" w:hAnsi="Arial"/>
          <w:sz w:val="17"/>
          <w:szCs w:val="17"/>
          <w:color w:val="auto"/>
        </w:rPr>
        <w:t>We have entered into an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or the sales agreement, dated October 10, 2023, with Jefferies LLC, or Jefferies, relating to the sale of shares of our common stock, par value $0.0001 per share, common stock. In accordance with the terms of the sales agreement, under this prospectus supplement we may offer and sell shares of our common stock having an aggregate offering price of up to $59,700,000 from time to time through Jefferies, acting as our sales agent, or directly to Jefferies, acting as principal.</w:t>
      </w:r>
    </w:p>
    <w:p>
      <w:pPr>
        <w:spacing w:after="0" w:line="192" w:lineRule="exact"/>
        <w:rPr>
          <w:sz w:val="24"/>
          <w:szCs w:val="24"/>
          <w:color w:val="auto"/>
        </w:rPr>
      </w:pPr>
    </w:p>
    <w:p>
      <w:pPr>
        <w:ind w:left="120" w:right="400"/>
        <w:spacing w:after="0" w:line="260" w:lineRule="auto"/>
        <w:rPr>
          <w:sz w:val="20"/>
          <w:szCs w:val="20"/>
          <w:color w:val="auto"/>
        </w:rPr>
      </w:pPr>
      <w:r>
        <w:rPr>
          <w:rFonts w:ascii="Arial" w:cs="Arial" w:eastAsia="Arial" w:hAnsi="Arial"/>
          <w:sz w:val="18"/>
          <w:szCs w:val="18"/>
          <w:color w:val="auto"/>
        </w:rPr>
        <w:t>Our common stock is listed on The Nasdaq Global Market under the symbol “IRON.” On October 9, 2023, the closing sale price of our common stock on The Nasdaq Global Market was $48.66 per share.</w:t>
      </w:r>
    </w:p>
    <w:p>
      <w:pPr>
        <w:spacing w:after="0" w:line="173" w:lineRule="exact"/>
        <w:rPr>
          <w:sz w:val="24"/>
          <w:szCs w:val="24"/>
          <w:color w:val="auto"/>
        </w:rPr>
      </w:pPr>
    </w:p>
    <w:p>
      <w:pPr>
        <w:ind w:left="120" w:right="20"/>
        <w:spacing w:after="0" w:line="239" w:lineRule="auto"/>
        <w:rPr>
          <w:sz w:val="20"/>
          <w:szCs w:val="20"/>
          <w:color w:val="auto"/>
        </w:rPr>
      </w:pPr>
      <w:r>
        <w:rPr>
          <w:rFonts w:ascii="Arial" w:cs="Arial" w:eastAsia="Arial" w:hAnsi="Arial"/>
          <w:sz w:val="18"/>
          <w:szCs w:val="18"/>
          <w:color w:val="auto"/>
        </w:rPr>
        <w:t>Sales of our common stock, if any, under this prospectus supplement and the accompanying base prospectus will be made by any method permitted that is deemed to be an “at the market offering” as defined in Rule 415(a)(4) promulgated under the Securities Act of 1933, as amended (the “Securities Act”). Jefferies is not required to sell any specific number or dollar amount of securities, but will act as a sales agent using commercially reasonable efforts consistent with its normal sales and trading practices to sell on our behalf all of the shares of common stock requested to be sold by us, on mutually agreed terms between Jefferies and us. There is no arrangement for funds to be received in any escrow, trust or similar arrangement.</w:t>
      </w:r>
    </w:p>
    <w:p>
      <w:pPr>
        <w:spacing w:after="0" w:line="194" w:lineRule="exact"/>
        <w:rPr>
          <w:sz w:val="24"/>
          <w:szCs w:val="24"/>
          <w:color w:val="auto"/>
        </w:rPr>
      </w:pPr>
    </w:p>
    <w:p>
      <w:pPr>
        <w:ind w:left="120" w:right="140"/>
        <w:spacing w:after="0" w:line="239" w:lineRule="auto"/>
        <w:rPr>
          <w:sz w:val="20"/>
          <w:szCs w:val="20"/>
          <w:color w:val="auto"/>
        </w:rPr>
      </w:pPr>
      <w:r>
        <w:rPr>
          <w:rFonts w:ascii="Arial" w:cs="Arial" w:eastAsia="Arial" w:hAnsi="Arial"/>
          <w:sz w:val="18"/>
          <w:szCs w:val="18"/>
          <w:color w:val="auto"/>
        </w:rPr>
        <w:t>Jefferies will be entitled to compensation at a commission rate of up to 3.0% of the gross proceeds of any shares of common stock sold under the sales agreement. In connection with the sale of our common stock on our behalf, Jefferies may be deemed to be an “underwriter” within the meaning of the Securities Act and the compensation of Jefferies may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 See “Plan of Distribution” beginning on page S-12 for additional information regarding the compensation to be paid to Jefferies.</w:t>
      </w:r>
    </w:p>
    <w:p>
      <w:pPr>
        <w:spacing w:after="0" w:line="194" w:lineRule="exact"/>
        <w:rPr>
          <w:sz w:val="24"/>
          <w:szCs w:val="24"/>
          <w:color w:val="auto"/>
        </w:rPr>
      </w:pPr>
    </w:p>
    <w:p>
      <w:pPr>
        <w:ind w:left="120" w:right="20"/>
        <w:spacing w:after="0" w:line="247" w:lineRule="auto"/>
        <w:rPr>
          <w:sz w:val="20"/>
          <w:szCs w:val="20"/>
          <w:color w:val="auto"/>
        </w:rPr>
      </w:pPr>
      <w:r>
        <w:rPr>
          <w:rFonts w:ascii="Arial" w:cs="Arial" w:eastAsia="Arial" w:hAnsi="Arial"/>
          <w:sz w:val="18"/>
          <w:szCs w:val="18"/>
          <w:color w:val="auto"/>
        </w:rPr>
        <w:t>We are an “emerging growth company” and a “smaller reporting company” under the federal securities laws and, as such, we have elected to comply with certain reduced public company reporting requirements for this prospectus supplement. See “Prospectus Supplement Summary—Implications of Being an Emerging Growth Company and a Smaller Reporting Company.”</w:t>
      </w:r>
    </w:p>
    <w:p>
      <w:pPr>
        <w:spacing w:after="0" w:line="174" w:lineRule="exact"/>
        <w:rPr>
          <w:sz w:val="24"/>
          <w:szCs w:val="24"/>
          <w:color w:val="auto"/>
        </w:rPr>
      </w:pPr>
    </w:p>
    <w:p>
      <w:pPr>
        <w:ind w:left="120" w:right="460"/>
        <w:spacing w:after="0" w:line="260" w:lineRule="auto"/>
        <w:rPr>
          <w:sz w:val="20"/>
          <w:szCs w:val="20"/>
          <w:color w:val="auto"/>
        </w:rPr>
      </w:pPr>
      <w:r>
        <w:rPr>
          <w:rFonts w:ascii="Arial" w:cs="Arial" w:eastAsia="Arial" w:hAnsi="Arial"/>
          <w:sz w:val="18"/>
          <w:szCs w:val="18"/>
          <w:b w:val="1"/>
          <w:bCs w:val="1"/>
          <w:color w:val="auto"/>
        </w:rPr>
        <w:t>Investing in our common stock involves a high degree of risk.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S-6 of this prospectus supplement and under similar headings in the other documents that are incorporated by reference into this prospectus supplement concerning factors you should consider before investing in our common stock.</w:t>
      </w:r>
    </w:p>
    <w:p>
      <w:pPr>
        <w:spacing w:after="0" w:line="151" w:lineRule="exact"/>
        <w:rPr>
          <w:sz w:val="24"/>
          <w:szCs w:val="24"/>
          <w:color w:val="auto"/>
        </w:rPr>
      </w:pPr>
    </w:p>
    <w:p>
      <w:pPr>
        <w:ind w:left="120" w:right="40"/>
        <w:spacing w:after="0" w:line="260"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3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The date of this prospectus supplement is October 10, 2023.</w:t>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157480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460" w:type="dxa"/>
            <w:vAlign w:val="bottom"/>
            <w:tcBorders>
              <w:bottom w:val="single" w:sz="8" w:color="0000EE"/>
            </w:tcBorders>
            <w:gridSpan w:val="17"/>
          </w:tcPr>
          <w:p>
            <w:pPr>
              <w:spacing w:after="0"/>
              <w:rPr>
                <w:sz w:val="20"/>
                <w:szCs w:val="20"/>
                <w:color w:val="auto"/>
              </w:rPr>
            </w:pPr>
            <w:r>
              <w:rPr>
                <w:rFonts w:ascii="Arial" w:cs="Arial" w:eastAsia="Arial" w:hAnsi="Arial"/>
                <w:sz w:val="17"/>
                <w:szCs w:val="17"/>
                <w:color w:val="0000EE"/>
              </w:rPr>
              <w:t>ABOUT THIS PROSPECTUS SUPPLEMENT</w:t>
            </w:r>
          </w:p>
        </w:tc>
        <w:tc>
          <w:tcPr>
            <w:tcW w:w="7100" w:type="dxa"/>
            <w:vAlign w:val="bottom"/>
            <w:gridSpan w:val="5"/>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S-ii</w:t>
            </w:r>
          </w:p>
        </w:tc>
        <w:tc>
          <w:tcPr>
            <w:tcW w:w="0" w:type="dxa"/>
            <w:vAlign w:val="bottom"/>
          </w:tcPr>
          <w:p>
            <w:pPr>
              <w:spacing w:after="0"/>
              <w:rPr>
                <w:sz w:val="1"/>
                <w:szCs w:val="1"/>
                <w:color w:val="auto"/>
              </w:rPr>
            </w:pPr>
          </w:p>
        </w:tc>
      </w:tr>
      <w:tr>
        <w:trPr>
          <w:trHeight w:val="385"/>
        </w:trPr>
        <w:tc>
          <w:tcPr>
            <w:tcW w:w="10560" w:type="dxa"/>
            <w:vAlign w:val="bottom"/>
            <w:gridSpan w:val="22"/>
          </w:tcPr>
          <w:p>
            <w:pPr>
              <w:spacing w:after="0"/>
              <w:rPr>
                <w:sz w:val="20"/>
                <w:szCs w:val="20"/>
                <w:color w:val="auto"/>
              </w:rPr>
            </w:pPr>
            <w:r>
              <w:rPr>
                <w:rFonts w:ascii="Arial" w:cs="Arial" w:eastAsia="Arial" w:hAnsi="Arial"/>
                <w:sz w:val="17"/>
                <w:szCs w:val="17"/>
                <w:color w:val="0000EE"/>
              </w:rPr>
              <w:t>CAUTIONARY NOTE REGARDING FORWARD-LOOKING STATEMENTS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S-iv</w:t>
            </w:r>
          </w:p>
        </w:tc>
        <w:tc>
          <w:tcPr>
            <w:tcW w:w="0" w:type="dxa"/>
            <w:vAlign w:val="bottom"/>
          </w:tcPr>
          <w:p>
            <w:pPr>
              <w:spacing w:after="0"/>
              <w:rPr>
                <w:sz w:val="1"/>
                <w:szCs w:val="1"/>
                <w:color w:val="auto"/>
              </w:rPr>
            </w:pPr>
          </w:p>
        </w:tc>
      </w:tr>
      <w:tr>
        <w:trPr>
          <w:trHeight w:val="385"/>
        </w:trPr>
        <w:tc>
          <w:tcPr>
            <w:tcW w:w="33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7"/>
                <w:szCs w:val="17"/>
                <w:color w:val="0000EE"/>
                <w:w w:val="99"/>
              </w:rPr>
              <w:t>PROSPECTUS SUPPLEMENT SUMMARY</w:t>
            </w:r>
          </w:p>
        </w:tc>
        <w:tc>
          <w:tcPr>
            <w:tcW w:w="2340" w:type="dxa"/>
            <w:vAlign w:val="bottom"/>
            <w:tcBorders>
              <w:top w:val="single" w:sz="8" w:color="0000EE"/>
            </w:tcBorders>
            <w:gridSpan w:val="6"/>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385"/>
        </w:trPr>
        <w:tc>
          <w:tcPr>
            <w:tcW w:w="10560" w:type="dxa"/>
            <w:vAlign w:val="bottom"/>
            <w:gridSpan w:val="22"/>
          </w:tcPr>
          <w:p>
            <w:pPr>
              <w:spacing w:after="0"/>
              <w:rPr>
                <w:sz w:val="20"/>
                <w:szCs w:val="20"/>
                <w:color w:val="auto"/>
              </w:rPr>
            </w:pPr>
            <w:r>
              <w:rPr>
                <w:rFonts w:ascii="Arial" w:cs="Arial" w:eastAsia="Arial" w:hAnsi="Arial"/>
                <w:sz w:val="17"/>
                <w:szCs w:val="17"/>
                <w:color w:val="0000EE"/>
              </w:rPr>
              <w:t>RISK FACTORS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S-6</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4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USE OF PROCEEDS</w:t>
            </w:r>
          </w:p>
        </w:tc>
        <w:tc>
          <w:tcPr>
            <w:tcW w:w="8920" w:type="dxa"/>
            <w:vAlign w:val="bottom"/>
            <w:gridSpan w:val="16"/>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S-8</w:t>
            </w:r>
          </w:p>
        </w:tc>
        <w:tc>
          <w:tcPr>
            <w:tcW w:w="0" w:type="dxa"/>
            <w:vAlign w:val="bottom"/>
          </w:tcPr>
          <w:p>
            <w:pPr>
              <w:spacing w:after="0"/>
              <w:rPr>
                <w:sz w:val="1"/>
                <w:szCs w:val="1"/>
                <w:color w:val="auto"/>
              </w:rPr>
            </w:pPr>
          </w:p>
        </w:tc>
      </w:tr>
      <w:tr>
        <w:trPr>
          <w:trHeight w:val="385"/>
        </w:trPr>
        <w:tc>
          <w:tcPr>
            <w:tcW w:w="82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rPr>
              <w:t>DILUTION</w:t>
            </w:r>
          </w:p>
        </w:tc>
        <w:tc>
          <w:tcPr>
            <w:tcW w:w="9740" w:type="dxa"/>
            <w:vAlign w:val="bottom"/>
            <w:gridSpan w:val="20"/>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S-9</w:t>
            </w:r>
          </w:p>
        </w:tc>
        <w:tc>
          <w:tcPr>
            <w:tcW w:w="0" w:type="dxa"/>
            <w:vAlign w:val="bottom"/>
          </w:tcPr>
          <w:p>
            <w:pPr>
              <w:spacing w:after="0"/>
              <w:rPr>
                <w:sz w:val="1"/>
                <w:szCs w:val="1"/>
                <w:color w:val="auto"/>
              </w:rPr>
            </w:pPr>
          </w:p>
        </w:tc>
      </w:tr>
      <w:tr>
        <w:trPr>
          <w:trHeight w:val="385"/>
        </w:trPr>
        <w:tc>
          <w:tcPr>
            <w:tcW w:w="10560" w:type="dxa"/>
            <w:vAlign w:val="bottom"/>
            <w:gridSpan w:val="22"/>
          </w:tcPr>
          <w:p>
            <w:pPr>
              <w:spacing w:after="0"/>
              <w:rPr>
                <w:sz w:val="20"/>
                <w:szCs w:val="20"/>
                <w:color w:val="auto"/>
              </w:rPr>
            </w:pPr>
            <w:r>
              <w:rPr>
                <w:rFonts w:ascii="Arial" w:cs="Arial" w:eastAsia="Arial" w:hAnsi="Arial"/>
                <w:sz w:val="17"/>
                <w:szCs w:val="17"/>
                <w:color w:val="0000EE"/>
              </w:rPr>
              <w:t>DIVIDEND POLICY</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S-11</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w w:val="99"/>
              </w:rPr>
              <w:t>PLAN OF DISTRIBUTION</w:t>
            </w:r>
          </w:p>
        </w:tc>
        <w:tc>
          <w:tcPr>
            <w:tcW w:w="8580" w:type="dxa"/>
            <w:vAlign w:val="bottom"/>
            <w:gridSpan w:val="14"/>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S-12</w:t>
            </w:r>
          </w:p>
        </w:tc>
        <w:tc>
          <w:tcPr>
            <w:tcW w:w="0" w:type="dxa"/>
            <w:vAlign w:val="bottom"/>
          </w:tcPr>
          <w:p>
            <w:pPr>
              <w:spacing w:after="0"/>
              <w:rPr>
                <w:sz w:val="1"/>
                <w:szCs w:val="1"/>
                <w:color w:val="auto"/>
              </w:rPr>
            </w:pPr>
          </w:p>
        </w:tc>
      </w:tr>
      <w:tr>
        <w:trPr>
          <w:trHeight w:val="385"/>
        </w:trPr>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LEGAL MATTERS</w:t>
            </w:r>
          </w:p>
        </w:tc>
        <w:tc>
          <w:tcPr>
            <w:tcW w:w="9160" w:type="dxa"/>
            <w:vAlign w:val="bottom"/>
            <w:gridSpan w:val="18"/>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S-14</w:t>
            </w:r>
          </w:p>
        </w:tc>
        <w:tc>
          <w:tcPr>
            <w:tcW w:w="0" w:type="dxa"/>
            <w:vAlign w:val="bottom"/>
          </w:tcPr>
          <w:p>
            <w:pPr>
              <w:spacing w:after="0"/>
              <w:rPr>
                <w:sz w:val="1"/>
                <w:szCs w:val="1"/>
                <w:color w:val="auto"/>
              </w:rPr>
            </w:pPr>
          </w:p>
        </w:tc>
      </w:tr>
      <w:tr>
        <w:trPr>
          <w:trHeight w:val="385"/>
        </w:trPr>
        <w:tc>
          <w:tcPr>
            <w:tcW w:w="8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EXPERTS</w:t>
            </w:r>
          </w:p>
        </w:tc>
        <w:tc>
          <w:tcPr>
            <w:tcW w:w="9760" w:type="dxa"/>
            <w:vAlign w:val="bottom"/>
            <w:gridSpan w:val="21"/>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S-15</w:t>
            </w:r>
          </w:p>
        </w:tc>
        <w:tc>
          <w:tcPr>
            <w:tcW w:w="0" w:type="dxa"/>
            <w:vAlign w:val="bottom"/>
          </w:tcPr>
          <w:p>
            <w:pPr>
              <w:spacing w:after="0"/>
              <w:rPr>
                <w:sz w:val="1"/>
                <w:szCs w:val="1"/>
                <w:color w:val="auto"/>
              </w:rPr>
            </w:pPr>
          </w:p>
        </w:tc>
      </w:tr>
      <w:tr>
        <w:trPr>
          <w:trHeight w:val="385"/>
        </w:trPr>
        <w:tc>
          <w:tcPr>
            <w:tcW w:w="3700" w:type="dxa"/>
            <w:vAlign w:val="bottom"/>
            <w:tcBorders>
              <w:bottom w:val="single" w:sz="8" w:color="0000EE"/>
            </w:tcBorders>
            <w:gridSpan w:val="18"/>
          </w:tcPr>
          <w:p>
            <w:pPr>
              <w:spacing w:after="0"/>
              <w:rPr>
                <w:sz w:val="20"/>
                <w:szCs w:val="20"/>
                <w:color w:val="auto"/>
              </w:rPr>
            </w:pPr>
            <w:r>
              <w:rPr>
                <w:rFonts w:ascii="Arial" w:cs="Arial" w:eastAsia="Arial" w:hAnsi="Arial"/>
                <w:sz w:val="17"/>
                <w:szCs w:val="17"/>
                <w:color w:val="0000EE"/>
                <w:w w:val="99"/>
              </w:rPr>
              <w:t>WHERE YOU CAN FIND MORE INFORMATION</w:t>
            </w:r>
          </w:p>
        </w:tc>
        <w:tc>
          <w:tcPr>
            <w:tcW w:w="6860" w:type="dxa"/>
            <w:vAlign w:val="bottom"/>
            <w:gridSpan w:val="4"/>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S-16</w:t>
            </w:r>
          </w:p>
        </w:tc>
        <w:tc>
          <w:tcPr>
            <w:tcW w:w="0" w:type="dxa"/>
            <w:vAlign w:val="bottom"/>
          </w:tcPr>
          <w:p>
            <w:pPr>
              <w:spacing w:after="0"/>
              <w:rPr>
                <w:sz w:val="1"/>
                <w:szCs w:val="1"/>
                <w:color w:val="auto"/>
              </w:rPr>
            </w:pPr>
          </w:p>
        </w:tc>
      </w:tr>
      <w:tr>
        <w:trPr>
          <w:trHeight w:val="385"/>
        </w:trPr>
        <w:tc>
          <w:tcPr>
            <w:tcW w:w="10560" w:type="dxa"/>
            <w:vAlign w:val="bottom"/>
            <w:gridSpan w:val="22"/>
          </w:tcPr>
          <w:p>
            <w:pPr>
              <w:spacing w:after="0"/>
              <w:rPr>
                <w:sz w:val="20"/>
                <w:szCs w:val="20"/>
                <w:color w:val="auto"/>
              </w:rPr>
            </w:pPr>
            <w:r>
              <w:rPr>
                <w:rFonts w:ascii="Arial" w:cs="Arial" w:eastAsia="Arial" w:hAnsi="Arial"/>
                <w:sz w:val="17"/>
                <w:szCs w:val="17"/>
                <w:color w:val="0000EE"/>
              </w:rPr>
              <w:t>INCORPORATION OF CERTAIN INFORMATION BY REFERENCE</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S-17</w:t>
            </w:r>
          </w:p>
        </w:tc>
        <w:tc>
          <w:tcPr>
            <w:tcW w:w="0" w:type="dxa"/>
            <w:vAlign w:val="bottom"/>
          </w:tcPr>
          <w:p>
            <w:pPr>
              <w:spacing w:after="0"/>
              <w:rPr>
                <w:sz w:val="1"/>
                <w:szCs w:val="1"/>
                <w:color w:val="auto"/>
              </w:rPr>
            </w:pPr>
          </w:p>
        </w:tc>
      </w:tr>
      <w:tr>
        <w:trPr>
          <w:trHeight w:val="237"/>
        </w:trPr>
        <w:tc>
          <w:tcPr>
            <w:tcW w:w="80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42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28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1400" w:type="dxa"/>
            <w:vAlign w:val="bottom"/>
            <w:tcBorders>
              <w:top w:val="single" w:sz="8" w:color="0000EE"/>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0560" w:type="dxa"/>
            <w:vAlign w:val="bottom"/>
            <w:gridSpan w:val="22"/>
          </w:tcPr>
          <w:p>
            <w:pPr>
              <w:spacing w:after="0"/>
              <w:rPr>
                <w:sz w:val="20"/>
                <w:szCs w:val="20"/>
                <w:color w:val="auto"/>
              </w:rPr>
            </w:pPr>
            <w:r>
              <w:rPr>
                <w:rFonts w:ascii="Arial" w:cs="Arial" w:eastAsia="Arial" w:hAnsi="Arial"/>
                <w:sz w:val="18"/>
                <w:szCs w:val="18"/>
                <w:b w:val="1"/>
                <w:bCs w:val="1"/>
                <w:color w:val="auto"/>
              </w:rPr>
              <w:t>Prospectus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0560" w:type="dxa"/>
            <w:vAlign w:val="bottom"/>
            <w:gridSpan w:val="22"/>
            <w:vMerge w:val="restart"/>
          </w:tcPr>
          <w:p>
            <w:pPr>
              <w:spacing w:after="0"/>
              <w:rPr>
                <w:sz w:val="20"/>
                <w:szCs w:val="20"/>
                <w:color w:val="auto"/>
              </w:rPr>
            </w:pPr>
            <w:r>
              <w:rPr>
                <w:rFonts w:ascii="Arial" w:cs="Arial" w:eastAsia="Arial" w:hAnsi="Arial"/>
                <w:sz w:val="17"/>
                <w:szCs w:val="17"/>
                <w:color w:val="0000EE"/>
              </w:rPr>
              <w:t>ABOUT THIS PROSPECTUS</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10560" w:type="dxa"/>
            <w:vAlign w:val="bottom"/>
            <w:gridSpan w:val="22"/>
            <w:vMerge w:val="continue"/>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7"/>
                <w:szCs w:val="17"/>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700" w:type="dxa"/>
            <w:vAlign w:val="bottom"/>
            <w:tcBorders>
              <w:bottom w:val="single" w:sz="8" w:color="0000EE"/>
            </w:tcBorders>
            <w:gridSpan w:val="18"/>
          </w:tcPr>
          <w:p>
            <w:pPr>
              <w:spacing w:after="0"/>
              <w:rPr>
                <w:sz w:val="20"/>
                <w:szCs w:val="20"/>
                <w:color w:val="auto"/>
              </w:rPr>
            </w:pPr>
            <w:r>
              <w:rPr>
                <w:rFonts w:ascii="Arial" w:cs="Arial" w:eastAsia="Arial" w:hAnsi="Arial"/>
                <w:sz w:val="17"/>
                <w:szCs w:val="17"/>
                <w:color w:val="0000EE"/>
                <w:w w:val="99"/>
              </w:rPr>
              <w:t>WHERE YOU CAN FIND MORE INFORMATION</w:t>
            </w:r>
          </w:p>
        </w:tc>
        <w:tc>
          <w:tcPr>
            <w:tcW w:w="6860" w:type="dxa"/>
            <w:vAlign w:val="bottom"/>
            <w:gridSpan w:val="4"/>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85"/>
        </w:trPr>
        <w:tc>
          <w:tcPr>
            <w:tcW w:w="5100" w:type="dxa"/>
            <w:vAlign w:val="bottom"/>
            <w:tcBorders>
              <w:bottom w:val="single" w:sz="8" w:color="0000EE"/>
            </w:tcBorders>
            <w:gridSpan w:val="19"/>
          </w:tcPr>
          <w:p>
            <w:pPr>
              <w:spacing w:after="0"/>
              <w:rPr>
                <w:sz w:val="20"/>
                <w:szCs w:val="20"/>
                <w:color w:val="auto"/>
              </w:rPr>
            </w:pPr>
            <w:r>
              <w:rPr>
                <w:rFonts w:ascii="Arial" w:cs="Arial" w:eastAsia="Arial" w:hAnsi="Arial"/>
                <w:sz w:val="17"/>
                <w:szCs w:val="17"/>
                <w:color w:val="0000EE"/>
                <w:w w:val="99"/>
              </w:rPr>
              <w:t>INCORPORATION OF CERTAIN INFORMATION BY REFERENCE</w:t>
            </w:r>
          </w:p>
        </w:tc>
        <w:tc>
          <w:tcPr>
            <w:tcW w:w="5460" w:type="dxa"/>
            <w:vAlign w:val="bottom"/>
            <w:gridSpan w:val="3"/>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85"/>
        </w:trPr>
        <w:tc>
          <w:tcPr>
            <w:tcW w:w="10560" w:type="dxa"/>
            <w:vAlign w:val="bottom"/>
            <w:gridSpan w:val="22"/>
          </w:tcPr>
          <w:p>
            <w:pPr>
              <w:spacing w:after="0"/>
              <w:rPr>
                <w:sz w:val="20"/>
                <w:szCs w:val="20"/>
                <w:color w:val="auto"/>
              </w:rPr>
            </w:pPr>
            <w:r>
              <w:rPr>
                <w:rFonts w:ascii="Arial" w:cs="Arial" w:eastAsia="Arial" w:hAnsi="Arial"/>
                <w:sz w:val="17"/>
                <w:szCs w:val="17"/>
                <w:color w:val="0000EE"/>
              </w:rPr>
              <w:t>SPECIAL NOTE REGARDING FORWARD-LOOKING STATEMENTS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85"/>
        </w:trPr>
        <w:tc>
          <w:tcPr>
            <w:tcW w:w="18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7"/>
                <w:szCs w:val="17"/>
                <w:color w:val="0000EE"/>
                <w:w w:val="98"/>
              </w:rPr>
              <w:t>ABOUT THE COMPANY</w:t>
            </w:r>
          </w:p>
        </w:tc>
        <w:tc>
          <w:tcPr>
            <w:tcW w:w="3360" w:type="dxa"/>
            <w:vAlign w:val="bottom"/>
            <w:tcBorders>
              <w:top w:val="single" w:sz="8" w:color="0000EE"/>
            </w:tcBorders>
            <w:gridSpan w:val="13"/>
          </w:tcPr>
          <w:p>
            <w:pPr>
              <w:spacing w:after="0"/>
              <w:rPr>
                <w:sz w:val="24"/>
                <w:szCs w:val="24"/>
                <w:color w:val="auto"/>
              </w:rPr>
            </w:pPr>
          </w:p>
        </w:tc>
        <w:tc>
          <w:tcPr>
            <w:tcW w:w="5320" w:type="dxa"/>
            <w:vAlign w:val="bottom"/>
            <w:gridSpan w:val="2"/>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85"/>
        </w:trPr>
        <w:tc>
          <w:tcPr>
            <w:tcW w:w="10560" w:type="dxa"/>
            <w:vAlign w:val="bottom"/>
            <w:gridSpan w:val="22"/>
          </w:tcPr>
          <w:p>
            <w:pPr>
              <w:spacing w:after="0"/>
              <w:rPr>
                <w:sz w:val="20"/>
                <w:szCs w:val="20"/>
                <w:color w:val="auto"/>
              </w:rPr>
            </w:pPr>
            <w:r>
              <w:rPr>
                <w:rFonts w:ascii="Arial" w:cs="Arial" w:eastAsia="Arial" w:hAnsi="Arial"/>
                <w:sz w:val="17"/>
                <w:szCs w:val="17"/>
                <w:color w:val="0000EE"/>
              </w:rPr>
              <w:t>RISK FACTORS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32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8"/>
              </w:rPr>
              <w:t>SELECTED FINANCIAL DATA</w:t>
            </w:r>
          </w:p>
        </w:tc>
        <w:tc>
          <w:tcPr>
            <w:tcW w:w="8240" w:type="dxa"/>
            <w:vAlign w:val="bottom"/>
            <w:gridSpan w:val="11"/>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85"/>
        </w:trPr>
        <w:tc>
          <w:tcPr>
            <w:tcW w:w="164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USE OF PROCEEDS</w:t>
            </w:r>
          </w:p>
        </w:tc>
        <w:tc>
          <w:tcPr>
            <w:tcW w:w="8920" w:type="dxa"/>
            <w:vAlign w:val="bottom"/>
            <w:gridSpan w:val="16"/>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85"/>
        </w:trPr>
        <w:tc>
          <w:tcPr>
            <w:tcW w:w="10560" w:type="dxa"/>
            <w:vAlign w:val="bottom"/>
            <w:gridSpan w:val="22"/>
          </w:tcPr>
          <w:p>
            <w:pPr>
              <w:spacing w:after="0"/>
              <w:rPr>
                <w:sz w:val="20"/>
                <w:szCs w:val="20"/>
                <w:color w:val="auto"/>
              </w:rPr>
            </w:pPr>
            <w:r>
              <w:rPr>
                <w:rFonts w:ascii="Arial" w:cs="Arial" w:eastAsia="Arial" w:hAnsi="Arial"/>
                <w:sz w:val="17"/>
                <w:szCs w:val="17"/>
                <w:color w:val="0000EE"/>
              </w:rPr>
              <w:t>DIVIDEND POLICY</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1480" w:type="dxa"/>
            <w:vAlign w:val="bottom"/>
            <w:gridSpan w:val="5"/>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560" w:type="dxa"/>
            <w:vAlign w:val="bottom"/>
            <w:gridSpan w:val="22"/>
          </w:tcPr>
          <w:p>
            <w:pPr>
              <w:spacing w:after="0"/>
              <w:rPr>
                <w:sz w:val="20"/>
                <w:szCs w:val="20"/>
                <w:color w:val="auto"/>
              </w:rPr>
            </w:pPr>
            <w:r>
              <w:rPr>
                <w:rFonts w:ascii="Arial" w:cs="Arial" w:eastAsia="Arial" w:hAnsi="Arial"/>
                <w:sz w:val="17"/>
                <w:szCs w:val="17"/>
                <w:color w:val="0000EE"/>
              </w:rPr>
              <w:t>GENERAL DESCRIPTION OF SECURITIES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85"/>
        </w:trPr>
        <w:tc>
          <w:tcPr>
            <w:tcW w:w="3380" w:type="dxa"/>
            <w:vAlign w:val="bottom"/>
            <w:tcBorders>
              <w:top w:val="single" w:sz="8" w:color="0000EE"/>
            </w:tcBorders>
            <w:gridSpan w:val="16"/>
          </w:tcPr>
          <w:p>
            <w:pPr>
              <w:spacing w:after="0"/>
              <w:rPr>
                <w:sz w:val="20"/>
                <w:szCs w:val="20"/>
                <w:color w:val="auto"/>
              </w:rPr>
            </w:pPr>
            <w:r>
              <w:rPr>
                <w:rFonts w:ascii="Arial" w:cs="Arial" w:eastAsia="Arial" w:hAnsi="Arial"/>
                <w:sz w:val="17"/>
                <w:szCs w:val="17"/>
                <w:color w:val="0000EE"/>
              </w:rPr>
              <w:t>DESCRIPTION OF CAPITAL STOCK</w:t>
            </w:r>
          </w:p>
        </w:tc>
        <w:tc>
          <w:tcPr>
            <w:tcW w:w="7180" w:type="dxa"/>
            <w:vAlign w:val="bottom"/>
            <w:gridSpan w:val="6"/>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2000" w:type="dxa"/>
            <w:vAlign w:val="bottom"/>
            <w:gridSpan w:val="9"/>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560" w:type="dxa"/>
            <w:vAlign w:val="bottom"/>
            <w:gridSpan w:val="22"/>
          </w:tcPr>
          <w:p>
            <w:pPr>
              <w:spacing w:after="0"/>
              <w:rPr>
                <w:sz w:val="20"/>
                <w:szCs w:val="20"/>
                <w:color w:val="auto"/>
              </w:rPr>
            </w:pPr>
            <w:r>
              <w:rPr>
                <w:rFonts w:ascii="Arial" w:cs="Arial" w:eastAsia="Arial" w:hAnsi="Arial"/>
                <w:sz w:val="17"/>
                <w:szCs w:val="17"/>
                <w:color w:val="0000EE"/>
              </w:rPr>
              <w:t>DESCRIPTION OF DEBT SECURITIES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85"/>
        </w:trPr>
        <w:tc>
          <w:tcPr>
            <w:tcW w:w="3020" w:type="dxa"/>
            <w:vAlign w:val="bottom"/>
            <w:tcBorders>
              <w:top w:val="single" w:sz="8" w:color="0000EE"/>
            </w:tcBorders>
            <w:gridSpan w:val="14"/>
          </w:tcPr>
          <w:p>
            <w:pPr>
              <w:spacing w:after="0"/>
              <w:rPr>
                <w:sz w:val="20"/>
                <w:szCs w:val="20"/>
                <w:color w:val="auto"/>
              </w:rPr>
            </w:pPr>
            <w:r>
              <w:rPr>
                <w:rFonts w:ascii="Arial" w:cs="Arial" w:eastAsia="Arial" w:hAnsi="Arial"/>
                <w:sz w:val="17"/>
                <w:szCs w:val="17"/>
                <w:color w:val="0000EE"/>
              </w:rPr>
              <w:t>DESCRIPTION OF WARRANTS</w:t>
            </w:r>
          </w:p>
        </w:tc>
        <w:tc>
          <w:tcPr>
            <w:tcW w:w="7540" w:type="dxa"/>
            <w:vAlign w:val="bottom"/>
            <w:gridSpan w:val="8"/>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85"/>
        </w:trPr>
        <w:tc>
          <w:tcPr>
            <w:tcW w:w="2460" w:type="dxa"/>
            <w:vAlign w:val="bottom"/>
            <w:tcBorders>
              <w:top w:val="single" w:sz="8" w:color="0000EE"/>
            </w:tcBorders>
            <w:gridSpan w:val="12"/>
          </w:tcPr>
          <w:p>
            <w:pPr>
              <w:spacing w:after="0"/>
              <w:rPr>
                <w:sz w:val="20"/>
                <w:szCs w:val="20"/>
                <w:color w:val="auto"/>
              </w:rPr>
            </w:pPr>
            <w:r>
              <w:rPr>
                <w:rFonts w:ascii="Arial" w:cs="Arial" w:eastAsia="Arial" w:hAnsi="Arial"/>
                <w:sz w:val="17"/>
                <w:szCs w:val="17"/>
                <w:color w:val="0000EE"/>
              </w:rPr>
              <w:t>DESCRIPTION OF UNITS</w:t>
            </w:r>
          </w:p>
        </w:tc>
        <w:tc>
          <w:tcPr>
            <w:tcW w:w="8100" w:type="dxa"/>
            <w:vAlign w:val="bottom"/>
            <w:gridSpan w:val="10"/>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85"/>
        </w:trPr>
        <w:tc>
          <w:tcPr>
            <w:tcW w:w="19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9"/>
              </w:rPr>
              <w:t>PLAN OF DISTRIBUTION</w:t>
            </w:r>
          </w:p>
        </w:tc>
        <w:tc>
          <w:tcPr>
            <w:tcW w:w="20" w:type="dxa"/>
            <w:vAlign w:val="bottom"/>
            <w:tcBorders>
              <w:top w:val="single" w:sz="8" w:color="0000EE"/>
            </w:tcBorders>
          </w:tcPr>
          <w:p>
            <w:pPr>
              <w:spacing w:after="0"/>
              <w:rPr>
                <w:sz w:val="24"/>
                <w:szCs w:val="24"/>
                <w:color w:val="auto"/>
              </w:rPr>
            </w:pPr>
          </w:p>
        </w:tc>
        <w:tc>
          <w:tcPr>
            <w:tcW w:w="8560" w:type="dxa"/>
            <w:vAlign w:val="bottom"/>
            <w:gridSpan w:val="13"/>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385"/>
        </w:trPr>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LEGAL MATTERS</w:t>
            </w:r>
          </w:p>
        </w:tc>
        <w:tc>
          <w:tcPr>
            <w:tcW w:w="9160" w:type="dxa"/>
            <w:vAlign w:val="bottom"/>
            <w:gridSpan w:val="18"/>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385"/>
        </w:trPr>
        <w:tc>
          <w:tcPr>
            <w:tcW w:w="10560" w:type="dxa"/>
            <w:vAlign w:val="bottom"/>
            <w:gridSpan w:val="22"/>
          </w:tcPr>
          <w:p>
            <w:pPr>
              <w:spacing w:after="0"/>
              <w:rPr>
                <w:sz w:val="20"/>
                <w:szCs w:val="20"/>
                <w:color w:val="auto"/>
              </w:rPr>
            </w:pPr>
            <w:r>
              <w:rPr>
                <w:rFonts w:ascii="Arial" w:cs="Arial" w:eastAsia="Arial" w:hAnsi="Arial"/>
                <w:sz w:val="17"/>
                <w:szCs w:val="17"/>
                <w:color w:val="0000EE"/>
              </w:rPr>
              <w:t>EXPERTS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3"/>
        </w:trPr>
        <w:tc>
          <w:tcPr>
            <w:tcW w:w="800" w:type="dxa"/>
            <w:vAlign w:val="bottom"/>
            <w:tcBorders>
              <w:top w:val="single" w:sz="8" w:color="0000EE"/>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1">
            <w:col w:w="11140"/>
          </w:cols>
          <w:pgMar w:left="320" w:top="459" w:right="439" w:bottom="867" w:gutter="0" w:footer="0" w:header="0"/>
        </w:sectPr>
      </w:pPr>
    </w:p>
    <w:p>
      <w:pPr>
        <w:jc w:val="center"/>
        <w:ind w:right="-99"/>
        <w:spacing w:after="0"/>
        <w:rPr>
          <w:sz w:val="20"/>
          <w:szCs w:val="20"/>
          <w:color w:val="auto"/>
        </w:rPr>
      </w:pPr>
      <w:r>
        <w:rPr>
          <w:rFonts w:ascii="Arial" w:cs="Arial" w:eastAsia="Arial" w:hAnsi="Arial"/>
          <w:sz w:val="16"/>
          <w:szCs w:val="16"/>
          <w:color w:val="auto"/>
        </w:rPr>
        <w:t>S-i</w:t>
      </w:r>
    </w:p>
    <w:p>
      <w:pPr>
        <w:sectPr>
          <w:pgSz w:w="11900" w:h="16838" w:orient="portrait"/>
          <w:cols w:equalWidth="0" w:num="1">
            <w:col w:w="11140"/>
          </w:cols>
          <w:pgMar w:left="320" w:top="459" w:right="439" w:bottom="867"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324" w:lineRule="exact"/>
        <w:rPr>
          <w:sz w:val="20"/>
          <w:szCs w:val="20"/>
          <w:color w:val="auto"/>
        </w:rPr>
      </w:pPr>
    </w:p>
    <w:p>
      <w:pPr>
        <w:ind w:left="120" w:right="280"/>
        <w:spacing w:after="0" w:line="258" w:lineRule="auto"/>
        <w:rPr>
          <w:sz w:val="20"/>
          <w:szCs w:val="20"/>
          <w:color w:val="auto"/>
        </w:rPr>
      </w:pPr>
      <w:r>
        <w:rPr>
          <w:rFonts w:ascii="Arial" w:cs="Arial" w:eastAsia="Arial" w:hAnsi="Arial"/>
          <w:sz w:val="17"/>
          <w:szCs w:val="17"/>
          <w:color w:val="auto"/>
        </w:rPr>
        <w:t>This prospectus supplement is part of a registration statement on Form S-3 that we filed with the Securities and Exchange Commission, or the SEC, using a “shelf” registration process on January 18, 2023, which was declared effective on January 24, 2023.</w:t>
      </w:r>
    </w:p>
    <w:p>
      <w:pPr>
        <w:spacing w:after="0" w:line="120" w:lineRule="exact"/>
        <w:rPr>
          <w:sz w:val="20"/>
          <w:szCs w:val="20"/>
          <w:color w:val="auto"/>
        </w:rPr>
      </w:pPr>
    </w:p>
    <w:p>
      <w:pPr>
        <w:ind w:left="120" w:right="40"/>
        <w:spacing w:after="0"/>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shares of our common stock having an aggregate offering price of up to $59,700,000 from time to time at prices and on terms to be determined by market conditions at the time of offering. The second part is the accompanying prospectus, which provides more general information, some of which may not apply to this offering.</w:t>
      </w:r>
    </w:p>
    <w:p>
      <w:pPr>
        <w:spacing w:after="0" w:line="136"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Before buying any of the shares of common stock offered hereby, we urge you to read carefully this prospectus supplement and the accompanying base prospectus,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supplement, on the one hand, and the base prospectus or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40"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We have not, and Jefferies has not, authorized anyone to provide you with information other than the information that we have provided or incorporated by reference in this prospectus supplement or the accompanying base prospectus and your reliance on any unauthorized information or representation is at your own risk.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w:t>
      </w:r>
    </w:p>
    <w:p>
      <w:pPr>
        <w:spacing w:after="0" w:line="13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No action is being taken in any jurisdiction outside the United States to permit a public offering of the securities or possession or distribution of this prospectus supplement or the accompanying prospectus in that jurisdiction.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4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38" w:lineRule="exact"/>
        <w:rPr>
          <w:sz w:val="20"/>
          <w:szCs w:val="20"/>
          <w:color w:val="auto"/>
        </w:rPr>
      </w:pPr>
    </w:p>
    <w:p>
      <w:pPr>
        <w:ind w:left="120" w:right="60"/>
        <w:spacing w:after="0" w:line="258" w:lineRule="auto"/>
        <w:rPr>
          <w:sz w:val="20"/>
          <w:szCs w:val="20"/>
          <w:color w:val="auto"/>
        </w:rPr>
      </w:pPr>
      <w:r>
        <w:rPr>
          <w:rFonts w:ascii="Arial" w:cs="Arial" w:eastAsia="Arial" w:hAnsi="Arial"/>
          <w:sz w:val="17"/>
          <w:szCs w:val="17"/>
          <w:color w:val="auto"/>
        </w:rPr>
        <w:t>On December 29, 2022, we acquired Disc Medicine Opco, Inc. (formerly Disc Medicine, Inc.), or Private Disc, pursuant to an agreement and plan of merger, or the Merger, and we changed our name to Disc Medicine, Inc. on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S-iii</w:t>
      </w:r>
    </w:p>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2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This prospectus supplement, the accompanying base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base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177" w:lineRule="exact"/>
        <w:rPr>
          <w:sz w:val="20"/>
          <w:szCs w:val="20"/>
          <w:color w:val="auto"/>
        </w:rPr>
      </w:pPr>
    </w:p>
    <w:p>
      <w:pPr>
        <w:ind w:left="980" w:right="60" w:hanging="432"/>
        <w:spacing w:after="0" w:line="243"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13"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efficiently discover and develop product candidates;</w:t>
      </w:r>
    </w:p>
    <w:p>
      <w:pPr>
        <w:spacing w:after="0" w:line="34" w:lineRule="exact"/>
        <w:rPr>
          <w:rFonts w:ascii="MS PGothic" w:cs="MS PGothic" w:eastAsia="MS PGothic" w:hAnsi="MS PGothic"/>
          <w:sz w:val="13"/>
          <w:szCs w:val="13"/>
          <w:color w:val="auto"/>
        </w:rPr>
      </w:pPr>
    </w:p>
    <w:p>
      <w:pPr>
        <w:ind w:left="980" w:right="300" w:hanging="432"/>
        <w:spacing w:after="0" w:line="249"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and the potential to successfully manufacture our drug substances and product candidates for preclinical use, for clinical trials and on a larger scale for commercial use, if approved;</w:t>
      </w:r>
    </w:p>
    <w:p>
      <w:pPr>
        <w:spacing w:after="0" w:line="12" w:lineRule="exact"/>
        <w:rPr>
          <w:rFonts w:ascii="MS PGothic" w:cs="MS PGothic" w:eastAsia="MS PGothic" w:hAnsi="MS PGothic"/>
          <w:sz w:val="13"/>
          <w:szCs w:val="13"/>
          <w:color w:val="auto"/>
        </w:rPr>
      </w:pPr>
    </w:p>
    <w:p>
      <w:pPr>
        <w:ind w:left="980" w:right="540" w:hanging="432"/>
        <w:spacing w:after="0" w:line="249"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obtain funding for our operations necessary to complete further development and commercialization of our product candidates;</w:t>
      </w:r>
    </w:p>
    <w:p>
      <w:pPr>
        <w:spacing w:after="0" w:line="12"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commercialize our products,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pricing and reimbursement of our product candidates,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implementation of our business model, and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covering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estimates of our future expenses, revenues, capital requirements, and our needs for additional financing;</w:t>
      </w:r>
    </w:p>
    <w:p>
      <w:pPr>
        <w:spacing w:after="0" w:line="34" w:lineRule="exact"/>
        <w:rPr>
          <w:rFonts w:ascii="MS PGothic" w:cs="MS PGothic" w:eastAsia="MS PGothic" w:hAnsi="MS PGothic"/>
          <w:sz w:val="13"/>
          <w:szCs w:val="13"/>
          <w:color w:val="auto"/>
        </w:rPr>
      </w:pPr>
    </w:p>
    <w:p>
      <w:pPr>
        <w:ind w:left="980" w:right="160" w:hanging="432"/>
        <w:spacing w:after="0" w:line="249"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2"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regulatory developments in the United States and foreign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produce our products or product candidates with advantages in turnaround times or manufacturing cost;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attract and retain key scientific or management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impact of laws and regulations;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w:t>
      </w:r>
    </w:p>
    <w:p>
      <w:pPr>
        <w:spacing w:after="0" w:line="34" w:lineRule="exact"/>
        <w:rPr>
          <w:rFonts w:ascii="MS PGothic" w:cs="MS PGothic" w:eastAsia="MS PGothic" w:hAnsi="MS PGothic"/>
          <w:sz w:val="13"/>
          <w:szCs w:val="13"/>
          <w:color w:val="auto"/>
        </w:rPr>
      </w:pPr>
    </w:p>
    <w:p>
      <w:pPr>
        <w:jc w:val="both"/>
        <w:ind w:left="980" w:hanging="432"/>
        <w:spacing w:after="0" w:line="245"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S-iv</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anticipated use of proceeds from this offering; and</w:t>
      </w:r>
    </w:p>
    <w:p>
      <w:pPr>
        <w:spacing w:after="0" w:line="28"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other risks and uncertainties, including those listed under the caption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62"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13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base prospectus, their estimates, in particular, as they relate to projections, involve numerous assumptions, are subject to risks and uncertainties and are subject to change based on various factors. You should read this prospectus supplement, the accompanying base prospectus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Annual Reports on Form 10-K, Quarterly Reports on Form 10-Q and Current Reports on Form 8-K which are incorporated into this prospectus supplement by reference, and the section of this prospectus supplement and the accompanying base prospectus entitled “Risk Factors.”</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S-v</w:t>
      </w:r>
    </w:p>
    <w:p>
      <w:pPr>
        <w:sectPr>
          <w:pgSz w:w="11900" w:h="16838" w:orient="portrait"/>
          <w:cols w:equalWidth="0" w:num="1">
            <w:col w:w="11120"/>
          </w:cols>
          <w:pgMar w:left="320" w:top="45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318" w:lineRule="exact"/>
        <w:rPr>
          <w:sz w:val="20"/>
          <w:szCs w:val="20"/>
          <w:color w:val="auto"/>
        </w:rPr>
      </w:pPr>
    </w:p>
    <w:p>
      <w:pPr>
        <w:ind w:left="300" w:right="140"/>
        <w:spacing w:after="0" w:line="237" w:lineRule="auto"/>
        <w:rPr>
          <w:sz w:val="20"/>
          <w:szCs w:val="20"/>
          <w:color w:val="auto"/>
        </w:rPr>
      </w:pPr>
      <w:r>
        <w:rPr>
          <w:rFonts w:ascii="Arial" w:cs="Arial" w:eastAsia="Arial" w:hAnsi="Arial"/>
          <w:sz w:val="17"/>
          <w:szCs w:val="17"/>
          <w:i w:val="1"/>
          <w:iCs w:val="1"/>
          <w:color w:val="auto"/>
        </w:rPr>
        <w:t>This summary highlights selected information about us and this offering and does not contain all of the information that you should consider before investing in our common stock. You should read this prospectus supplement, the accompanying prospectus and the documents incorporated by reference herein and therein carefully, especially the discussion of the risks related to investing in our common stock discussed under “Risk Factors” beginning on page S-6 of this prospectus supplement and in our most recent annual report on Form 10-K and any subsequent Quarterly Reports on Form 10-Q or Current Reports on Form 8-K we file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68"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38"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designed to evaluate the safety, tolerability and efficacy of bitopertin in EPP patients that is being conducted at sites in the United States. We presented positive initial data from BEACON in June of 2023 at the European Hematology Association 2023 Congress. We entered into a collaborative research and development agreement with the National Institutes of Health, or NIH, to conduct an NIH-sponsored clinical trial of bitopertin in DBA patients. The FDA authorized the clinical trial to proceed and we announced on July 27, 2023 that the first patient was enrolled in this trial. We are planning additional trials of bitopertin in other indications.</w:t>
      </w:r>
    </w:p>
    <w:p>
      <w:pPr>
        <w:spacing w:after="0" w:line="143" w:lineRule="exact"/>
        <w:rPr>
          <w:sz w:val="20"/>
          <w:szCs w:val="20"/>
          <w:color w:val="auto"/>
        </w:rPr>
      </w:pPr>
    </w:p>
    <w:p>
      <w:pPr>
        <w:ind w:left="300" w:right="120"/>
        <w:spacing w:after="0" w:line="237" w:lineRule="auto"/>
        <w:rPr>
          <w:sz w:val="20"/>
          <w:szCs w:val="20"/>
          <w:color w:val="auto"/>
        </w:rPr>
      </w:pPr>
      <w:r>
        <w:rPr>
          <w:rFonts w:ascii="Arial" w:cs="Arial" w:eastAsia="Arial" w:hAnsi="Arial"/>
          <w:sz w:val="17"/>
          <w:szCs w:val="17"/>
          <w:color w:val="auto"/>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to evaluate the safety, tolerability, pharmacokinetics and pharmacodynamics of DISC-0974 in patients with anemia of MF, and initiated a separate Phase 1b/2 clinical trial in February 2023 to evaluate DISC-0974 in patients with non-dialysis dependent CKD and anemia.</w:t>
      </w:r>
    </w:p>
    <w:p>
      <w:pPr>
        <w:spacing w:after="0" w:line="84" w:lineRule="exact"/>
        <w:rPr>
          <w:sz w:val="20"/>
          <w:szCs w:val="20"/>
          <w:color w:val="auto"/>
        </w:rPr>
      </w:pPr>
    </w:p>
    <w:p>
      <w:pPr>
        <w:ind w:left="300" w:right="20"/>
        <w:spacing w:after="0" w:line="258" w:lineRule="auto"/>
        <w:rPr>
          <w:sz w:val="20"/>
          <w:szCs w:val="20"/>
          <w:color w:val="auto"/>
        </w:rPr>
      </w:pPr>
      <w:r>
        <w:rPr>
          <w:rFonts w:ascii="Arial" w:cs="Arial" w:eastAsia="Arial" w:hAnsi="Arial"/>
          <w:sz w:val="17"/>
          <w:szCs w:val="17"/>
          <w:color w:val="auto"/>
        </w:rPr>
        <w:t>In addition, we are developing MWTX-003, a monoclonal antibody against Transmembrane Serine Protease 6 that we licensed from Mabwell Therapeutics, Inc. MWTX-003 is part of our iron homeostasis portfolio and is</w:t>
      </w:r>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95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240"/>
        <w:spacing w:after="0" w:line="258" w:lineRule="auto"/>
        <w:rPr>
          <w:sz w:val="20"/>
          <w:szCs w:val="20"/>
          <w:color w:val="auto"/>
        </w:rPr>
      </w:pPr>
      <w:r>
        <w:rPr>
          <w:rFonts w:ascii="Arial" w:cs="Arial" w:eastAsia="Arial" w:hAnsi="Arial"/>
          <w:sz w:val="17"/>
          <w:szCs w:val="17"/>
          <w:color w:val="auto"/>
        </w:rPr>
        <w:t>designed to induce hepcidin production and reduce serum iron levels. An IND for MWTX-003 has been cleared by the FDA. We expect to develop MWTX-003 for the treatment of PV and other hematologic disorders.</w:t>
      </w:r>
    </w:p>
    <w:p>
      <w:pPr>
        <w:spacing w:after="0" w:line="120" w:lineRule="exact"/>
        <w:rPr>
          <w:sz w:val="20"/>
          <w:szCs w:val="20"/>
          <w:color w:val="auto"/>
        </w:rPr>
      </w:pPr>
    </w:p>
    <w:p>
      <w:pPr>
        <w:ind w:left="300" w:right="100"/>
        <w:spacing w:after="0"/>
        <w:rPr>
          <w:sz w:val="20"/>
          <w:szCs w:val="20"/>
          <w:color w:val="auto"/>
        </w:rPr>
      </w:pPr>
      <w:r>
        <w:rPr>
          <w:rFonts w:ascii="Arial" w:cs="Arial" w:eastAsia="Arial" w:hAnsi="Arial"/>
          <w:sz w:val="17"/>
          <w:szCs w:val="17"/>
          <w:color w:val="auto"/>
        </w:rPr>
        <w:t>Lastly, we are developing a preclinical anti-hemojuvelin, or HJV, monoclonal antibody, DISC-0998, which also targets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68" w:lineRule="exact"/>
        <w:rPr>
          <w:sz w:val="20"/>
          <w:szCs w:val="20"/>
          <w:color w:val="auto"/>
        </w:rPr>
      </w:pPr>
    </w:p>
    <w:p>
      <w:pPr>
        <w:ind w:left="300" w:right="40"/>
        <w:spacing w:after="0" w:line="236" w:lineRule="auto"/>
        <w:rPr>
          <w:sz w:val="20"/>
          <w:szCs w:val="20"/>
          <w:color w:val="auto"/>
        </w:rPr>
      </w:pPr>
      <w:r>
        <w:rPr>
          <w:rFonts w:ascii="Arial" w:cs="Arial" w:eastAsia="Arial" w:hAnsi="Arial"/>
          <w:sz w:val="17"/>
          <w:szCs w:val="17"/>
          <w:color w:val="auto"/>
        </w:rPr>
        <w:t>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or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39" w:lineRule="exact"/>
        <w:rPr>
          <w:sz w:val="20"/>
          <w:szCs w:val="20"/>
          <w:color w:val="auto"/>
        </w:rPr>
      </w:pPr>
    </w:p>
    <w:p>
      <w:pPr>
        <w:ind w:left="300" w:right="80"/>
        <w:spacing w:after="0" w:line="238" w:lineRule="auto"/>
        <w:rPr>
          <w:sz w:val="20"/>
          <w:szCs w:val="20"/>
          <w:color w:val="auto"/>
        </w:rPr>
      </w:pPr>
      <w:r>
        <w:rPr>
          <w:rFonts w:ascii="Arial" w:cs="Arial" w:eastAsia="Arial" w:hAnsi="Arial"/>
          <w:sz w:val="17"/>
          <w:szCs w:val="17"/>
          <w:color w:val="auto"/>
        </w:rPr>
        <w:t>Our principal executive offices are located at 321 Arsenal Street, Suite 101, Watertown, MA 02472, and our telephone number is (617) 674-9274. We maintain an Internet website at the following address: www.discmedicine.com. The information on our website is not incorporated by reference in this Annual Report on Form 10-K or in any other filings we make with the SEC. We do not incorporate the information on or accessible through our website into this prospectus supplement, and you should not consider any information on, or that can be accessed through, our website as part of this prospectus supplement.</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81" w:lineRule="exact"/>
        <w:rPr>
          <w:sz w:val="20"/>
          <w:szCs w:val="20"/>
          <w:color w:val="auto"/>
        </w:rPr>
      </w:pPr>
    </w:p>
    <w:p>
      <w:pPr>
        <w:ind w:left="300" w:right="20"/>
        <w:spacing w:after="0" w:line="245"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171" w:lineRule="exact"/>
        <w:rPr>
          <w:sz w:val="20"/>
          <w:szCs w:val="20"/>
          <w:color w:val="auto"/>
        </w:rPr>
      </w:pPr>
    </w:p>
    <w:p>
      <w:pPr>
        <w:ind w:left="1120" w:right="200" w:hanging="403"/>
        <w:spacing w:after="0" w:line="243"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13"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reduced disclosure about our executive compensation arrangements;</w:t>
      </w:r>
    </w:p>
    <w:p>
      <w:pPr>
        <w:spacing w:after="0" w:line="34" w:lineRule="exact"/>
        <w:rPr>
          <w:rFonts w:ascii="MS PGothic" w:cs="MS PGothic" w:eastAsia="MS PGothic" w:hAnsi="MS PGothic"/>
          <w:sz w:val="13"/>
          <w:szCs w:val="13"/>
          <w:color w:val="auto"/>
        </w:rPr>
      </w:pPr>
    </w:p>
    <w:p>
      <w:pPr>
        <w:ind w:left="1120" w:right="180" w:hanging="403"/>
        <w:spacing w:after="0" w:line="249"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not being required to hold advisory votes on executive compensation or to obtain stockholder approval of any golden parachute arrangements not previously approved; and</w:t>
      </w:r>
    </w:p>
    <w:p>
      <w:pPr>
        <w:spacing w:after="0" w:line="1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an exemption from the auditor attestation requirement in the assessment of our internal control over financial reporting.</w:t>
      </w:r>
    </w:p>
    <w:p>
      <w:pPr>
        <w:spacing w:after="0" w:line="156"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w:t>
      </w:r>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900"/>
          </w:cols>
          <w:pgMar w:left="320" w:top="459" w:right="6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418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1418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200"/>
        <w:spacing w:after="0" w:line="245" w:lineRule="auto"/>
        <w:rPr>
          <w:sz w:val="20"/>
          <w:szCs w:val="20"/>
          <w:color w:val="auto"/>
        </w:rPr>
      </w:pPr>
      <w:r>
        <w:rPr>
          <w:rFonts w:ascii="Arial" w:cs="Arial" w:eastAsia="Arial" w:hAnsi="Arial"/>
          <w:sz w:val="17"/>
          <w:szCs w:val="17"/>
          <w:color w:val="auto"/>
        </w:rPr>
        <w:t>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30" w:lineRule="exact"/>
        <w:rPr>
          <w:sz w:val="20"/>
          <w:szCs w:val="20"/>
          <w:color w:val="auto"/>
        </w:rPr>
      </w:pPr>
    </w:p>
    <w:p>
      <w:pPr>
        <w:ind w:left="300"/>
        <w:spacing w:after="0" w:line="237"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30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0800"/>
          </w:cols>
          <w:pgMar w:left="320" w:top="459" w:right="7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368"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having an aggregate offering price of up to $59,700,000.</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2" w:lineRule="exact"/>
        <w:rPr>
          <w:sz w:val="20"/>
          <w:szCs w:val="20"/>
          <w:color w:val="auto"/>
        </w:rPr>
      </w:pPr>
    </w:p>
    <w:p>
      <w:pPr>
        <w:ind w:left="380" w:hanging="78"/>
        <w:spacing w:after="0" w:line="285" w:lineRule="auto"/>
        <w:rPr>
          <w:sz w:val="20"/>
          <w:szCs w:val="20"/>
          <w:color w:val="auto"/>
        </w:rPr>
      </w:pPr>
      <w:r>
        <w:rPr>
          <w:rFonts w:ascii="Arial" w:cs="Arial" w:eastAsia="Arial" w:hAnsi="Arial"/>
          <w:sz w:val="17"/>
          <w:szCs w:val="17"/>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60"/>
        <w:spacing w:after="0" w:line="238" w:lineRule="auto"/>
        <w:rPr>
          <w:sz w:val="20"/>
          <w:szCs w:val="20"/>
          <w:color w:val="auto"/>
        </w:rPr>
      </w:pPr>
      <w:r>
        <w:rPr>
          <w:rFonts w:ascii="Arial" w:cs="Arial" w:eastAsia="Arial" w:hAnsi="Arial"/>
          <w:sz w:val="17"/>
          <w:szCs w:val="17"/>
          <w:color w:val="auto"/>
        </w:rPr>
        <w:t>Up to 24,077,774 shares of our common stock, assuming sales of 1,226,880 shares of our common stock in this offering at an offering price of $48.66 per share, which was the last reported sale price of our common stock on The Nasdaq Global Market on October 9, 2023. The actual number of shares of common stock issued will vary depending on the sales price under this offering.</w:t>
      </w:r>
    </w:p>
    <w:p>
      <w:pPr>
        <w:spacing w:after="0" w:line="170" w:lineRule="exact"/>
        <w:rPr>
          <w:sz w:val="20"/>
          <w:szCs w:val="20"/>
          <w:color w:val="auto"/>
        </w:rPr>
      </w:pPr>
    </w:p>
    <w:p>
      <w:pPr>
        <w:sectPr>
          <w:pgSz w:w="11900" w:h="16838" w:orient="portrait"/>
          <w:cols w:equalWidth="0" w:num="2">
            <w:col w:w="3780" w:space="56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ind w:right="100"/>
        <w:spacing w:after="0"/>
        <w:rPr>
          <w:sz w:val="20"/>
          <w:szCs w:val="20"/>
          <w:color w:val="auto"/>
        </w:rPr>
      </w:pPr>
      <w:r>
        <w:rPr>
          <w:rFonts w:ascii="Arial" w:cs="Arial" w:eastAsia="Arial" w:hAnsi="Arial"/>
          <w:sz w:val="17"/>
          <w:szCs w:val="17"/>
          <w:color w:val="auto"/>
        </w:rPr>
        <w:t>“At the market offering” that may be made from time to time on The Nasdaq Global Market or such other national securities exchange on which our common stock is then listed, through our sales agent, Jefferies. See the section entitled “Plan of Distribution” on page S-12 of this prospectus supplement.</w:t>
      </w:r>
    </w:p>
    <w:p>
      <w:pPr>
        <w:spacing w:after="0" w:line="169"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“Use of Proceeds” on page S-8 of this prospectus supplement.</w:t>
      </w:r>
    </w:p>
    <w:p>
      <w:pPr>
        <w:spacing w:after="0" w:line="91"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You should read the “Risk Factors” section of this prospectus supplement beginning on page S-6 and the other information included in, or incorporated by reference into, this prospectus supplement and the accompanying prospectus for a discussion of factors to consider before deciding to purchase shares of our common stock.</w:t>
      </w:r>
    </w:p>
    <w:p>
      <w:pPr>
        <w:spacing w:after="0" w:line="169"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IRON</w:t>
      </w:r>
    </w:p>
    <w:p>
      <w:pPr>
        <w:spacing w:after="0" w:line="18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jc w:val="both"/>
        <w:ind w:left="300" w:right="160"/>
        <w:spacing w:after="0" w:line="245" w:lineRule="auto"/>
        <w:rPr>
          <w:sz w:val="20"/>
          <w:szCs w:val="20"/>
          <w:color w:val="auto"/>
        </w:rPr>
      </w:pPr>
      <w:r>
        <w:rPr>
          <w:rFonts w:ascii="Arial" w:cs="Arial" w:eastAsia="Arial" w:hAnsi="Arial"/>
          <w:sz w:val="17"/>
          <w:szCs w:val="17"/>
          <w:color w:val="auto"/>
        </w:rPr>
        <w:t>All information in this prospectus supplement related to the number of shares of our common stock to be outstanding immediately after this offering is based on 22,850,894 shares of our common stock outstanding as of June 30, 2023. The number of shares of our common stock outstanding as of June 30, 2023 as used throughout this prospectus supplement, unless otherwise indicated, excludes:</w:t>
      </w:r>
    </w:p>
    <w:p>
      <w:pPr>
        <w:spacing w:after="0" w:line="171" w:lineRule="exact"/>
        <w:rPr>
          <w:sz w:val="20"/>
          <w:szCs w:val="20"/>
          <w:color w:val="auto"/>
        </w:rPr>
      </w:pPr>
    </w:p>
    <w:p>
      <w:pPr>
        <w:ind w:left="1120" w:right="240" w:hanging="403"/>
        <w:spacing w:after="0" w:line="249"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2,571,395 shares of common stock issuable upon the exercise of stock options outstanding as of June 30, 2023, at a weighted average exercise price of $14.90 per share;</w:t>
      </w:r>
    </w:p>
    <w:p>
      <w:pPr>
        <w:spacing w:after="0" w:line="12" w:lineRule="exact"/>
        <w:rPr>
          <w:rFonts w:ascii="MS PGothic" w:cs="MS PGothic" w:eastAsia="MS PGothic" w:hAnsi="MS PGothic"/>
          <w:sz w:val="13"/>
          <w:szCs w:val="13"/>
          <w:color w:val="auto"/>
        </w:rPr>
      </w:pPr>
    </w:p>
    <w:p>
      <w:pPr>
        <w:ind w:left="1120" w:right="80" w:hanging="403"/>
        <w:spacing w:after="0" w:line="249"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63,783 shares of common stock issuable upon the exercise of stock options granted subsequent to June 30, 2023, at a weighted average exercise price of $52.75 per share;</w:t>
      </w:r>
    </w:p>
    <w:p>
      <w:pPr>
        <w:spacing w:after="0" w:line="12" w:lineRule="exact"/>
        <w:rPr>
          <w:rFonts w:ascii="MS PGothic" w:cs="MS PGothic" w:eastAsia="MS PGothic" w:hAnsi="MS PGothic"/>
          <w:sz w:val="13"/>
          <w:szCs w:val="13"/>
          <w:color w:val="auto"/>
        </w:rPr>
      </w:pPr>
    </w:p>
    <w:p>
      <w:pPr>
        <w:ind w:left="1120" w:right="340" w:hanging="403"/>
        <w:spacing w:after="0" w:line="249"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1,433,305 shares of common stock issuable upon the exercise of pre-funded warrants outstanding as of June 30, 2023, at an exercise price of $0.0001 per share;</w:t>
      </w:r>
    </w:p>
    <w:p>
      <w:pPr>
        <w:spacing w:after="0" w:line="12" w:lineRule="exact"/>
        <w:rPr>
          <w:rFonts w:ascii="MS PGothic" w:cs="MS PGothic" w:eastAsia="MS PGothic" w:hAnsi="MS PGothic"/>
          <w:sz w:val="13"/>
          <w:szCs w:val="13"/>
          <w:color w:val="auto"/>
        </w:rPr>
      </w:pPr>
    </w:p>
    <w:p>
      <w:pPr>
        <w:ind w:left="1120" w:right="560" w:hanging="403"/>
        <w:spacing w:after="0" w:line="249"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1,629,578 shares of common stock available for future issuance under our Amended and Restated 2021 Stock Option and Incentive Plan as of June 30, 2023;</w:t>
      </w:r>
    </w:p>
    <w:p>
      <w:pPr>
        <w:spacing w:after="0" w:line="12" w:lineRule="exact"/>
        <w:rPr>
          <w:rFonts w:ascii="MS PGothic" w:cs="MS PGothic" w:eastAsia="MS PGothic" w:hAnsi="MS PGothic"/>
          <w:sz w:val="13"/>
          <w:szCs w:val="13"/>
          <w:color w:val="auto"/>
        </w:rPr>
      </w:pPr>
    </w:p>
    <w:p>
      <w:pPr>
        <w:ind w:left="1120" w:hanging="403"/>
        <w:spacing w:after="0" w:line="258"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222,953 shares of common stock available for future issuance under our Amended and Restated 2021 Employee Stock Purchase Plan as of June 30, 2023; and</w:t>
      </w: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920"/>
          </w:cols>
          <w:pgMar w:left="320" w:top="459" w:right="6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818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8185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1,229,221 shares of common stock issued upon the exercise of pre-funded warrants subsequent to June 30, 2023.</w:t>
      </w:r>
    </w:p>
    <w:p>
      <w:pPr>
        <w:spacing w:after="0" w:line="156" w:lineRule="exact"/>
        <w:rPr>
          <w:sz w:val="20"/>
          <w:szCs w:val="20"/>
          <w:color w:val="auto"/>
        </w:rPr>
      </w:pPr>
    </w:p>
    <w:p>
      <w:pPr>
        <w:ind w:left="300"/>
        <w:spacing w:after="0" w:line="245" w:lineRule="auto"/>
        <w:rPr>
          <w:sz w:val="20"/>
          <w:szCs w:val="20"/>
          <w:color w:val="auto"/>
        </w:rPr>
      </w:pPr>
      <w:r>
        <w:rPr>
          <w:rFonts w:ascii="Arial" w:cs="Arial" w:eastAsia="Arial" w:hAnsi="Arial"/>
          <w:sz w:val="17"/>
          <w:szCs w:val="17"/>
          <w:color w:val="auto"/>
        </w:rPr>
        <w:t>Unless otherwise stated, all information contained in this prospectus supplement (i) assumes no exercise of stock options after June 30, 2023 and (ii) reflects an assumed public offering price of $48.66, which was the last reported sale price of our common stock on The Nasdaq Global Market on October 9, 2023.</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0900"/>
          </w:cols>
          <w:pgMar w:left="320" w:top="459" w:right="6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Investing in our common stock involves a high degree of risk. Before you decide to invest in our common stock, you should carefully consider the risks and uncertainties described below, in the accompanying base prospectus and in our most recently filed Annual Report on Form 10-K, Quarterly Report on Form 10-Q and other filings we make with the SEC from time to time, which are incorporated by reference herein in their entirety, together with all other information contained in this prospectus supplement and in our filings with the SEC that we have incorporated by reference in this prospectus supplement. If any of the following risks actually occurs,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Risks Related To Our Common Stock And This Offering</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may suffer immediate and substantial dilution of your investment.</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price per share of our common stock in this offering may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shares are issued under outstanding options at exercise prices lower than the price of our common stock in this offering, you will incur further dilution. Assuming that an aggregate of 1,226,880 shares of our common stock are sold at a price of $48.66 per share, the last reported sale price of our common stock on The Nasdaq Global Market on October 9, 2023, for aggregate net proceeds to us of $57.7 million, after deducting commissions and estimated aggregate offering expenses payable by us, investors in this offering would experience immediate dilution of $30.85 per share, representing the difference between our as adjusted net tangible book value per share as of June 30, 2023, after giving effect to this offering and the assumed offering price.</w:t>
      </w:r>
    </w:p>
    <w:p>
      <w:pPr>
        <w:spacing w:after="0" w:line="137" w:lineRule="exact"/>
        <w:rPr>
          <w:sz w:val="20"/>
          <w:szCs w:val="20"/>
          <w:color w:val="auto"/>
        </w:rPr>
      </w:pPr>
    </w:p>
    <w:p>
      <w:pPr>
        <w:jc w:val="both"/>
        <w:ind w:left="120" w:right="180"/>
        <w:spacing w:after="0" w:line="245" w:lineRule="auto"/>
        <w:rPr>
          <w:sz w:val="20"/>
          <w:szCs w:val="20"/>
          <w:color w:val="auto"/>
        </w:rPr>
      </w:pPr>
      <w:r>
        <w:rPr>
          <w:rFonts w:ascii="Arial" w:cs="Arial" w:eastAsia="Arial" w:hAnsi="Arial"/>
          <w:sz w:val="17"/>
          <w:szCs w:val="17"/>
          <w:color w:val="auto"/>
        </w:rPr>
        <w:t>This dilution is due to the substantially lower price paid by some of our investors who purchased shares prior to this offering as compared to the price offered to the public in this offering and the exercise of stock options granted to our employees, directors and consultants. See the section entitled “Dilution” below for a more detailed illustration of the dilution you would incur if you participate in this offering.</w:t>
      </w:r>
    </w:p>
    <w:p>
      <w:pPr>
        <w:spacing w:after="0" w:line="41" w:lineRule="exact"/>
        <w:rPr>
          <w:sz w:val="20"/>
          <w:szCs w:val="20"/>
          <w:color w:val="auto"/>
        </w:rPr>
      </w:pPr>
    </w:p>
    <w:p>
      <w:pPr>
        <w:ind w:left="120" w:right="140"/>
        <w:spacing w:after="0" w:line="260" w:lineRule="auto"/>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use them in ways that you and other stockholders may not approve.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expect to use the net proceeds of this offering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You may experience future dilution as a result of future equity offerings.</w:t>
      </w:r>
    </w:p>
    <w:p>
      <w:pPr>
        <w:spacing w:after="0" w:line="4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right="340"/>
        <w:spacing w:after="0" w:line="258" w:lineRule="auto"/>
        <w:rPr>
          <w:sz w:val="20"/>
          <w:szCs w:val="20"/>
          <w:color w:val="auto"/>
        </w:rPr>
      </w:pPr>
      <w:r>
        <w:rPr>
          <w:rFonts w:ascii="Arial" w:cs="Arial" w:eastAsia="Arial" w:hAnsi="Arial"/>
          <w:sz w:val="17"/>
          <w:szCs w:val="17"/>
          <w:color w:val="auto"/>
        </w:rPr>
        <w:t>common stock, or securities convertible or exchangeable into common stock, in future transactions may be higher or lower than the price per share paid by investors in this offering.</w:t>
      </w:r>
    </w:p>
    <w:p>
      <w:pPr>
        <w:spacing w:after="0" w:line="31" w:lineRule="exact"/>
        <w:rPr>
          <w:sz w:val="20"/>
          <w:szCs w:val="20"/>
          <w:color w:val="auto"/>
        </w:rPr>
      </w:pPr>
    </w:p>
    <w:p>
      <w:pPr>
        <w:ind w:left="120" w:right="60"/>
        <w:spacing w:after="0" w:line="260" w:lineRule="auto"/>
        <w:rPr>
          <w:sz w:val="20"/>
          <w:szCs w:val="20"/>
          <w:color w:val="auto"/>
        </w:rPr>
      </w:pPr>
      <w:r>
        <w:rPr>
          <w:rFonts w:ascii="Arial" w:cs="Arial" w:eastAsia="Arial" w:hAnsi="Arial"/>
          <w:sz w:val="17"/>
          <w:szCs w:val="17"/>
          <w:b w:val="1"/>
          <w:bCs w:val="1"/>
          <w:i w:val="1"/>
          <w:iCs w:val="1"/>
          <w:color w:val="auto"/>
        </w:rPr>
        <w:t>Future sales or issuances of our common stock in the public markets, or the perception of such sales, could depress the trading price of our common stock.</w:t>
      </w:r>
    </w:p>
    <w:p>
      <w:pPr>
        <w:spacing w:after="0" w:line="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actual number of shares we will issue and gross proceeds resulting from those sales, at any one time or in total, is uncertain.</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Subject to certain limitations in the sales agreement and compliance with applicable law, we have the discretion to deliver a placement notice to Jefferies at any time throughout the term of the sales agreement. The number of shares that are sold by Jefferies after delivering a placement notice will fluctuate based on the market price of our common stock during the sales period and limits we set with Jefferies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47" w:lineRule="exact"/>
        <w:rPr>
          <w:sz w:val="20"/>
          <w:szCs w:val="20"/>
          <w:color w:val="auto"/>
        </w:rPr>
      </w:pPr>
    </w:p>
    <w:p>
      <w:pPr>
        <w:ind w:left="120" w:right="180"/>
        <w:spacing w:after="0" w:line="260" w:lineRule="auto"/>
        <w:rPr>
          <w:sz w:val="20"/>
          <w:szCs w:val="20"/>
          <w:color w:val="auto"/>
        </w:rPr>
      </w:pPr>
      <w:r>
        <w:rPr>
          <w:rFonts w:ascii="Arial" w:cs="Arial" w:eastAsia="Arial" w:hAnsi="Arial"/>
          <w:sz w:val="17"/>
          <w:szCs w:val="17"/>
          <w:b w:val="1"/>
          <w:bCs w:val="1"/>
          <w:i w:val="1"/>
          <w:iCs w:val="1"/>
          <w:color w:val="auto"/>
        </w:rPr>
        <w:t>The common stock offered hereby will be sold in “at the market offerings,” and investors who buy shares at different times will likely pay different prices.</w:t>
      </w:r>
    </w:p>
    <w:p>
      <w:pPr>
        <w:spacing w:after="0" w:line="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48" w:lineRule="exact"/>
        <w:rPr>
          <w:sz w:val="20"/>
          <w:szCs w:val="20"/>
          <w:color w:val="auto"/>
        </w:rPr>
      </w:pPr>
    </w:p>
    <w:p>
      <w:pPr>
        <w:ind w:left="120" w:right="300"/>
        <w:spacing w:after="0" w:line="260" w:lineRule="auto"/>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including most recently in connection with the COVID-19 pandemic.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3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3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080"/>
          </w:cols>
          <w:pgMar w:left="320" w:top="45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may issue and sell shares of our common stock having aggregate sales proceeds of up to $59,700,000 from time to time under this prospectus supplement. The amount of the net proceeds to us from this offering will depend upon the number of shares of our common stock sold and the price at which they are sold. There can be no assurance that we will be able to sell any shares under or fully utilize the sales agreement with Jefferies.</w:t>
      </w:r>
    </w:p>
    <w:p>
      <w:pPr>
        <w:spacing w:after="0" w:line="136"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We have not determined the amount of net proceeds to be used specifically for such purposes. As a result, management will retain broad discretion over the allocation of net proceeds.</w:t>
      </w:r>
    </w:p>
    <w:p>
      <w:pPr>
        <w:spacing w:after="0" w:line="13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Jefferies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“Risk Factors” in this prospectus supplement and the accompanying base prospectus and in the documents incorporated by reference herein. We may find it necessary or advisable to use the net proceeds from this offering for other purposes. As a result, our management will retain broad discretion over the allocation of the net proceeds from this offering.</w:t>
      </w:r>
    </w:p>
    <w:p>
      <w:pPr>
        <w:spacing w:after="0" w:line="140" w:lineRule="exact"/>
        <w:rPr>
          <w:sz w:val="20"/>
          <w:szCs w:val="20"/>
          <w:color w:val="auto"/>
        </w:rPr>
      </w:pPr>
    </w:p>
    <w:p>
      <w:pPr>
        <w:ind w:left="120" w:right="200"/>
        <w:spacing w:after="0" w:line="258" w:lineRule="auto"/>
        <w:rPr>
          <w:sz w:val="20"/>
          <w:szCs w:val="20"/>
          <w:color w:val="auto"/>
        </w:rPr>
      </w:pPr>
      <w:r>
        <w:rPr>
          <w:rFonts w:ascii="Arial" w:cs="Arial" w:eastAsia="Arial" w:hAnsi="Arial"/>
          <w:sz w:val="17"/>
          <w:szCs w:val="17"/>
          <w:color w:val="auto"/>
        </w:rPr>
        <w:t>We do not expect that the net proceeds from this offering, together with our existing cash and cash equivalents, will be sufficient to enable us to fund the completion of development of any of our product candidates.</w:t>
      </w:r>
    </w:p>
    <w:p>
      <w:pPr>
        <w:spacing w:after="0" w:line="120" w:lineRule="exact"/>
        <w:rPr>
          <w:sz w:val="20"/>
          <w:szCs w:val="20"/>
          <w:color w:val="auto"/>
        </w:rPr>
      </w:pPr>
    </w:p>
    <w:p>
      <w:pPr>
        <w:ind w:left="120" w:right="500"/>
        <w:spacing w:after="0" w:line="258" w:lineRule="auto"/>
        <w:rPr>
          <w:sz w:val="20"/>
          <w:szCs w:val="20"/>
          <w:color w:val="auto"/>
        </w:rPr>
      </w:pPr>
      <w:r>
        <w:rPr>
          <w:rFonts w:ascii="Arial" w:cs="Arial" w:eastAsia="Arial" w:hAnsi="Arial"/>
          <w:sz w:val="17"/>
          <w:szCs w:val="17"/>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24" w:lineRule="exact"/>
        <w:rPr>
          <w:sz w:val="20"/>
          <w:szCs w:val="20"/>
          <w:color w:val="auto"/>
        </w:rPr>
      </w:pPr>
    </w:p>
    <w:p>
      <w:pPr>
        <w:ind w:left="120" w:right="60"/>
        <w:spacing w:after="0" w:line="258" w:lineRule="auto"/>
        <w:rPr>
          <w:sz w:val="20"/>
          <w:szCs w:val="20"/>
          <w:color w:val="auto"/>
        </w:rPr>
      </w:pPr>
      <w:r>
        <w:rPr>
          <w:rFonts w:ascii="Arial" w:cs="Arial" w:eastAsia="Arial" w:hAnsi="Arial"/>
          <w:sz w:val="17"/>
          <w:szCs w:val="17"/>
          <w:color w:val="auto"/>
        </w:rPr>
        <w:t>If you invest in this offering, your ownership interest will be diluted immediately to the extent of the difference between the public offering price per share and the as adjusted net tangible book value per share of our common stock after giving effect to this offering.</w:t>
      </w:r>
    </w:p>
    <w:p>
      <w:pPr>
        <w:spacing w:after="0" w:line="120"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As of June 30, 2023, we had a net tangible book value of approximately $371.2 million, or $16.25 per share of our common stock, based upon 22,850,894 shares of our common stock outstanding as of that date.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as adjusted net tangible book value per share of our common stock immediately after this offering.</w:t>
      </w:r>
    </w:p>
    <w:p>
      <w:pPr>
        <w:spacing w:after="0" w:line="138" w:lineRule="exact"/>
        <w:rPr>
          <w:sz w:val="20"/>
          <w:szCs w:val="20"/>
          <w:color w:val="auto"/>
        </w:rPr>
      </w:pPr>
    </w:p>
    <w:p>
      <w:pPr>
        <w:ind w:left="120" w:right="140"/>
        <w:spacing w:after="0"/>
        <w:rPr>
          <w:sz w:val="20"/>
          <w:szCs w:val="20"/>
          <w:color w:val="auto"/>
        </w:rPr>
      </w:pPr>
      <w:r>
        <w:rPr>
          <w:rFonts w:ascii="Arial" w:cs="Arial" w:eastAsia="Arial" w:hAnsi="Arial"/>
          <w:sz w:val="17"/>
          <w:szCs w:val="17"/>
          <w:color w:val="auto"/>
        </w:rPr>
        <w:t>After giving effect to the sale of our common stock pursuant to this prospectus supplement in the aggregate amount of $59.7 million at an assumed offering price of $48.66 per share, the last reported sale price of our common stock on The Nasdaq Global Market on October 9, 2023, and after deducting commissions and estimated aggregate offering expenses payable by us, our as adjusted net tangible book value as of June 30, 2023 would have been</w:t>
      </w:r>
    </w:p>
    <w:p>
      <w:pPr>
        <w:spacing w:after="0" w:line="136" w:lineRule="exact"/>
        <w:rPr>
          <w:sz w:val="20"/>
          <w:szCs w:val="20"/>
          <w:color w:val="auto"/>
        </w:rPr>
      </w:pPr>
    </w:p>
    <w:p>
      <w:pPr>
        <w:ind w:left="120" w:right="120"/>
        <w:spacing w:after="0"/>
        <w:rPr>
          <w:sz w:val="20"/>
          <w:szCs w:val="20"/>
          <w:color w:val="auto"/>
        </w:rPr>
      </w:pPr>
      <w:r>
        <w:rPr>
          <w:rFonts w:ascii="Arial" w:cs="Arial" w:eastAsia="Arial" w:hAnsi="Arial"/>
          <w:sz w:val="17"/>
          <w:szCs w:val="17"/>
          <w:color w:val="auto"/>
        </w:rPr>
        <w:t>$428.9 million, or $17.81 per share of common stock. This represents an immediate increase in the net tangible book value of $1.56 per share to our existing stockholders and an immediate dilution in net tangible book value of $30.85 per share of common stock to investors in this offering based on the assumed offering price. Dilution per share to investors is determined by subtracting as adjusted net tangible book value per share after this offering from the assumed public offering price per share paid by investors. The following table illustrates this per share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Assumed offering price per share</w:t>
            </w: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$48.66</w:t>
            </w: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Historical net tangible book value per share as of June 30, 2023</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95"/>
              <w:spacing w:after="0" w:line="189" w:lineRule="exact"/>
              <w:rPr>
                <w:sz w:val="20"/>
                <w:szCs w:val="20"/>
                <w:color w:val="auto"/>
              </w:rPr>
            </w:pPr>
            <w:r>
              <w:rPr>
                <w:rFonts w:ascii="Arial" w:cs="Arial" w:eastAsia="Arial" w:hAnsi="Arial"/>
                <w:sz w:val="17"/>
                <w:szCs w:val="17"/>
                <w:color w:val="auto"/>
                <w:w w:val="93"/>
              </w:rPr>
              <w:t>16.25</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in net tangible book value per share attributable to sale of shares of common stock in this offering</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1.56</w:t>
            </w: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9600" w:type="dxa"/>
            <w:vAlign w:val="bottom"/>
          </w:tcPr>
          <w:p>
            <w:pPr>
              <w:spacing w:after="0"/>
              <w:rPr>
                <w:sz w:val="20"/>
                <w:szCs w:val="20"/>
                <w:color w:val="auto"/>
              </w:rPr>
            </w:pPr>
            <w:r>
              <w:rPr>
                <w:rFonts w:ascii="Arial" w:cs="Arial" w:eastAsia="Arial" w:hAnsi="Arial"/>
                <w:sz w:val="17"/>
                <w:szCs w:val="17"/>
                <w:color w:val="auto"/>
              </w:rPr>
              <w:t>As adjusted net tangible book value per share as of June 30, 2023, after this offering</w:t>
            </w:r>
          </w:p>
        </w:tc>
        <w:tc>
          <w:tcPr>
            <w:tcW w:w="1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17.81</w:t>
            </w:r>
          </w:p>
        </w:tc>
        <w:tc>
          <w:tcPr>
            <w:tcW w:w="60" w:type="dxa"/>
            <w:vAlign w:val="bottom"/>
          </w:tcPr>
          <w:p>
            <w:pPr>
              <w:spacing w:after="0"/>
              <w:rPr>
                <w:sz w:val="17"/>
                <w:szCs w:val="17"/>
                <w:color w:val="auto"/>
              </w:rPr>
            </w:pP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in net tangible book value per share to investors purchasing shares in this offering</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30.85</w:t>
            </w:r>
          </w:p>
        </w:tc>
      </w:tr>
      <w:tr>
        <w:trPr>
          <w:trHeight w:val="20"/>
        </w:trPr>
        <w:tc>
          <w:tcPr>
            <w:tcW w:w="9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table above assumes for illustrative purposes that an aggregate of 1,226,880 shares of our common stock are sold pursuant to this</w:t>
      </w:r>
    </w:p>
    <w:p>
      <w:pPr>
        <w:ind w:left="120"/>
        <w:spacing w:after="0"/>
        <w:rPr>
          <w:sz w:val="20"/>
          <w:szCs w:val="20"/>
          <w:color w:val="auto"/>
        </w:rPr>
      </w:pPr>
      <w:r>
        <w:rPr>
          <w:rFonts w:ascii="Arial" w:cs="Arial" w:eastAsia="Arial" w:hAnsi="Arial"/>
          <w:sz w:val="17"/>
          <w:szCs w:val="17"/>
          <w:color w:val="auto"/>
        </w:rPr>
        <w:t>prospectus supplement at a price of $48.66 per share, the last reported sale price of our common stock on The Nasdaq Global Market on October</w:t>
      </w:r>
    </w:p>
    <w:p>
      <w:pPr>
        <w:ind w:left="120"/>
        <w:spacing w:after="0" w:line="232" w:lineRule="auto"/>
        <w:rPr>
          <w:sz w:val="20"/>
          <w:szCs w:val="20"/>
          <w:color w:val="auto"/>
        </w:rPr>
      </w:pPr>
      <w:r>
        <w:rPr>
          <w:rFonts w:ascii="Arial" w:cs="Arial" w:eastAsia="Arial" w:hAnsi="Arial"/>
          <w:sz w:val="17"/>
          <w:szCs w:val="17"/>
          <w:color w:val="auto"/>
        </w:rPr>
        <w:t>9, 2023, for aggregate gross proceeds of $59.7 million. The shares sold in this offering, if any, will be sold from time to time at various prices. An</w:t>
      </w:r>
    </w:p>
    <w:p>
      <w:pPr>
        <w:ind w:left="120"/>
        <w:spacing w:after="0" w:line="232" w:lineRule="auto"/>
        <w:rPr>
          <w:sz w:val="20"/>
          <w:szCs w:val="20"/>
          <w:color w:val="auto"/>
        </w:rPr>
      </w:pPr>
      <w:r>
        <w:rPr>
          <w:rFonts w:ascii="Arial" w:cs="Arial" w:eastAsia="Arial" w:hAnsi="Arial"/>
          <w:sz w:val="17"/>
          <w:szCs w:val="17"/>
          <w:color w:val="auto"/>
        </w:rPr>
        <w:t>increase of $1.00 per share in the price at which the shares are sold from the assumed offering price to $49.66 per share, assuming all of our</w:t>
      </w:r>
    </w:p>
    <w:p>
      <w:pPr>
        <w:ind w:left="120"/>
        <w:spacing w:after="0" w:line="232" w:lineRule="auto"/>
        <w:rPr>
          <w:sz w:val="20"/>
          <w:szCs w:val="20"/>
          <w:color w:val="auto"/>
        </w:rPr>
      </w:pPr>
      <w:r>
        <w:rPr>
          <w:rFonts w:ascii="Arial" w:cs="Arial" w:eastAsia="Arial" w:hAnsi="Arial"/>
          <w:sz w:val="17"/>
          <w:szCs w:val="17"/>
          <w:color w:val="auto"/>
        </w:rPr>
        <w:t>common stock in the aggregate amount of $59.7 million is sold at that price, would result in an as adjusted net tangible book value per share after</w:t>
      </w:r>
    </w:p>
    <w:p>
      <w:pPr>
        <w:ind w:left="120"/>
        <w:spacing w:after="0" w:line="232" w:lineRule="auto"/>
        <w:rPr>
          <w:sz w:val="20"/>
          <w:szCs w:val="20"/>
          <w:color w:val="auto"/>
        </w:rPr>
      </w:pPr>
      <w:r>
        <w:rPr>
          <w:rFonts w:ascii="Arial" w:cs="Arial" w:eastAsia="Arial" w:hAnsi="Arial"/>
          <w:sz w:val="17"/>
          <w:szCs w:val="17"/>
          <w:color w:val="auto"/>
        </w:rPr>
        <w:t>the offering of $17.83 per share and would increase the dilution in net tangible book value per share to investors in this offering to $31.83 per</w:t>
      </w:r>
    </w:p>
    <w:p>
      <w:pPr>
        <w:ind w:left="120"/>
        <w:spacing w:after="0" w:line="232" w:lineRule="auto"/>
        <w:rPr>
          <w:sz w:val="20"/>
          <w:szCs w:val="20"/>
          <w:color w:val="auto"/>
        </w:rPr>
      </w:pPr>
      <w:r>
        <w:rPr>
          <w:rFonts w:ascii="Arial" w:cs="Arial" w:eastAsia="Arial" w:hAnsi="Arial"/>
          <w:sz w:val="17"/>
          <w:szCs w:val="17"/>
          <w:color w:val="auto"/>
        </w:rPr>
        <w:t>share, after deducting commissions and estimated aggregate offering expenses payable by us. A decrease of $1.00 per share in the price at</w:t>
      </w:r>
    </w:p>
    <w:p>
      <w:pPr>
        <w:ind w:left="120"/>
        <w:spacing w:after="0" w:line="232" w:lineRule="auto"/>
        <w:rPr>
          <w:sz w:val="20"/>
          <w:szCs w:val="20"/>
          <w:color w:val="auto"/>
        </w:rPr>
      </w:pPr>
      <w:r>
        <w:rPr>
          <w:rFonts w:ascii="Arial" w:cs="Arial" w:eastAsia="Arial" w:hAnsi="Arial"/>
          <w:sz w:val="17"/>
          <w:szCs w:val="17"/>
          <w:color w:val="auto"/>
        </w:rPr>
        <w:t>which the shares are sold from the assumed offering price to $47.66 per share, assuming all of our common stock in the aggregate amount of</w:t>
      </w:r>
    </w:p>
    <w:p>
      <w:pPr>
        <w:ind w:left="120"/>
        <w:spacing w:after="0" w:line="232" w:lineRule="auto"/>
        <w:rPr>
          <w:sz w:val="20"/>
          <w:szCs w:val="20"/>
          <w:color w:val="auto"/>
        </w:rPr>
      </w:pPr>
      <w:r>
        <w:rPr>
          <w:rFonts w:ascii="Arial" w:cs="Arial" w:eastAsia="Arial" w:hAnsi="Arial"/>
          <w:sz w:val="17"/>
          <w:szCs w:val="17"/>
          <w:color w:val="auto"/>
        </w:rPr>
        <w:t>$59.7 million is sold at that price, would result in an as adjusted net tangible book value per share after the offering of $17.79 per share and would</w:t>
      </w:r>
    </w:p>
    <w:p>
      <w:pPr>
        <w:ind w:left="120"/>
        <w:spacing w:after="0" w:line="232" w:lineRule="auto"/>
        <w:rPr>
          <w:sz w:val="20"/>
          <w:szCs w:val="20"/>
          <w:color w:val="auto"/>
        </w:rPr>
      </w:pPr>
      <w:r>
        <w:rPr>
          <w:rFonts w:ascii="Arial" w:cs="Arial" w:eastAsia="Arial" w:hAnsi="Arial"/>
          <w:sz w:val="17"/>
          <w:szCs w:val="17"/>
          <w:color w:val="auto"/>
        </w:rPr>
        <w:t>decrease the dilution in net tangible book value per share to investors in this offering to $29.87 per share, after deducting commissions and</w:t>
      </w:r>
    </w:p>
    <w:p>
      <w:pPr>
        <w:ind w:left="120"/>
        <w:spacing w:after="0"/>
        <w:rPr>
          <w:sz w:val="20"/>
          <w:szCs w:val="20"/>
          <w:color w:val="auto"/>
        </w:rPr>
      </w:pPr>
      <w:r>
        <w:rPr>
          <w:rFonts w:ascii="Arial" w:cs="Arial" w:eastAsia="Arial" w:hAnsi="Arial"/>
          <w:sz w:val="17"/>
          <w:szCs w:val="17"/>
          <w:color w:val="auto"/>
        </w:rPr>
        <w:t>estimated aggregate offering expenses payable by us. This information is supplied for illustrative purposes only.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above discussion and table are based on 22,850,894 shares of our common stock outstanding as of June 30, 2023 and excludes:</w:t>
      </w:r>
    </w:p>
    <w:p>
      <w:pPr>
        <w:spacing w:after="0" w:line="196" w:lineRule="exact"/>
        <w:rPr>
          <w:sz w:val="20"/>
          <w:szCs w:val="20"/>
          <w:color w:val="auto"/>
        </w:rPr>
      </w:pPr>
    </w:p>
    <w:p>
      <w:pPr>
        <w:ind w:left="980" w:right="600" w:hanging="432"/>
        <w:spacing w:after="0" w:line="249"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2,571,395 shares of common stock issuable upon the exercise of stock options outstanding as of June 30, 2023, at a weighted average exercise price of $14.90 per share;</w:t>
      </w:r>
    </w:p>
    <w:p>
      <w:pPr>
        <w:spacing w:after="0" w:line="12" w:lineRule="exact"/>
        <w:rPr>
          <w:rFonts w:ascii="MS PGothic" w:cs="MS PGothic" w:eastAsia="MS PGothic" w:hAnsi="MS PGothic"/>
          <w:sz w:val="13"/>
          <w:szCs w:val="13"/>
          <w:color w:val="auto"/>
        </w:rPr>
      </w:pPr>
    </w:p>
    <w:p>
      <w:pPr>
        <w:ind w:left="980" w:right="440" w:hanging="432"/>
        <w:spacing w:after="0" w:line="258"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63,783 shares of common stock issuable upon the exercise of stock options granted subsequent to June 30, 2023, at a weighted average exercise price of $52.75 per share;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140"/>
          </w:cols>
          <w:pgMar w:left="320" w:top="459"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980" w:hanging="432"/>
        <w:spacing w:after="0" w:line="249"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1,433,305 shares of common stock issuable upon the exercise of pre-funded warrants outstanding as of June 30, 2023, at an exercise price of $0.0001 per share;</w:t>
      </w:r>
    </w:p>
    <w:p>
      <w:pPr>
        <w:spacing w:after="0" w:line="12" w:lineRule="exact"/>
        <w:rPr>
          <w:rFonts w:ascii="MS PGothic" w:cs="MS PGothic" w:eastAsia="MS PGothic" w:hAnsi="MS PGothic"/>
          <w:sz w:val="13"/>
          <w:szCs w:val="13"/>
          <w:color w:val="auto"/>
        </w:rPr>
      </w:pPr>
    </w:p>
    <w:p>
      <w:pPr>
        <w:ind w:left="980" w:right="160" w:hanging="432"/>
        <w:spacing w:after="0" w:line="249"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1,629,578 shares of common stock available for future issuance under our Amended and Restated 2021 Stock Option and Incentive Plan as of June 30, 2023;</w:t>
      </w:r>
    </w:p>
    <w:p>
      <w:pPr>
        <w:spacing w:after="0" w:line="12" w:lineRule="exact"/>
        <w:rPr>
          <w:rFonts w:ascii="MS PGothic" w:cs="MS PGothic" w:eastAsia="MS PGothic" w:hAnsi="MS PGothic"/>
          <w:sz w:val="13"/>
          <w:szCs w:val="13"/>
          <w:color w:val="auto"/>
        </w:rPr>
      </w:pPr>
    </w:p>
    <w:p>
      <w:pPr>
        <w:ind w:left="980" w:right="340" w:hanging="432"/>
        <w:spacing w:after="0" w:line="249"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222,953 shares of common stock available for future issuance under our Amended and Restated 2021 Employee Stock Purchase Plan as of June 30, 2023; and</w:t>
      </w:r>
    </w:p>
    <w:p>
      <w:pPr>
        <w:spacing w:after="0" w:line="12" w:lineRule="exact"/>
        <w:rPr>
          <w:rFonts w:ascii="MS PGothic" w:cs="MS PGothic" w:eastAsia="MS PGothic" w:hAnsi="MS PGothic"/>
          <w:sz w:val="13"/>
          <w:szCs w:val="13"/>
          <w:color w:val="auto"/>
        </w:rPr>
      </w:pPr>
    </w:p>
    <w:p>
      <w:pPr>
        <w:ind w:left="980" w:hanging="432"/>
        <w:spacing w:after="0"/>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1,229,221 shares of common stock issued upon the exercise of pre-funded warrants subsequent to June 30, 2023.</w:t>
      </w:r>
    </w:p>
    <w:p>
      <w:pPr>
        <w:spacing w:after="0" w:line="156"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To the extent that options outstanding as of June 30, 2023 have been or may be exercised or settle, as applicable,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32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11060"/>
          </w:cols>
          <w:pgMar w:left="320" w:top="459" w:right="5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324"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We have entered into a sales agreement with Jefferies, under which we may offer and sell up to $59,700,000 of our shares of common stock from time to time through Jefferies, acting as sales agent, or directly to Jefferies, acting as principal. Sales of our shares of common stock, if any, under this prospectus supplement and the accompanying prospectus will be made by any method that is deemed to be an “at the market offering” as defined in Rule 415(a)(4) under the Securities Act.</w:t>
      </w:r>
    </w:p>
    <w:p>
      <w:pPr>
        <w:spacing w:after="0" w:line="136"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sales and trading practices to sell such shares up to the amount specified on such terms. The obligations of Jefferies under the sales agreement to sell our shares of common stock are subject to a number of conditions that we must meet.</w:t>
      </w:r>
    </w:p>
    <w:p>
      <w:pPr>
        <w:spacing w:after="0" w:line="13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settlement of sales of shares between us and Jefferies is generally anticipated to occur on the second trading day following the date on which the sale was made, or on some other date that is agreed upon by us and Jefferies or that is required by SEC rule or industry practice.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3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will pay Jefferies a commission equal to up to 3%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$275,000. The remaining sale proceeds, after deducting any other transaction fees, will equal our net proceeds from the sale of such shares.</w:t>
      </w:r>
    </w:p>
    <w:p>
      <w:pPr>
        <w:spacing w:after="0" w:line="139" w:lineRule="exact"/>
        <w:rPr>
          <w:sz w:val="20"/>
          <w:szCs w:val="20"/>
          <w:color w:val="auto"/>
        </w:rPr>
      </w:pPr>
    </w:p>
    <w:p>
      <w:pPr>
        <w:ind w:left="120" w:right="60"/>
        <w:spacing w:after="0" w:line="245" w:lineRule="auto"/>
        <w:rPr>
          <w:sz w:val="20"/>
          <w:szCs w:val="20"/>
          <w:color w:val="auto"/>
        </w:rPr>
      </w:pPr>
      <w:r>
        <w:rPr>
          <w:rFonts w:ascii="Arial" w:cs="Arial" w:eastAsia="Arial" w:hAnsi="Arial"/>
          <w:sz w:val="17"/>
          <w:szCs w:val="17"/>
          <w:color w:val="auto"/>
        </w:rPr>
        <w:t>Jefferies will provide written confirmation to us before the open on the Nasdaq Global Market on the next trading day following each day on which our shares of common stock are sold under the sales agreement. Each confirmation will include the number of shares sold on that day, the aggregate gross proceeds of such sales and the proceeds to us.</w:t>
      </w:r>
    </w:p>
    <w:p>
      <w:pPr>
        <w:spacing w:after="0" w:line="130" w:lineRule="exact"/>
        <w:rPr>
          <w:sz w:val="20"/>
          <w:szCs w:val="20"/>
          <w:color w:val="auto"/>
        </w:rPr>
      </w:pPr>
    </w:p>
    <w:p>
      <w:pPr>
        <w:ind w:left="120" w:right="60"/>
        <w:spacing w:after="0"/>
        <w:rPr>
          <w:sz w:val="20"/>
          <w:szCs w:val="20"/>
          <w:color w:val="auto"/>
        </w:rPr>
      </w:pPr>
      <w:r>
        <w:rPr>
          <w:rFonts w:ascii="Arial" w:cs="Arial" w:eastAsia="Arial" w:hAnsi="Arial"/>
          <w:sz w:val="17"/>
          <w:szCs w:val="17"/>
          <w:color w:val="auto"/>
        </w:rPr>
        <w:t>In connection with the sale of our shares of common stock on our behalf, Jefferies may be deemed to be an “underwriter” within the meaning of the Securities Act, and the compensation of Jefferies may be deemed to be underwriting commissions or discounts. We have agreed to indemnify Jefferies against certain civil liabilities, including liabilities under the Securities Act or the Exchange Act. We have also agreed to contribute to payments Jefferies may be required to make in respect of such liabilities.</w:t>
      </w:r>
    </w:p>
    <w:p>
      <w:pPr>
        <w:spacing w:after="0" w:line="136" w:lineRule="exact"/>
        <w:rPr>
          <w:sz w:val="20"/>
          <w:szCs w:val="20"/>
          <w:color w:val="auto"/>
        </w:rPr>
      </w:pPr>
    </w:p>
    <w:p>
      <w:pPr>
        <w:ind w:left="120" w:right="60"/>
        <w:spacing w:after="0" w:line="245" w:lineRule="auto"/>
        <w:rPr>
          <w:sz w:val="20"/>
          <w:szCs w:val="20"/>
          <w:color w:val="auto"/>
        </w:rPr>
      </w:pPr>
      <w:r>
        <w:rPr>
          <w:rFonts w:ascii="Arial" w:cs="Arial" w:eastAsia="Arial" w:hAnsi="Arial"/>
          <w:sz w:val="17"/>
          <w:szCs w:val="17"/>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trading days’ prior notice.</w:t>
      </w:r>
    </w:p>
    <w:p>
      <w:pPr>
        <w:spacing w:after="0" w:line="130" w:lineRule="exact"/>
        <w:rPr>
          <w:sz w:val="20"/>
          <w:szCs w:val="20"/>
          <w:color w:val="auto"/>
        </w:rPr>
      </w:pPr>
    </w:p>
    <w:p>
      <w:pPr>
        <w:ind w:left="120" w:right="60"/>
        <w:spacing w:after="0" w:line="245" w:lineRule="auto"/>
        <w:rPr>
          <w:sz w:val="20"/>
          <w:szCs w:val="20"/>
          <w:color w:val="auto"/>
        </w:rPr>
      </w:pPr>
      <w:r>
        <w:rPr>
          <w:rFonts w:ascii="Arial" w:cs="Arial" w:eastAsia="Arial" w:hAnsi="Arial"/>
          <w:sz w:val="17"/>
          <w:szCs w:val="17"/>
          <w:color w:val="auto"/>
        </w:rPr>
        <w:t>This summary of the material provisions of the sales agreement does not purport to be a complete statement of its terms and conditions. A copy of the sales agreement will be filed as an exhibit to a Current Report on Form 8-K filed with the SEC under the Exchange Act and incorporated by reference in this prospectus supplement.</w:t>
      </w:r>
    </w:p>
    <w:p>
      <w:pPr>
        <w:spacing w:after="0" w:line="130" w:lineRule="exact"/>
        <w:rPr>
          <w:sz w:val="20"/>
          <w:szCs w:val="20"/>
          <w:color w:val="auto"/>
        </w:rPr>
      </w:pPr>
    </w:p>
    <w:p>
      <w:pPr>
        <w:ind w:left="120" w:right="180"/>
        <w:spacing w:after="0" w:line="245" w:lineRule="auto"/>
        <w:rPr>
          <w:sz w:val="20"/>
          <w:szCs w:val="20"/>
          <w:color w:val="auto"/>
        </w:rPr>
      </w:pPr>
      <w:r>
        <w:rPr>
          <w:rFonts w:ascii="Arial" w:cs="Arial" w:eastAsia="Arial" w:hAnsi="Arial"/>
          <w:sz w:val="17"/>
          <w:szCs w:val="17"/>
          <w:color w:val="auto"/>
        </w:rPr>
        <w:t>Jefferies and its affiliates have in the past and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account or for the accounts of customers, and, accordingly, Jefferies may at any time hold long or short positions in such securities.</w:t>
      </w:r>
    </w:p>
    <w:p>
      <w:pPr>
        <w:spacing w:after="0" w:line="156" w:lineRule="exact"/>
        <w:rPr>
          <w:sz w:val="20"/>
          <w:szCs w:val="20"/>
          <w:color w:val="auto"/>
        </w:rPr>
      </w:pPr>
    </w:p>
    <w:p>
      <w:pPr>
        <w:ind w:left="120"/>
        <w:spacing w:after="0" w:line="258" w:lineRule="auto"/>
        <w:rPr>
          <w:sz w:val="20"/>
          <w:szCs w:val="20"/>
          <w:color w:val="auto"/>
        </w:rPr>
      </w:pPr>
      <w:r>
        <w:rPr>
          <w:rFonts w:ascii="Arial" w:cs="Arial" w:eastAsia="Arial" w:hAnsi="Arial"/>
          <w:sz w:val="17"/>
          <w:szCs w:val="17"/>
          <w:color w:val="auto"/>
        </w:rPr>
        <w:t>This prospectus supplement and the accompanying prospectus in electronic format may be made available on a website maintained by Jefferies, and Jefferies may distribute this prospectus supplement and the accompanying prospectus electronically.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060"/>
          </w:cols>
          <w:pgMar w:left="320" w:top="459" w:right="5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24" w:lineRule="exact"/>
        <w:rPr>
          <w:sz w:val="20"/>
          <w:szCs w:val="20"/>
          <w:color w:val="auto"/>
        </w:rPr>
      </w:pPr>
    </w:p>
    <w:p>
      <w:pPr>
        <w:ind w:left="120"/>
        <w:spacing w:after="0" w:line="258" w:lineRule="auto"/>
        <w:rPr>
          <w:sz w:val="20"/>
          <w:szCs w:val="20"/>
          <w:color w:val="auto"/>
        </w:rPr>
      </w:pPr>
      <w:r>
        <w:rPr>
          <w:rFonts w:ascii="Arial" w:cs="Arial" w:eastAsia="Arial" w:hAnsi="Arial"/>
          <w:sz w:val="17"/>
          <w:szCs w:val="17"/>
          <w:color w:val="auto"/>
        </w:rPr>
        <w:t>The validity of the shares of common stock offered hereby will be passed upon for us by Goodwin Procter LLP, Boston, Massachusetts. Jefferies LLC is being represented in connection with this offering by Wilmer Cutler Pickering Hale and Dorr LLP, New York, New York.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000"/>
          </w:cols>
          <w:pgMar w:left="320" w:top="459" w:right="5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24"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consolidated financial statements of Disc Medicine, Inc. appearing in Disc Medicine, Inc.’s Annual Report (Form 10-K) for the years ended December 31, 2022 and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100"/>
          </w:cols>
          <w:pgMar w:left="320" w:top="459"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24" w:lineRule="exact"/>
        <w:rPr>
          <w:sz w:val="20"/>
          <w:szCs w:val="20"/>
          <w:color w:val="auto"/>
        </w:rPr>
      </w:pPr>
    </w:p>
    <w:p>
      <w:pPr>
        <w:jc w:val="both"/>
        <w:ind w:left="120" w:right="260"/>
        <w:spacing w:after="0" w:line="245"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on our investor website at www.discmedicine.com. Our website is not a part of this prospectus supplement and is not incorporated by reference in this prospectus supplement or the accompanying base prospectus.</w:t>
      </w:r>
    </w:p>
    <w:p>
      <w:pPr>
        <w:spacing w:after="0" w:line="130"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base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S-16</w:t>
      </w:r>
    </w:p>
    <w:p>
      <w:pPr>
        <w:sectPr>
          <w:pgSz w:w="11900" w:h="16838" w:orient="portrait"/>
          <w:cols w:equalWidth="0" w:num="1">
            <w:col w:w="11060"/>
          </w:cols>
          <w:pgMar w:left="320" w:top="459"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2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between the date of the initial registration statement of which this prospectus supplement forms a part and the effectiveness of the registration statement and following the effectiveness of the registration statement until we terminate or sell all of the securities offered hereby:</w:t>
      </w:r>
    </w:p>
    <w:p>
      <w:pPr>
        <w:spacing w:after="0" w:line="176" w:lineRule="exact"/>
        <w:rPr>
          <w:sz w:val="20"/>
          <w:szCs w:val="20"/>
          <w:color w:val="auto"/>
        </w:rPr>
      </w:pPr>
    </w:p>
    <w:p>
      <w:pPr>
        <w:ind w:left="980" w:hanging="432"/>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Annual Report on Form 10-K for the fiscal year ended December 31, 2022, filed with the SEC on </w:t>
      </w:r>
      <w:hyperlink r:id="rId39">
        <w:r>
          <w:rPr>
            <w:rFonts w:ascii="Arial" w:cs="Arial" w:eastAsia="Arial" w:hAnsi="Arial"/>
            <w:sz w:val="17"/>
            <w:szCs w:val="17"/>
            <w:u w:val="single" w:color="auto"/>
            <w:color w:val="0000EE"/>
          </w:rPr>
          <w:t>March 31, 2023</w:t>
        </w:r>
      </w:hyperlink>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ind w:left="980" w:right="120" w:hanging="432"/>
        <w:spacing w:after="0" w:line="249" w:lineRule="auto"/>
        <w:tabs>
          <w:tab w:leader="none" w:pos="980" w:val="left"/>
        </w:tabs>
        <w:numPr>
          <w:ilvl w:val="0"/>
          <w:numId w:val="8"/>
        </w:numPr>
        <w:rPr>
          <w:rFonts w:ascii="Arial" w:cs="Arial" w:eastAsia="Arial" w:hAnsi="Arial"/>
          <w:sz w:val="17"/>
          <w:szCs w:val="17"/>
          <w:color w:val="0000EE"/>
        </w:rPr>
      </w:pPr>
      <w:r>
        <w:rPr>
          <w:rFonts w:ascii="Arial" w:cs="Arial" w:eastAsia="Arial" w:hAnsi="Arial"/>
          <w:sz w:val="17"/>
          <w:szCs w:val="17"/>
          <w:color w:val="auto"/>
        </w:rPr>
        <w:t xml:space="preserve">Quarterly Reports on Form 10-Q for the quarters ended March 31, 2023 and June 30, 2023, filed with the SEC on </w:t>
      </w:r>
      <w:hyperlink r:id="rId40">
        <w:r>
          <w:rPr>
            <w:rFonts w:ascii="Arial" w:cs="Arial" w:eastAsia="Arial" w:hAnsi="Arial"/>
            <w:sz w:val="17"/>
            <w:szCs w:val="17"/>
            <w:u w:val="single" w:color="auto"/>
            <w:color w:val="0000EE"/>
          </w:rPr>
          <w:t>May 15, 2023</w:t>
        </w:r>
      </w:hyperlink>
      <w:r>
        <w:rPr>
          <w:rFonts w:ascii="Arial" w:cs="Arial" w:eastAsia="Arial" w:hAnsi="Arial"/>
          <w:sz w:val="17"/>
          <w:szCs w:val="17"/>
          <w:color w:val="auto"/>
        </w:rPr>
        <w:t xml:space="preserve">, and </w:t>
      </w:r>
      <w:hyperlink r:id="rId41">
        <w:r>
          <w:rPr>
            <w:rFonts w:ascii="Arial" w:cs="Arial" w:eastAsia="Arial" w:hAnsi="Arial"/>
            <w:sz w:val="17"/>
            <w:szCs w:val="17"/>
            <w:u w:val="single" w:color="auto"/>
            <w:color w:val="0000EE"/>
          </w:rPr>
          <w:t>August 11, 2023</w:t>
        </w:r>
        <w:r>
          <w:rPr>
            <w:rFonts w:ascii="Arial" w:cs="Arial" w:eastAsia="Arial" w:hAnsi="Arial"/>
            <w:sz w:val="17"/>
            <w:szCs w:val="17"/>
            <w:color w:val="0000EE"/>
          </w:rPr>
          <w:t xml:space="preserve"> </w:t>
        </w:r>
      </w:hyperlink>
      <w:r>
        <w:rPr>
          <w:rFonts w:ascii="Arial" w:cs="Arial" w:eastAsia="Arial" w:hAnsi="Arial"/>
          <w:sz w:val="17"/>
          <w:szCs w:val="17"/>
          <w:color w:val="000000"/>
        </w:rPr>
        <w:t>respectively;</w:t>
      </w:r>
    </w:p>
    <w:p>
      <w:pPr>
        <w:spacing w:after="0" w:line="12" w:lineRule="exact"/>
        <w:rPr>
          <w:rFonts w:ascii="Arial" w:cs="Arial" w:eastAsia="Arial" w:hAnsi="Arial"/>
          <w:sz w:val="17"/>
          <w:szCs w:val="17"/>
          <w:color w:val="0000EE"/>
        </w:rPr>
      </w:pPr>
    </w:p>
    <w:p>
      <w:pPr>
        <w:ind w:left="980" w:right="20" w:hanging="432"/>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Current Reports on Form 8-K filed with the SEC on </w:t>
      </w:r>
      <w:hyperlink r:id="rId42">
        <w:r>
          <w:rPr>
            <w:rFonts w:ascii="Arial" w:cs="Arial" w:eastAsia="Arial" w:hAnsi="Arial"/>
            <w:sz w:val="17"/>
            <w:szCs w:val="17"/>
            <w:u w:val="single" w:color="auto"/>
            <w:color w:val="0000EE"/>
          </w:rPr>
          <w:t>December 29, 2022</w:t>
        </w:r>
      </w:hyperlink>
      <w:r>
        <w:rPr>
          <w:rFonts w:ascii="Arial" w:cs="Arial" w:eastAsia="Arial" w:hAnsi="Arial"/>
          <w:sz w:val="17"/>
          <w:szCs w:val="17"/>
          <w:color w:val="auto"/>
        </w:rPr>
        <w:t xml:space="preserve">, </w:t>
      </w:r>
      <w:hyperlink r:id="rId43">
        <w:r>
          <w:rPr>
            <w:rFonts w:ascii="Arial" w:cs="Arial" w:eastAsia="Arial" w:hAnsi="Arial"/>
            <w:sz w:val="17"/>
            <w:szCs w:val="17"/>
            <w:u w:val="single" w:color="auto"/>
            <w:color w:val="0000EE"/>
          </w:rPr>
          <w:t>January 23,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(excluding information furnished pursuant to Item 7.01), </w:t>
      </w:r>
      <w:hyperlink r:id="rId44">
        <w:r>
          <w:rPr>
            <w:rFonts w:ascii="Arial" w:cs="Arial" w:eastAsia="Arial" w:hAnsi="Arial"/>
            <w:sz w:val="17"/>
            <w:szCs w:val="17"/>
            <w:u w:val="single" w:color="auto"/>
            <w:color w:val="0000EE"/>
          </w:rPr>
          <w:t>January 25, 2023</w:t>
        </w:r>
      </w:hyperlink>
      <w:r>
        <w:rPr>
          <w:rFonts w:ascii="Arial" w:cs="Arial" w:eastAsia="Arial" w:hAnsi="Arial"/>
          <w:sz w:val="17"/>
          <w:szCs w:val="17"/>
          <w:color w:val="auto"/>
        </w:rPr>
        <w:t xml:space="preserve">, </w:t>
      </w:r>
      <w:hyperlink r:id="rId45">
        <w:r>
          <w:rPr>
            <w:rFonts w:ascii="Arial" w:cs="Arial" w:eastAsia="Arial" w:hAnsi="Arial"/>
            <w:sz w:val="17"/>
            <w:szCs w:val="17"/>
            <w:u w:val="single" w:color="auto"/>
            <w:color w:val="0000EE"/>
          </w:rPr>
          <w:t>February 14,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(excluding information furnished pursuant to Item 7.01), </w:t>
      </w:r>
      <w:hyperlink r:id="rId46">
        <w:r>
          <w:rPr>
            <w:rFonts w:ascii="Arial" w:cs="Arial" w:eastAsia="Arial" w:hAnsi="Arial"/>
            <w:sz w:val="17"/>
            <w:szCs w:val="17"/>
            <w:u w:val="single" w:color="auto"/>
            <w:color w:val="0000EE"/>
          </w:rPr>
          <w:t>March 31, 2023</w:t>
        </w:r>
      </w:hyperlink>
      <w:r>
        <w:rPr>
          <w:rFonts w:ascii="Arial" w:cs="Arial" w:eastAsia="Arial" w:hAnsi="Arial"/>
          <w:sz w:val="17"/>
          <w:szCs w:val="17"/>
          <w:color w:val="auto"/>
        </w:rPr>
        <w:t xml:space="preserve"> (excluding information furnished pursuant to Item 2.02), </w:t>
      </w:r>
      <w:hyperlink r:id="rId47">
        <w:r>
          <w:rPr>
            <w:rFonts w:ascii="Arial" w:cs="Arial" w:eastAsia="Arial" w:hAnsi="Arial"/>
            <w:sz w:val="17"/>
            <w:szCs w:val="17"/>
            <w:u w:val="single" w:color="auto"/>
            <w:color w:val="0000EE"/>
          </w:rPr>
          <w:t>April 19, 2023</w:t>
        </w:r>
      </w:hyperlink>
      <w:r>
        <w:rPr>
          <w:rFonts w:ascii="Arial" w:cs="Arial" w:eastAsia="Arial" w:hAnsi="Arial"/>
          <w:sz w:val="17"/>
          <w:szCs w:val="17"/>
          <w:color w:val="auto"/>
        </w:rPr>
        <w:t xml:space="preserve">, </w:t>
      </w:r>
      <w:hyperlink r:id="rId48">
        <w:r>
          <w:rPr>
            <w:rFonts w:ascii="Arial" w:cs="Arial" w:eastAsia="Arial" w:hAnsi="Arial"/>
            <w:sz w:val="17"/>
            <w:szCs w:val="17"/>
            <w:u w:val="single" w:color="auto"/>
            <w:color w:val="0000EE"/>
          </w:rPr>
          <w:t>June 9,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(excluding information furnished pursuant to Item 7.01), </w:t>
      </w:r>
      <w:hyperlink r:id="rId49">
        <w:r>
          <w:rPr>
            <w:rFonts w:ascii="Arial" w:cs="Arial" w:eastAsia="Arial" w:hAnsi="Arial"/>
            <w:sz w:val="17"/>
            <w:szCs w:val="17"/>
            <w:u w:val="single" w:color="auto"/>
            <w:color w:val="0000EE"/>
          </w:rPr>
          <w:t>June 9, 2023</w:t>
        </w:r>
      </w:hyperlink>
      <w:r>
        <w:rPr>
          <w:rFonts w:ascii="Arial" w:cs="Arial" w:eastAsia="Arial" w:hAnsi="Arial"/>
          <w:sz w:val="17"/>
          <w:szCs w:val="17"/>
          <w:color w:val="auto"/>
        </w:rPr>
        <w:t xml:space="preserve">, </w:t>
      </w:r>
      <w:hyperlink r:id="rId50">
        <w:r>
          <w:rPr>
            <w:rFonts w:ascii="Arial" w:cs="Arial" w:eastAsia="Arial" w:hAnsi="Arial"/>
            <w:sz w:val="17"/>
            <w:szCs w:val="17"/>
            <w:u w:val="single" w:color="auto"/>
            <w:color w:val="0000EE"/>
          </w:rPr>
          <w:t>June 12, 2023</w:t>
        </w:r>
      </w:hyperlink>
      <w:r>
        <w:rPr>
          <w:rFonts w:ascii="Arial" w:cs="Arial" w:eastAsia="Arial" w:hAnsi="Arial"/>
          <w:sz w:val="17"/>
          <w:szCs w:val="17"/>
          <w:color w:val="auto"/>
        </w:rPr>
        <w:t xml:space="preserve">, </w:t>
      </w:r>
      <w:hyperlink r:id="rId51">
        <w:r>
          <w:rPr>
            <w:rFonts w:ascii="Arial" w:cs="Arial" w:eastAsia="Arial" w:hAnsi="Arial"/>
            <w:sz w:val="17"/>
            <w:szCs w:val="17"/>
            <w:u w:val="single" w:color="auto"/>
            <w:color w:val="0000EE"/>
          </w:rPr>
          <w:t>June 16, 2023</w:t>
        </w:r>
      </w:hyperlink>
      <w:r>
        <w:rPr>
          <w:rFonts w:ascii="Arial" w:cs="Arial" w:eastAsia="Arial" w:hAnsi="Arial"/>
          <w:sz w:val="17"/>
          <w:szCs w:val="17"/>
          <w:color w:val="auto"/>
        </w:rPr>
        <w:t xml:space="preserve">, and </w:t>
      </w:r>
      <w:hyperlink r:id="rId52">
        <w:r>
          <w:rPr>
            <w:rFonts w:ascii="Arial" w:cs="Arial" w:eastAsia="Arial" w:hAnsi="Arial"/>
            <w:sz w:val="17"/>
            <w:szCs w:val="17"/>
            <w:u w:val="single" w:color="auto"/>
            <w:color w:val="0000EE"/>
          </w:rPr>
          <w:t>September 29, 2023</w:t>
        </w:r>
      </w:hyperlink>
      <w:r>
        <w:rPr>
          <w:rFonts w:ascii="Arial" w:cs="Arial" w:eastAsia="Arial" w:hAnsi="Arial"/>
          <w:sz w:val="17"/>
          <w:szCs w:val="17"/>
          <w:color w:val="auto"/>
        </w:rPr>
        <w:t>; and</w:t>
      </w:r>
    </w:p>
    <w:p>
      <w:pPr>
        <w:spacing w:after="0" w:line="14" w:lineRule="exact"/>
        <w:rPr>
          <w:rFonts w:ascii="Arial" w:cs="Arial" w:eastAsia="Arial" w:hAnsi="Arial"/>
          <w:sz w:val="17"/>
          <w:szCs w:val="17"/>
          <w:color w:val="auto"/>
        </w:rPr>
      </w:pPr>
    </w:p>
    <w:p>
      <w:pPr>
        <w:ind w:left="980" w:right="40" w:hanging="432"/>
        <w:spacing w:after="0" w:line="238" w:lineRule="auto"/>
        <w:tabs>
          <w:tab w:leader="none" w:pos="980" w:val="left"/>
        </w:tabs>
        <w:numPr>
          <w:ilvl w:val="0"/>
          <w:numId w:val="8"/>
        </w:numPr>
        <w:rPr>
          <w:rFonts w:ascii="Arial" w:cs="Arial" w:eastAsia="Arial" w:hAnsi="Arial"/>
          <w:sz w:val="17"/>
          <w:szCs w:val="17"/>
          <w:color w:val="0000EE"/>
        </w:rPr>
      </w:pPr>
      <w:r>
        <w:rPr>
          <w:rFonts w:ascii="Arial" w:cs="Arial" w:eastAsia="Arial" w:hAnsi="Arial"/>
          <w:sz w:val="17"/>
          <w:szCs w:val="17"/>
          <w:color w:val="auto"/>
        </w:rPr>
        <w:t xml:space="preserve">The description of our common stock contained in our Registration Statement on Form 8-A filed with the SEC on </w:t>
      </w:r>
      <w:hyperlink r:id="rId53">
        <w:r>
          <w:rPr>
            <w:rFonts w:ascii="Arial" w:cs="Arial" w:eastAsia="Arial" w:hAnsi="Arial"/>
            <w:sz w:val="17"/>
            <w:szCs w:val="17"/>
            <w:u w:val="single" w:color="auto"/>
            <w:color w:val="0000EE"/>
          </w:rPr>
          <w:t>August 10, 2020</w:t>
        </w:r>
      </w:hyperlink>
      <w:r>
        <w:rPr>
          <w:rFonts w:ascii="Arial" w:cs="Arial" w:eastAsia="Arial" w:hAnsi="Arial"/>
          <w:sz w:val="17"/>
          <w:szCs w:val="17"/>
          <w:color w:val="auto"/>
        </w:rPr>
        <w:t xml:space="preserve">, and as set forth by the description of the Registrant’s common stock set forth in </w:t>
      </w:r>
      <w:hyperlink r:id="rId54">
        <w:r>
          <w:rPr>
            <w:rFonts w:ascii="Arial" w:cs="Arial" w:eastAsia="Arial" w:hAnsi="Arial"/>
            <w:sz w:val="17"/>
            <w:szCs w:val="17"/>
            <w:u w:val="single" w:color="auto"/>
            <w:color w:val="0000EE"/>
          </w:rPr>
          <w:t>Exhibit 4.4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Registrant’s Annual Report on Form 10-K for the year ended December 31, 2021, filed with the SEC on </w:t>
      </w:r>
      <w:hyperlink r:id="rId55">
        <w:r>
          <w:rPr>
            <w:rFonts w:ascii="Arial" w:cs="Arial" w:eastAsia="Arial" w:hAnsi="Arial"/>
            <w:sz w:val="17"/>
            <w:szCs w:val="17"/>
            <w:u w:val="single" w:color="auto"/>
            <w:color w:val="0000EE"/>
          </w:rPr>
          <w:t>March 10, 2022</w:t>
        </w:r>
      </w:hyperlink>
      <w:r>
        <w:rPr>
          <w:rFonts w:ascii="Arial" w:cs="Arial" w:eastAsia="Arial" w:hAnsi="Arial"/>
          <w:sz w:val="17"/>
          <w:szCs w:val="17"/>
          <w:color w:val="auto"/>
        </w:rPr>
        <w:t xml:space="preserve">, and as further supplemented by the description of </w:t>
      </w:r>
      <w:hyperlink r:id="rId56">
        <w:r>
          <w:rPr>
            <w:rFonts w:ascii="Arial" w:cs="Arial" w:eastAsia="Arial" w:hAnsi="Arial"/>
            <w:sz w:val="17"/>
            <w:szCs w:val="17"/>
            <w:color w:val="auto"/>
          </w:rPr>
          <w:t xml:space="preserve">the Registrant’s common stock set forth in the Registrant’s Registration Statement on Form S-4/A, filed with the SEC on </w:t>
        </w:r>
        <w:r>
          <w:rPr>
            <w:rFonts w:ascii="Arial" w:cs="Arial" w:eastAsia="Arial" w:hAnsi="Arial"/>
            <w:sz w:val="17"/>
            <w:szCs w:val="17"/>
            <w:u w:val="single" w:color="auto"/>
            <w:color w:val="0000EE"/>
          </w:rPr>
          <w:t>December 1,</w:t>
        </w:r>
      </w:hyperlink>
      <w:r>
        <w:rPr>
          <w:rFonts w:ascii="Arial" w:cs="Arial" w:eastAsia="Arial" w:hAnsi="Arial"/>
          <w:sz w:val="17"/>
          <w:szCs w:val="17"/>
          <w:color w:val="auto"/>
        </w:rPr>
        <w:t xml:space="preserve"> </w:t>
      </w:r>
      <w:hyperlink r:id="rId56">
        <w:r>
          <w:rPr>
            <w:rFonts w:ascii="Arial" w:cs="Arial" w:eastAsia="Arial" w:hAnsi="Arial"/>
            <w:sz w:val="17"/>
            <w:szCs w:val="17"/>
            <w:u w:val="single" w:color="auto"/>
            <w:color w:val="0000EE"/>
          </w:rPr>
          <w:t>2022</w:t>
        </w:r>
        <w:r>
          <w:rPr>
            <w:rFonts w:ascii="Arial" w:cs="Arial" w:eastAsia="Arial" w:hAnsi="Arial"/>
            <w:sz w:val="17"/>
            <w:szCs w:val="17"/>
            <w:color w:val="000000"/>
          </w:rPr>
          <w:t>, including any amendments or reports filed for the purpose of updating such description.</w:t>
        </w:r>
      </w:hyperlink>
    </w:p>
    <w:p>
      <w:pPr>
        <w:spacing w:after="0" w:line="138" w:lineRule="exact"/>
        <w:rPr>
          <w:rFonts w:ascii="Arial" w:cs="Arial" w:eastAsia="Arial" w:hAnsi="Arial"/>
          <w:sz w:val="17"/>
          <w:szCs w:val="17"/>
          <w:color w:val="auto"/>
        </w:rPr>
      </w:pPr>
    </w:p>
    <w:p>
      <w:pPr>
        <w:ind w:left="120"/>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 or telephone number:</w:t>
      </w:r>
    </w:p>
    <w:p>
      <w:pPr>
        <w:spacing w:after="0" w:line="156"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7"/>
          <w:szCs w:val="17"/>
          <w:color w:val="auto"/>
        </w:rPr>
        <w:t>Disc Medicine, Inc.</w:t>
      </w:r>
    </w:p>
    <w:p>
      <w:pPr>
        <w:jc w:val="center"/>
        <w:ind w:right="-139"/>
        <w:spacing w:after="0"/>
        <w:rPr>
          <w:sz w:val="20"/>
          <w:szCs w:val="20"/>
          <w:color w:val="auto"/>
        </w:rPr>
      </w:pPr>
      <w:r>
        <w:rPr>
          <w:rFonts w:ascii="Arial" w:cs="Arial" w:eastAsia="Arial" w:hAnsi="Arial"/>
          <w:sz w:val="17"/>
          <w:szCs w:val="17"/>
          <w:color w:val="auto"/>
        </w:rPr>
        <w:t>321 Arsenal Street, Suite 101</w:t>
      </w:r>
    </w:p>
    <w:p>
      <w:pPr>
        <w:jc w:val="center"/>
        <w:ind w:right="-139"/>
        <w:spacing w:after="0" w:line="232" w:lineRule="auto"/>
        <w:rPr>
          <w:sz w:val="20"/>
          <w:szCs w:val="20"/>
          <w:color w:val="auto"/>
        </w:rPr>
      </w:pPr>
      <w:r>
        <w:rPr>
          <w:rFonts w:ascii="Arial" w:cs="Arial" w:eastAsia="Arial" w:hAnsi="Arial"/>
          <w:sz w:val="17"/>
          <w:szCs w:val="17"/>
          <w:color w:val="auto"/>
        </w:rPr>
        <w:t>Watertown, MA 02472</w:t>
      </w:r>
    </w:p>
    <w:p>
      <w:pPr>
        <w:jc w:val="center"/>
        <w:ind w:right="-139"/>
        <w:spacing w:after="0" w:line="232" w:lineRule="auto"/>
        <w:rPr>
          <w:sz w:val="20"/>
          <w:szCs w:val="20"/>
          <w:color w:val="auto"/>
        </w:rPr>
      </w:pPr>
      <w:r>
        <w:rPr>
          <w:rFonts w:ascii="Arial" w:cs="Arial" w:eastAsia="Arial" w:hAnsi="Arial"/>
          <w:sz w:val="17"/>
          <w:szCs w:val="17"/>
          <w:color w:val="auto"/>
        </w:rPr>
        <w:t>Attn: Investor Relations</w:t>
      </w:r>
    </w:p>
    <w:p>
      <w:pPr>
        <w:jc w:val="center"/>
        <w:ind w:right="-139"/>
        <w:spacing w:after="0"/>
        <w:rPr>
          <w:sz w:val="20"/>
          <w:szCs w:val="20"/>
          <w:color w:val="auto"/>
        </w:rPr>
      </w:pPr>
      <w:r>
        <w:rPr>
          <w:rFonts w:ascii="Arial" w:cs="Arial" w:eastAsia="Arial" w:hAnsi="Arial"/>
          <w:sz w:val="17"/>
          <w:szCs w:val="17"/>
          <w:color w:val="auto"/>
        </w:rPr>
        <w:t>(617) 674-9274</w:t>
      </w:r>
    </w:p>
    <w:p>
      <w:pPr>
        <w:spacing w:after="0" w:line="138" w:lineRule="exact"/>
        <w:rPr>
          <w:rFonts w:ascii="Arial" w:cs="Arial" w:eastAsia="Arial" w:hAnsi="Arial"/>
          <w:sz w:val="17"/>
          <w:szCs w:val="17"/>
          <w:color w:val="auto"/>
        </w:rPr>
      </w:pPr>
    </w:p>
    <w:p>
      <w:pPr>
        <w:ind w:left="120" w:right="320"/>
        <w:spacing w:after="0" w:line="243" w:lineRule="auto"/>
        <w:rPr>
          <w:sz w:val="20"/>
          <w:szCs w:val="20"/>
          <w:color w:val="auto"/>
        </w:rPr>
      </w:pPr>
      <w:r>
        <w:rPr>
          <w:rFonts w:ascii="Arial" w:cs="Arial" w:eastAsia="Arial" w:hAnsi="Arial"/>
          <w:sz w:val="17"/>
          <w:szCs w:val="17"/>
          <w:color w:val="auto"/>
        </w:rPr>
        <w:t xml:space="preserve">You may also access these documents,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on our website at </w:t>
      </w:r>
      <w:r>
        <w:rPr>
          <w:rFonts w:ascii="Arial" w:cs="Arial" w:eastAsia="Arial" w:hAnsi="Arial"/>
          <w:sz w:val="17"/>
          <w:szCs w:val="17"/>
          <w:i w:val="1"/>
          <w:iCs w:val="1"/>
          <w:color w:val="auto"/>
        </w:rPr>
        <w:t>www.discmedicine.com</w:t>
      </w:r>
      <w:r>
        <w:rPr>
          <w:rFonts w:ascii="Arial" w:cs="Arial" w:eastAsia="Arial" w:hAnsi="Arial"/>
          <w:sz w:val="17"/>
          <w:szCs w:val="17"/>
          <w:color w:val="auto"/>
        </w:rPr>
        <w:t>. Information contained on our website is not incorporated by reference into this prospectus supplement or the accompanying base prospectus, and you should not consider any information on, or that can be accessed from, our website as part of this prospectus supplement or the accompanying base prospectus.</w:t>
      </w:r>
    </w:p>
    <w:p>
      <w:pPr>
        <w:spacing w:after="0" w:line="132" w:lineRule="exact"/>
        <w:rPr>
          <w:rFonts w:ascii="Arial" w:cs="Arial" w:eastAsia="Arial" w:hAnsi="Arial"/>
          <w:sz w:val="17"/>
          <w:szCs w:val="17"/>
          <w:color w:val="auto"/>
        </w:rPr>
      </w:pPr>
    </w:p>
    <w:p>
      <w:pPr>
        <w:ind w:left="120"/>
        <w:spacing w:after="0" w:line="245" w:lineRule="auto"/>
        <w:rPr>
          <w:sz w:val="20"/>
          <w:szCs w:val="20"/>
          <w:color w:val="auto"/>
        </w:rPr>
      </w:pPr>
      <w:r>
        <w:rPr>
          <w:rFonts w:ascii="Arial" w:cs="Arial" w:eastAsia="Arial" w:hAnsi="Arial"/>
          <w:sz w:val="17"/>
          <w:szCs w:val="17"/>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base prospectus.</w:t>
      </w:r>
    </w:p>
    <w:p>
      <w:pPr>
        <w:spacing w:after="0" w:line="130" w:lineRule="exact"/>
        <w:rPr>
          <w:rFonts w:ascii="Arial" w:cs="Arial" w:eastAsia="Arial" w:hAnsi="Arial"/>
          <w:sz w:val="17"/>
          <w:szCs w:val="17"/>
          <w:color w:val="auto"/>
        </w:rPr>
      </w:pPr>
    </w:p>
    <w:p>
      <w:pPr>
        <w:ind w:left="120" w:right="60"/>
        <w:spacing w:after="0" w:line="245" w:lineRule="auto"/>
        <w:rPr>
          <w:sz w:val="20"/>
          <w:szCs w:val="20"/>
          <w:color w:val="auto"/>
        </w:rPr>
      </w:pPr>
      <w:r>
        <w:rPr>
          <w:rFonts w:ascii="Arial" w:cs="Arial" w:eastAsia="Arial" w:hAnsi="Arial"/>
          <w:sz w:val="17"/>
          <w:szCs w:val="17"/>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25"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6"/>
          <w:szCs w:val="16"/>
          <w:color w:val="auto"/>
        </w:rPr>
        <w:t>S-17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$300,000,000</w:t>
      </w:r>
    </w:p>
    <w:p>
      <w:pPr>
        <w:spacing w:after="0" w:line="22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Units</w:t>
      </w:r>
    </w:p>
    <w:p>
      <w:pPr>
        <w:spacing w:after="0" w:line="206"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From time to time, we may offer and sell up to $300,000,000 in aggregate principal amount of our Common Stock, Preferred Stock, Debt Securities, Warrants or Units, in each case in one or more issuances and at prices and on terms that we will determine at the time of the offering.</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“IRON.” On January 13, 2023, the closing price of our common stock, as reported on The Nasdaq Global Market, was $19.25 per share.</w:t>
      </w:r>
    </w:p>
    <w:p>
      <w:pPr>
        <w:spacing w:after="0" w:line="265" w:lineRule="exact"/>
        <w:rPr>
          <w:sz w:val="20"/>
          <w:szCs w:val="20"/>
          <w:color w:val="auto"/>
        </w:rPr>
      </w:pPr>
    </w:p>
    <w:p>
      <w:pPr>
        <w:ind w:left="120" w:right="260"/>
        <w:spacing w:after="0" w:line="251" w:lineRule="auto"/>
        <w:rPr>
          <w:sz w:val="20"/>
          <w:szCs w:val="20"/>
          <w:color w:val="auto"/>
        </w:rPr>
      </w:pPr>
      <w:r>
        <w:rPr>
          <w:rFonts w:ascii="Arial" w:cs="Arial" w:eastAsia="Arial" w:hAnsi="Arial"/>
          <w:sz w:val="21"/>
          <w:szCs w:val="21"/>
          <w:b w:val="1"/>
          <w:bCs w:val="1"/>
          <w:color w:val="auto"/>
        </w:rPr>
        <w:t>Investing in our securities involves risks. You should review carefully the risks and uncertainties described under the heading “</w:t>
      </w:r>
      <w:r>
        <w:rPr>
          <w:rFonts w:ascii="Arial" w:cs="Arial" w:eastAsia="Arial" w:hAnsi="Arial"/>
          <w:sz w:val="21"/>
          <w:szCs w:val="21"/>
          <w:b w:val="1"/>
          <w:bCs w:val="1"/>
          <w:i w:val="1"/>
          <w:iCs w:val="1"/>
          <w:u w:val="single" w:color="auto"/>
          <w:color w:val="0000EE"/>
        </w:rPr>
        <w:t>Risk Factors</w:t>
      </w:r>
      <w:r>
        <w:rPr>
          <w:rFonts w:ascii="Arial" w:cs="Arial" w:eastAsia="Arial" w:hAnsi="Arial"/>
          <w:sz w:val="21"/>
          <w:szCs w:val="21"/>
          <w:b w:val="1"/>
          <w:bCs w:val="1"/>
          <w:color w:val="auto"/>
        </w:rPr>
        <w:t>” on page 10 of this prospectus and under any similar heading in the documents that are incorporated by reference into this prospectus, as well as “</w:t>
      </w:r>
      <w:r>
        <w:rPr>
          <w:rFonts w:ascii="Arial" w:cs="Arial" w:eastAsia="Arial" w:hAnsi="Arial"/>
          <w:sz w:val="21"/>
          <w:szCs w:val="21"/>
          <w:b w:val="1"/>
          <w:bCs w:val="1"/>
          <w:i w:val="1"/>
          <w:iCs w:val="1"/>
          <w:color w:val="auto"/>
        </w:rPr>
        <w:t>Special Note Regarding Forward-Looking Statements</w:t>
      </w:r>
      <w:r>
        <w:rPr>
          <w:rFonts w:ascii="Arial" w:cs="Arial" w:eastAsia="Arial" w:hAnsi="Arial"/>
          <w:sz w:val="21"/>
          <w:szCs w:val="21"/>
          <w:b w:val="1"/>
          <w:bCs w:val="1"/>
          <w:color w:val="auto"/>
        </w:rPr>
        <w:t>” on page 4 of this prospectus. You should read the entire prospectus and any applicable prospectus supplement carefully before you make your investment decision.</w:t>
      </w:r>
    </w:p>
    <w:p>
      <w:pPr>
        <w:spacing w:after="0" w:line="18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Arial" w:cs="Arial" w:eastAsia="Arial" w:hAnsi="Arial"/>
          <w:sz w:val="18"/>
          <w:szCs w:val="18"/>
          <w:i w:val="1"/>
          <w:iCs w:val="1"/>
          <w:color w:val="auto"/>
        </w:rPr>
        <w:t>Plan</w:t>
      </w:r>
      <w:r>
        <w:rPr>
          <w:rFonts w:ascii="Arial" w:cs="Arial" w:eastAsia="Arial" w:hAnsi="Arial"/>
          <w:sz w:val="18"/>
          <w:szCs w:val="18"/>
          <w:color w:val="auto"/>
        </w:rPr>
        <w:t xml:space="preserve"> </w:t>
      </w:r>
      <w:r>
        <w:rPr>
          <w:rFonts w:ascii="Arial" w:cs="Arial" w:eastAsia="Arial" w:hAnsi="Arial"/>
          <w:sz w:val="18"/>
          <w:szCs w:val="18"/>
          <w:i w:val="1"/>
          <w:iCs w:val="1"/>
          <w:color w:val="auto"/>
        </w:rPr>
        <w:t>of Distribution</w:t>
      </w:r>
      <w:r>
        <w:rPr>
          <w:rFonts w:ascii="Arial" w:cs="Arial" w:eastAsia="Arial" w:hAnsi="Arial"/>
          <w:sz w:val="18"/>
          <w:szCs w:val="18"/>
          <w:color w:val="auto"/>
        </w:rPr>
        <w:t>” in this prospectus. We will also describe in an applicable prospectus supplement the way(s) in which we expect to use the net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we receive from any sale.</w:t>
      </w:r>
    </w:p>
    <w:p>
      <w:pPr>
        <w:spacing w:after="0" w:line="184"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January 24, 2023.</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8000" w:type="dxa"/>
            <w:vAlign w:val="bottom"/>
            <w:gridSpan w:val="18"/>
          </w:tcPr>
          <w:p>
            <w:pPr>
              <w:spacing w:after="0" w:line="190" w:lineRule="exact"/>
              <w:rPr>
                <w:sz w:val="20"/>
                <w:szCs w:val="20"/>
                <w:color w:val="auto"/>
              </w:rPr>
            </w:pPr>
            <w:r>
              <w:rPr>
                <w:rFonts w:ascii="Arial" w:cs="Arial" w:eastAsia="Arial" w:hAnsi="Arial"/>
                <w:sz w:val="18"/>
                <w:szCs w:val="18"/>
                <w:color w:val="0000EE"/>
              </w:rPr>
              <w:t>ABOUT THIS PROSPECTUS</w:t>
            </w:r>
          </w:p>
        </w:tc>
        <w:tc>
          <w:tcPr>
            <w:tcW w:w="29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6"/>
              </w:rPr>
              <w:t>ABOUT THE COMPANY</w:t>
            </w:r>
          </w:p>
        </w:tc>
        <w:tc>
          <w:tcPr>
            <w:tcW w:w="338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RISK FACTORS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SELECTED FINANCIAL DATA</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6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USE OF PROCEEDS</w:t>
            </w:r>
          </w:p>
        </w:tc>
        <w:tc>
          <w:tcPr>
            <w:tcW w:w="820" w:type="dxa"/>
            <w:vAlign w:val="bottom"/>
            <w:tcBorders>
              <w:top w:val="single" w:sz="8" w:color="0000EE"/>
            </w:tcBorders>
            <w:gridSpan w:val="5"/>
          </w:tcPr>
          <w:p>
            <w:pPr>
              <w:spacing w:after="0"/>
              <w:rPr>
                <w:sz w:val="17"/>
                <w:szCs w:val="17"/>
                <w:color w:val="auto"/>
              </w:rPr>
            </w:pPr>
          </w:p>
        </w:tc>
        <w:tc>
          <w:tcPr>
            <w:tcW w:w="55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DIVIDEND POLICY</w:t>
            </w:r>
          </w:p>
        </w:tc>
        <w:tc>
          <w:tcPr>
            <w:tcW w:w="642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38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PLAN OF DISTRIBUTION</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EXPERTS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61"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This prospectus is part of a registration statement on Form S-3 that we have filed with the Securities and Exchange Commission, or the SEC, using a “shelf” registration process.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this process, we may sell the securities described in this prospectus in one or more offerings for an aggregate offering amount of up to</w:t>
      </w:r>
    </w:p>
    <w:p>
      <w:pPr>
        <w:spacing w:after="0" w:line="35"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$300,000,000.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6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Arial" w:cs="Arial" w:eastAsia="Arial" w:hAnsi="Arial"/>
          <w:sz w:val="16"/>
          <w:szCs w:val="16"/>
          <w:i w:val="1"/>
          <w:iCs w:val="1"/>
          <w:color w:val="auto"/>
        </w:rPr>
        <w:t>Where You Can Find More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and “</w:t>
      </w:r>
      <w:r>
        <w:rPr>
          <w:rFonts w:ascii="Arial" w:cs="Arial" w:eastAsia="Arial" w:hAnsi="Arial"/>
          <w:sz w:val="16"/>
          <w:szCs w:val="16"/>
          <w:i w:val="1"/>
          <w:iCs w:val="1"/>
          <w:color w:val="auto"/>
        </w:rPr>
        <w:t>Incorporation of Certain Information by Reference</w:t>
      </w:r>
      <w:r>
        <w:rPr>
          <w:rFonts w:ascii="Arial" w:cs="Arial" w:eastAsia="Arial" w:hAnsi="Arial"/>
          <w:sz w:val="16"/>
          <w:szCs w:val="16"/>
          <w:color w:val="auto"/>
        </w:rPr>
        <w:t>” in both this prospectus and the applicable prospectus supplement, and in</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66"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4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 xml:space="preserve">We also make these documents available on our website at </w:t>
      </w:r>
      <w:r>
        <w:rPr>
          <w:rFonts w:ascii="Arial" w:cs="Arial" w:eastAsia="Arial" w:hAnsi="Arial"/>
          <w:sz w:val="18"/>
          <w:szCs w:val="18"/>
          <w:i w:val="1"/>
          <w:iCs w:val="1"/>
          <w:color w:val="auto"/>
        </w:rPr>
        <w:t>www.discmedicine.com</w:t>
      </w:r>
      <w:r>
        <w:rPr>
          <w:rFonts w:ascii="Arial" w:cs="Arial" w:eastAsia="Arial" w:hAnsi="Arial"/>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100"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Annual Report on Form 10-K for the fiscal year ended December 31, 2021, filed with the SEC on </w:t>
      </w:r>
      <w:hyperlink r:id="rId55">
        <w:r>
          <w:rPr>
            <w:rFonts w:ascii="Arial" w:cs="Arial" w:eastAsia="Arial" w:hAnsi="Arial"/>
            <w:sz w:val="18"/>
            <w:szCs w:val="18"/>
            <w:u w:val="single" w:color="auto"/>
            <w:color w:val="0000EE"/>
          </w:rPr>
          <w:t>March 10,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9"/>
        </w:numPr>
        <w:rPr>
          <w:rFonts w:ascii="Arial" w:cs="Arial" w:eastAsia="Arial" w:hAnsi="Arial"/>
          <w:sz w:val="18"/>
          <w:szCs w:val="18"/>
          <w:color w:val="0000EE"/>
        </w:rPr>
      </w:pPr>
      <w:r>
        <w:rPr>
          <w:rFonts w:ascii="Arial" w:cs="Arial" w:eastAsia="Arial" w:hAnsi="Arial"/>
          <w:sz w:val="18"/>
          <w:szCs w:val="18"/>
          <w:color w:val="auto"/>
        </w:rPr>
        <w:t xml:space="preserve">Quarterly Reports on Form 10-Q for the quarters ended March 31, 2022, June 30, 2022 and September 30, 2022, filed with the SEC on </w:t>
      </w:r>
      <w:hyperlink r:id="rId61">
        <w:r>
          <w:rPr>
            <w:rFonts w:ascii="Arial" w:cs="Arial" w:eastAsia="Arial" w:hAnsi="Arial"/>
            <w:sz w:val="18"/>
            <w:szCs w:val="18"/>
            <w:u w:val="single" w:color="auto"/>
            <w:color w:val="0000EE"/>
          </w:rPr>
          <w:t>May 6, 2022</w:t>
        </w:r>
      </w:hyperlink>
      <w:r>
        <w:rPr>
          <w:rFonts w:ascii="Arial" w:cs="Arial" w:eastAsia="Arial" w:hAnsi="Arial"/>
          <w:sz w:val="18"/>
          <w:szCs w:val="18"/>
          <w:u w:val="single" w:color="auto"/>
          <w:color w:val="000000"/>
        </w:rPr>
        <w:t>,</w:t>
      </w:r>
      <w:r>
        <w:rPr>
          <w:rFonts w:ascii="Arial" w:cs="Arial" w:eastAsia="Arial" w:hAnsi="Arial"/>
          <w:sz w:val="18"/>
          <w:szCs w:val="18"/>
          <w:color w:val="0000EE"/>
        </w:rPr>
        <w:t xml:space="preserve"> </w:t>
      </w:r>
      <w:hyperlink r:id="rId62">
        <w:r>
          <w:rPr>
            <w:rFonts w:ascii="Arial" w:cs="Arial" w:eastAsia="Arial" w:hAnsi="Arial"/>
            <w:sz w:val="18"/>
            <w:szCs w:val="18"/>
            <w:u w:val="single" w:color="auto"/>
            <w:color w:val="0000EE"/>
          </w:rPr>
          <w:t>August 11,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63">
        <w:r>
          <w:rPr>
            <w:rFonts w:ascii="Arial" w:cs="Arial" w:eastAsia="Arial" w:hAnsi="Arial"/>
            <w:sz w:val="18"/>
            <w:szCs w:val="18"/>
            <w:u w:val="single" w:color="auto"/>
            <w:color w:val="0000EE"/>
          </w:rPr>
          <w:t xml:space="preserve">November 11, 2022 </w:t>
        </w:r>
      </w:hyperlink>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260" w:hanging="424"/>
        <w:spacing w:after="0" w:line="301" w:lineRule="auto"/>
        <w:tabs>
          <w:tab w:leader="none" w:pos="1080" w:val="left"/>
        </w:tabs>
        <w:numPr>
          <w:ilvl w:val="0"/>
          <w:numId w:val="9"/>
        </w:numPr>
        <w:rPr>
          <w:rFonts w:ascii="Arial" w:cs="Arial" w:eastAsia="Arial" w:hAnsi="Arial"/>
          <w:sz w:val="16"/>
          <w:szCs w:val="16"/>
          <w:color w:val="000000"/>
        </w:rPr>
      </w:pPr>
      <w:hyperlink r:id="rId64">
        <w:r>
          <w:rPr>
            <w:rFonts w:ascii="Arial" w:cs="Arial" w:eastAsia="Arial" w:hAnsi="Arial"/>
            <w:sz w:val="16"/>
            <w:szCs w:val="16"/>
            <w:color w:val="auto"/>
          </w:rPr>
          <w:t xml:space="preserve">Current Reports on Form 8-K filed with the SEC on </w:t>
        </w:r>
        <w:r>
          <w:rPr>
            <w:rFonts w:ascii="Arial" w:cs="Arial" w:eastAsia="Arial" w:hAnsi="Arial"/>
            <w:sz w:val="16"/>
            <w:szCs w:val="16"/>
            <w:u w:val="single" w:color="auto"/>
            <w:color w:val="0000EE"/>
          </w:rPr>
          <w:t>January 10, 2022</w:t>
        </w:r>
        <w:r>
          <w:rPr>
            <w:rFonts w:ascii="Arial" w:cs="Arial" w:eastAsia="Arial" w:hAnsi="Arial"/>
            <w:sz w:val="16"/>
            <w:szCs w:val="16"/>
            <w:color w:val="auto"/>
          </w:rPr>
          <w:t xml:space="preserve"> (excluding information furnished pursuant to Item 7.01), </w:t>
        </w:r>
        <w:r>
          <w:rPr>
            <w:rFonts w:ascii="Arial" w:cs="Arial" w:eastAsia="Arial" w:hAnsi="Arial"/>
            <w:sz w:val="16"/>
            <w:szCs w:val="16"/>
            <w:u w:val="single" w:color="auto"/>
            <w:color w:val="0000EE"/>
          </w:rPr>
          <w:t>January</w:t>
        </w:r>
      </w:hyperlink>
      <w:r>
        <w:rPr>
          <w:rFonts w:ascii="Arial" w:cs="Arial" w:eastAsia="Arial" w:hAnsi="Arial"/>
          <w:sz w:val="16"/>
          <w:szCs w:val="16"/>
          <w:color w:val="auto"/>
        </w:rPr>
        <w:t xml:space="preserve"> </w:t>
      </w:r>
      <w:hyperlink r:id="rId64">
        <w:r>
          <w:rPr>
            <w:rFonts w:ascii="Arial" w:cs="Arial" w:eastAsia="Arial" w:hAnsi="Arial"/>
            <w:sz w:val="16"/>
            <w:szCs w:val="16"/>
            <w:u w:val="single" w:color="auto"/>
            <w:color w:val="0000EE"/>
          </w:rPr>
          <w:t>14, 2022</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65">
        <w:r>
          <w:rPr>
            <w:rFonts w:ascii="Arial" w:cs="Arial" w:eastAsia="Arial" w:hAnsi="Arial"/>
            <w:sz w:val="16"/>
            <w:szCs w:val="16"/>
            <w:u w:val="single" w:color="auto"/>
            <w:color w:val="0000EE"/>
          </w:rPr>
          <w:t xml:space="preserve">February 28, 2022 </w:t>
        </w:r>
      </w:hyperlink>
      <w:hyperlink r:id="rId64">
        <w:r>
          <w:rPr>
            <w:rFonts w:ascii="Arial" w:cs="Arial" w:eastAsia="Arial" w:hAnsi="Arial"/>
            <w:sz w:val="16"/>
            <w:szCs w:val="16"/>
            <w:color w:val="000000"/>
          </w:rPr>
          <w:t>(excluding information furnished pursuant to Item 7.01),</w:t>
        </w:r>
        <w:r>
          <w:rPr>
            <w:rFonts w:ascii="Arial" w:cs="Arial" w:eastAsia="Arial" w:hAnsi="Arial"/>
            <w:sz w:val="16"/>
            <w:szCs w:val="16"/>
            <w:color w:val="0000EE"/>
          </w:rPr>
          <w:t xml:space="preserve"> </w:t>
        </w:r>
      </w:hyperlink>
      <w:hyperlink r:id="rId66">
        <w:r>
          <w:rPr>
            <w:rFonts w:ascii="Arial" w:cs="Arial" w:eastAsia="Arial" w:hAnsi="Arial"/>
            <w:sz w:val="16"/>
            <w:szCs w:val="16"/>
            <w:u w:val="single" w:color="auto"/>
            <w:color w:val="0000EE"/>
          </w:rPr>
          <w:t>April 5, 2022</w:t>
        </w:r>
      </w:hyperlink>
      <w:hyperlink r:id="rId64">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67">
        <w:r>
          <w:rPr>
            <w:rFonts w:ascii="Arial" w:cs="Arial" w:eastAsia="Arial" w:hAnsi="Arial"/>
            <w:sz w:val="16"/>
            <w:szCs w:val="16"/>
            <w:u w:val="single" w:color="auto"/>
            <w:color w:val="0000EE"/>
          </w:rPr>
          <w:t xml:space="preserve">August 10, 2022 </w:t>
        </w:r>
      </w:hyperlink>
      <w:hyperlink r:id="rId64">
        <w:r>
          <w:rPr>
            <w:rFonts w:ascii="Arial" w:cs="Arial" w:eastAsia="Arial" w:hAnsi="Arial"/>
            <w:sz w:val="16"/>
            <w:szCs w:val="16"/>
            <w:color w:val="000000"/>
          </w:rPr>
          <w:t>(excluding</w:t>
        </w:r>
      </w:hyperlink>
      <w:r>
        <w:rPr>
          <w:rFonts w:ascii="Arial" w:cs="Arial" w:eastAsia="Arial" w:hAnsi="Arial"/>
          <w:sz w:val="16"/>
          <w:szCs w:val="16"/>
          <w:color w:val="0000EE"/>
        </w:rPr>
        <w:t xml:space="preserve"> </w:t>
      </w:r>
      <w:r>
        <w:rPr>
          <w:rFonts w:ascii="Arial" w:cs="Arial" w:eastAsia="Arial" w:hAnsi="Arial"/>
          <w:sz w:val="16"/>
          <w:szCs w:val="16"/>
          <w:color w:val="000000"/>
        </w:rPr>
        <w:t xml:space="preserve">information furnished pursuant to Item 7.01), </w:t>
      </w:r>
      <w:hyperlink r:id="rId68">
        <w:r>
          <w:rPr>
            <w:rFonts w:ascii="Arial" w:cs="Arial" w:eastAsia="Arial" w:hAnsi="Arial"/>
            <w:sz w:val="16"/>
            <w:szCs w:val="16"/>
            <w:u w:val="single" w:color="auto"/>
            <w:color w:val="0000EE"/>
          </w:rPr>
          <w:t>December 8, 2022</w:t>
        </w:r>
      </w:hyperlink>
      <w:r>
        <w:rPr>
          <w:rFonts w:ascii="Arial" w:cs="Arial" w:eastAsia="Arial" w:hAnsi="Arial"/>
          <w:sz w:val="16"/>
          <w:szCs w:val="16"/>
          <w:color w:val="000000"/>
        </w:rPr>
        <w:t xml:space="preserve">, </w:t>
      </w:r>
      <w:hyperlink r:id="rId69">
        <w:r>
          <w:rPr>
            <w:rFonts w:ascii="Arial" w:cs="Arial" w:eastAsia="Arial" w:hAnsi="Arial"/>
            <w:sz w:val="16"/>
            <w:szCs w:val="16"/>
            <w:u w:val="single" w:color="auto"/>
            <w:color w:val="0000EE"/>
          </w:rPr>
          <w:t>December 28, 2022</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 xml:space="preserve">and </w:t>
      </w:r>
      <w:hyperlink r:id="rId70">
        <w:r>
          <w:rPr>
            <w:rFonts w:ascii="Arial" w:cs="Arial" w:eastAsia="Arial" w:hAnsi="Arial"/>
            <w:sz w:val="16"/>
            <w:szCs w:val="16"/>
            <w:u w:val="single" w:color="auto"/>
            <w:color w:val="0000EE"/>
          </w:rPr>
          <w:t>December 29, 2022</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(excluding information furnished pursuant to Items 2.02 or 7.01, or corresponding information furnished under Item 9.01 or included as an exhibit); and</w:t>
      </w:r>
    </w:p>
    <w:p>
      <w:pPr>
        <w:spacing w:after="0" w:line="62" w:lineRule="exact"/>
        <w:rPr>
          <w:rFonts w:ascii="Arial" w:cs="Arial" w:eastAsia="Arial" w:hAnsi="Arial"/>
          <w:sz w:val="16"/>
          <w:szCs w:val="16"/>
          <w:color w:val="000000"/>
        </w:rPr>
      </w:pPr>
    </w:p>
    <w:p>
      <w:pPr>
        <w:ind w:left="1080" w:right="40" w:hanging="424"/>
        <w:spacing w:after="0" w:line="275"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Form 8-A filed with the SEC on </w:t>
      </w:r>
      <w:hyperlink r:id="rId53">
        <w:r>
          <w:rPr>
            <w:rFonts w:ascii="Arial" w:cs="Arial" w:eastAsia="Arial" w:hAnsi="Arial"/>
            <w:sz w:val="17"/>
            <w:szCs w:val="17"/>
            <w:u w:val="single" w:color="auto"/>
            <w:color w:val="0000EE"/>
          </w:rPr>
          <w:t>August 10, 2020</w:t>
        </w:r>
      </w:hyperlink>
      <w:r>
        <w:rPr>
          <w:rFonts w:ascii="Arial" w:cs="Arial" w:eastAsia="Arial" w:hAnsi="Arial"/>
          <w:sz w:val="17"/>
          <w:szCs w:val="17"/>
          <w:color w:val="auto"/>
        </w:rPr>
        <w:t xml:space="preserve">, and as set forth by the description of the Registrant’s common stock set forth in </w:t>
      </w:r>
      <w:hyperlink r:id="rId54">
        <w:r>
          <w:rPr>
            <w:rFonts w:ascii="Arial" w:cs="Arial" w:eastAsia="Arial" w:hAnsi="Arial"/>
            <w:sz w:val="17"/>
            <w:szCs w:val="17"/>
            <w:u w:val="single" w:color="auto"/>
            <w:color w:val="0000EE"/>
          </w:rPr>
          <w:t>Exhibit 4.4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Registrant’s Annual Report on Form 10-K for the year ended December 31, 2021, filed with the SEC on </w:t>
      </w:r>
      <w:hyperlink r:id="rId53">
        <w:r>
          <w:rPr>
            <w:rFonts w:ascii="Arial" w:cs="Arial" w:eastAsia="Arial" w:hAnsi="Arial"/>
            <w:sz w:val="17"/>
            <w:szCs w:val="17"/>
            <w:u w:val="single" w:color="auto"/>
            <w:color w:val="0000EE"/>
          </w:rPr>
          <w:t>March 10, 2022</w:t>
        </w:r>
      </w:hyperlink>
      <w:r>
        <w:rPr>
          <w:rFonts w:ascii="Arial" w:cs="Arial" w:eastAsia="Arial" w:hAnsi="Arial"/>
          <w:sz w:val="17"/>
          <w:szCs w:val="17"/>
          <w:color w:val="auto"/>
        </w:rPr>
        <w:t xml:space="preserve">, and as further supplemented by the description of the Registrant’s common stock set forth in the Registrant’s Registration Statement on Form S-4/A, filed with the SEC on </w:t>
      </w:r>
      <w:hyperlink r:id="rId56">
        <w:r>
          <w:rPr>
            <w:rFonts w:ascii="Arial" w:cs="Arial" w:eastAsia="Arial" w:hAnsi="Arial"/>
            <w:sz w:val="17"/>
            <w:szCs w:val="17"/>
            <w:u w:val="single" w:color="auto"/>
            <w:color w:val="0000EE"/>
          </w:rPr>
          <w:t>December 1, 2022</w:t>
        </w:r>
      </w:hyperlink>
      <w:r>
        <w:rPr>
          <w:rFonts w:ascii="Arial" w:cs="Arial" w:eastAsia="Arial" w:hAnsi="Arial"/>
          <w:sz w:val="17"/>
          <w:szCs w:val="17"/>
          <w:color w:val="auto"/>
        </w:rPr>
        <w:t>, including any amendments or reports filed for the purpose of updating such description.</w:t>
      </w:r>
    </w:p>
    <w:p>
      <w:pPr>
        <w:spacing w:after="0" w:line="176" w:lineRule="exact"/>
        <w:rPr>
          <w:rFonts w:ascii="Arial" w:cs="Arial" w:eastAsia="Arial" w:hAnsi="Arial"/>
          <w:sz w:val="17"/>
          <w:szCs w:val="17"/>
          <w:color w:val="auto"/>
        </w:rPr>
      </w:pPr>
    </w:p>
    <w:p>
      <w:pPr>
        <w:ind w:left="120" w:right="40"/>
        <w:spacing w:after="0" w:line="254" w:lineRule="auto"/>
        <w:rPr>
          <w:sz w:val="20"/>
          <w:szCs w:val="20"/>
          <w:color w:val="auto"/>
        </w:rPr>
      </w:pPr>
      <w:r>
        <w:rPr>
          <w:rFonts w:ascii="Arial" w:cs="Arial" w:eastAsia="Arial" w:hAnsi="Arial"/>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95" w:lineRule="exact"/>
        <w:rPr>
          <w:rFonts w:ascii="Arial" w:cs="Arial" w:eastAsia="Arial" w:hAnsi="Arial"/>
          <w:sz w:val="17"/>
          <w:szCs w:val="17"/>
          <w:color w:val="auto"/>
        </w:rPr>
      </w:pPr>
    </w:p>
    <w:p>
      <w:pPr>
        <w:ind w:left="120"/>
        <w:spacing w:after="0" w:line="255"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92" w:lineRule="exact"/>
        <w:rPr>
          <w:rFonts w:ascii="Arial" w:cs="Arial" w:eastAsia="Arial" w:hAnsi="Arial"/>
          <w:sz w:val="17"/>
          <w:szCs w:val="17"/>
          <w:color w:val="auto"/>
        </w:rPr>
      </w:pPr>
    </w:p>
    <w:p>
      <w:pPr>
        <w:ind w:left="120" w:right="280"/>
        <w:spacing w:after="0" w:line="277" w:lineRule="auto"/>
        <w:rPr>
          <w:sz w:val="20"/>
          <w:szCs w:val="20"/>
          <w:color w:val="auto"/>
        </w:rPr>
      </w:pPr>
      <w:r>
        <w:rPr>
          <w:rFonts w:ascii="Arial" w:cs="Arial" w:eastAsia="Arial" w:hAnsi="Arial"/>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103"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170"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674-9274</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0520"/>
          </w:cols>
          <w:pgMar w:left="320" w:top="459" w:right="10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Arial" w:cs="Arial" w:eastAsia="Arial" w:hAnsi="Arial"/>
          <w:sz w:val="17"/>
          <w:szCs w:val="17"/>
          <w:i w:val="1"/>
          <w:iCs w:val="1"/>
          <w:color w:val="auto"/>
        </w:rPr>
        <w:t>Risk Factors</w:t>
      </w:r>
      <w:r>
        <w:rPr>
          <w:rFonts w:ascii="Arial" w:cs="Arial" w:eastAsia="Arial" w:hAnsi="Arial"/>
          <w:sz w:val="17"/>
          <w:szCs w:val="17"/>
          <w:color w:val="auto"/>
        </w:rPr>
        <w:t>” and include, among other things:</w:t>
      </w:r>
    </w:p>
    <w:p>
      <w:pPr>
        <w:spacing w:after="0" w:line="87" w:lineRule="exact"/>
        <w:rPr>
          <w:sz w:val="20"/>
          <w:szCs w:val="20"/>
          <w:color w:val="auto"/>
        </w:rPr>
      </w:pPr>
    </w:p>
    <w:p>
      <w:pPr>
        <w:ind w:left="1080" w:right="10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recognize the benefits of the previously announced merger pursuant to the terms of the Agreement and Plan of Merger (the “Merger Agreement”), dated August 9, 2022, by and among Gemini Therapeutics, Inc. (“Gemini”), Gemstone Merger Sub, Inc. and Disc;</w:t>
      </w:r>
    </w:p>
    <w:p>
      <w:pPr>
        <w:spacing w:after="0" w:line="29" w:lineRule="exact"/>
        <w:rPr>
          <w:rFonts w:ascii="Arial" w:cs="Arial" w:eastAsia="Arial" w:hAnsi="Arial"/>
          <w:sz w:val="16"/>
          <w:szCs w:val="16"/>
          <w:color w:val="auto"/>
        </w:rPr>
      </w:pPr>
    </w:p>
    <w:p>
      <w:pPr>
        <w:ind w:left="1080" w:right="140" w:hanging="424"/>
        <w:spacing w:after="0" w:line="31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efficiently discover and develop product candidates;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30" w:lineRule="exact"/>
        <w:rPr>
          <w:rFonts w:ascii="Arial" w:cs="Arial" w:eastAsia="Arial" w:hAnsi="Arial"/>
          <w:sz w:val="18"/>
          <w:szCs w:val="18"/>
          <w:color w:val="auto"/>
        </w:rPr>
      </w:pPr>
    </w:p>
    <w:p>
      <w:pPr>
        <w:jc w:val="both"/>
        <w:ind w:left="1080" w:right="280" w:hanging="424"/>
        <w:spacing w:after="0" w:line="31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54" w:lineRule="exact"/>
        <w:rPr>
          <w:rFonts w:ascii="Arial" w:cs="Arial" w:eastAsia="Arial" w:hAnsi="Arial"/>
          <w:sz w:val="16"/>
          <w:szCs w:val="16"/>
          <w:color w:val="auto"/>
        </w:rPr>
      </w:pPr>
    </w:p>
    <w:p>
      <w:pPr>
        <w:ind w:left="1080" w:right="8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contained in this prospectus and any related prospectus supplement or free writing prospectus, and in any other documents incorporated herein or therein (including in our current report on Form 8-K filed on December 29, 2022,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Data and Estimates</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6"/>
          <w:szCs w:val="16"/>
          <w:color w:val="auto"/>
        </w:rPr>
        <w:t xml:space="preserve">Disc Medicine, Inc., the Disc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and DISC-0974 for the treatment of anemia of myelofibrosis (“MF”) and anemia of chronic kidney disease (“CKD”). In addition, we have two programs in preclinical development: DISC-0998 for the treatment of anemia associated with inflammatory diseases; and a Matriptase-2 inhibitor for the treatment of polycythemia vera (“PV”) and diseases of iron overload. Our approach to product candidate development leverages well understood molecular mechanisms that have been validated in humans. We believe that each of our product candidates, if approved, has the potential to improve the lives of patients suffering from hematologic diseases.</w:t>
      </w:r>
    </w:p>
    <w:p>
      <w:pPr>
        <w:spacing w:after="0" w:line="18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Bitopertin is the lead product candidate in our heme biosynthesis modulation portfolio. Bitopertin was previously evaluated by Hoffmann-La Roche Inc.in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w:t>
      </w:r>
    </w:p>
    <w:p>
      <w:pPr>
        <w:spacing w:after="0" w:line="16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to evaluate DISC-0974 in patients with anemia of CKD. We expect interim data from these two trials in 2023. In addition, we are developing a preclinical anti-HJV monoclonal antibody, DISC-0998, which is also designed to target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Lastly, we are developing a Matriptase-2 inhibitor as part of our iron homeostasis portfolio, which is designed to induce hepcidin production and reduce serum iron levels. Preclinical data has demonstrated positive results,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are in the process of identifying and optimizing a development candidate in our Matriptase-2 inhibitor program. If successful, we expect to designate a lead candidate and commence IND-enabling studies.</w:t>
      </w:r>
      <w:r>
        <w:rPr>
          <w:rFonts w:ascii="Arial" w:cs="Arial" w:eastAsia="Arial" w:hAnsi="Arial"/>
          <w:sz w:val="17"/>
          <w:szCs w:val="17"/>
          <w:b w:val="1"/>
          <w:bCs w:val="1"/>
          <w:color w:val="auto"/>
        </w:rPr>
        <w:t>Corporate Information</w:t>
      </w:r>
      <w:r>
        <w:rPr>
          <w:rFonts w:ascii="Arial" w:cs="Arial" w:eastAsia="Arial" w:hAnsi="Arial"/>
          <w:sz w:val="17"/>
          <w:szCs w:val="17"/>
          <w:color w:val="auto"/>
        </w:rPr>
        <w:t xml:space="preserve"> Disc Medicine, Inc. was originally incorporated under the laws of the state of Delaware in October 2017, and changed its name to Disc Medicine Opco, Inc. (“Disc Opco”), in December 2022. On December 29, 2022, we completed our business combination with Gemini Therapeutics, Inc.(“Gemini”)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w:t>
      </w:r>
    </w:p>
    <w:p>
      <w:pPr>
        <w:spacing w:after="0" w:line="17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7"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7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For additional information about our Company, please refer to other documents we have filed with the SEC and that are incorporated by reference into this prospectus, as listed under the heading “</w:t>
      </w:r>
      <w:r>
        <w:rPr>
          <w:rFonts w:ascii="Arial" w:cs="Arial" w:eastAsia="Arial" w:hAnsi="Arial"/>
          <w:sz w:val="18"/>
          <w:szCs w:val="18"/>
          <w:i w:val="1"/>
          <w:iCs w:val="1"/>
          <w:color w:val="auto"/>
        </w:rPr>
        <w:t>Incorporation of Certain Information by Reference</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9" w:lineRule="exact"/>
        <w:rPr>
          <w:sz w:val="20"/>
          <w:szCs w:val="20"/>
          <w:color w:val="auto"/>
        </w:rPr>
      </w:pPr>
    </w:p>
    <w:p>
      <w:pPr>
        <w:ind w:left="1080" w:right="4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being required to hold advisory votes on executive compensation or to obtain stockholder approval of any golden parachute arrangements not previously approved;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right="380"/>
        <w:spacing w:after="0" w:line="287" w:lineRule="auto"/>
        <w:rPr>
          <w:sz w:val="20"/>
          <w:szCs w:val="20"/>
          <w:color w:val="auto"/>
        </w:rPr>
      </w:pPr>
      <w:r>
        <w:rPr>
          <w:rFonts w:ascii="Arial" w:cs="Arial" w:eastAsia="Arial" w:hAnsi="Arial"/>
          <w:sz w:val="16"/>
          <w:szCs w:val="16"/>
          <w:color w:val="auto"/>
        </w:rPr>
        <w:t>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of 2002.</w:t>
      </w:r>
    </w:p>
    <w:p>
      <w:pPr>
        <w:spacing w:after="0" w:line="16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Current Report on Form 8-K filed with the SEC on December 29, 2022, which is incorporated into this prospectus by reference, as updated by our annual or quarterly reports for subsequent fiscal years or fiscal quarters that we file with the SEC and that are so incorporated. See “</w:t>
      </w:r>
      <w:r>
        <w:rPr>
          <w:rFonts w:ascii="Arial" w:cs="Arial" w:eastAsia="Arial" w:hAnsi="Arial"/>
          <w:sz w:val="16"/>
          <w:szCs w:val="16"/>
          <w:i w:val="1"/>
          <w:iCs w:val="1"/>
          <w:color w:val="auto"/>
        </w:rPr>
        <w:t>Where You Can Find</w:t>
      </w:r>
      <w:r>
        <w:rPr>
          <w:rFonts w:ascii="Arial" w:cs="Arial" w:eastAsia="Arial" w:hAnsi="Arial"/>
          <w:sz w:val="16"/>
          <w:szCs w:val="16"/>
          <w:color w:val="auto"/>
        </w:rPr>
        <w:t xml:space="preserve"> </w:t>
      </w:r>
      <w:r>
        <w:rPr>
          <w:rFonts w:ascii="Arial" w:cs="Arial" w:eastAsia="Arial" w:hAnsi="Arial"/>
          <w:sz w:val="16"/>
          <w:szCs w:val="16"/>
          <w:i w:val="1"/>
          <w:iCs w:val="1"/>
          <w:color w:val="auto"/>
        </w:rPr>
        <w:t>More Information</w:t>
      </w:r>
      <w:r>
        <w:rPr>
          <w:rFonts w:ascii="Arial" w:cs="Arial" w:eastAsia="Arial" w:hAnsi="Arial"/>
          <w:sz w:val="16"/>
          <w:szCs w:val="16"/>
          <w:color w:val="auto"/>
        </w:rPr>
        <w:t>” for information about how to obtain a copy of these documents. You should also carefully consider the risks and other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may be contained in, or incorporated by reference into, any prospectus supplement relating to specific offerings of securities.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SELECTED FINANCIAL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Proxy Statement/Prospectus on Form S-4/A and incorporated herein by reference.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REPORTED (in thousands, except per share amounts):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left="65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8"/>
              <w:spacing w:after="0"/>
              <w:rPr>
                <w:sz w:val="20"/>
                <w:szCs w:val="20"/>
                <w:color w:val="auto"/>
              </w:rPr>
            </w:pPr>
            <w:r>
              <w:rPr>
                <w:rFonts w:ascii="Arial" w:cs="Arial" w:eastAsia="Arial" w:hAnsi="Arial"/>
                <w:sz w:val="18"/>
                <w:szCs w:val="18"/>
                <w:color w:val="auto"/>
              </w:rPr>
              <w:t>(1.78)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w w:val="88"/>
              </w:rPr>
              <w:t>40,362,303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15,115,129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Common shares outstanding at year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Arial" w:cs="Arial" w:eastAsia="Arial" w:hAnsi="Arial"/>
                <w:sz w:val="18"/>
                <w:szCs w:val="18"/>
                <w:color w:val="auto"/>
                <w:w w:val="88"/>
              </w:rPr>
              <w:t>43,208,159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15,565,380</w:t>
            </w:r>
          </w:p>
        </w:tc>
        <w:tc>
          <w:tcPr>
            <w:tcW w:w="0" w:type="dxa"/>
            <w:vAlign w:val="bottom"/>
          </w:tcPr>
          <w:p>
            <w:pPr>
              <w:spacing w:after="0"/>
              <w:rPr>
                <w:sz w:val="1"/>
                <w:szCs w:val="1"/>
                <w:color w:val="auto"/>
              </w:rPr>
            </w:pPr>
          </w:p>
        </w:tc>
      </w:tr>
      <w:tr>
        <w:trPr>
          <w:trHeight w:val="327"/>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color w:val="auto"/>
                <w:w w:val="92"/>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(15,231)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8"/>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w w:val="88"/>
              </w:rPr>
              <w:t>43,212,803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32,027,161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Arial" w:cs="Arial" w:eastAsia="Arial" w:hAnsi="Arial"/>
                <w:sz w:val="18"/>
                <w:szCs w:val="18"/>
                <w:color w:val="auto"/>
                <w:w w:val="88"/>
              </w:rPr>
              <w:t>43,227,159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43,002,144</w:t>
            </w:r>
          </w:p>
        </w:tc>
        <w:tc>
          <w:tcPr>
            <w:tcW w:w="0" w:type="dxa"/>
            <w:vAlign w:val="bottom"/>
          </w:tcPr>
          <w:p>
            <w:pPr>
              <w:spacing w:after="0"/>
              <w:rPr>
                <w:sz w:val="1"/>
                <w:szCs w:val="1"/>
                <w:color w:val="auto"/>
              </w:rPr>
            </w:pPr>
          </w:p>
        </w:tc>
      </w:tr>
      <w:tr>
        <w:trPr>
          <w:trHeight w:val="327"/>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color w:val="auto"/>
                <w:w w:val="92"/>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(7,090)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(16,447)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8"/>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w w:val="88"/>
              </w:rPr>
              <w:t>43,230,523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43,041,856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Arial" w:cs="Arial" w:eastAsia="Arial" w:hAnsi="Arial"/>
                <w:sz w:val="18"/>
                <w:szCs w:val="18"/>
                <w:color w:val="auto"/>
                <w:w w:val="88"/>
              </w:rPr>
              <w:t>43,244,453</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43,055,112</w:t>
            </w:r>
          </w:p>
        </w:tc>
        <w:tc>
          <w:tcPr>
            <w:tcW w:w="0" w:type="dxa"/>
            <w:vAlign w:val="bottom"/>
          </w:tcPr>
          <w:p>
            <w:pPr>
              <w:spacing w:after="0"/>
              <w:rPr>
                <w:sz w:val="1"/>
                <w:szCs w:val="1"/>
                <w:color w:val="auto"/>
              </w:rPr>
            </w:pPr>
          </w:p>
        </w:tc>
      </w:tr>
      <w:tr>
        <w:trPr>
          <w:trHeight w:val="350"/>
        </w:trPr>
        <w:tc>
          <w:tcPr>
            <w:tcW w:w="5160" w:type="dxa"/>
            <w:vAlign w:val="bottom"/>
          </w:tcPr>
          <w:p>
            <w:pPr>
              <w:ind w:left="410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600" w:type="dxa"/>
            <w:vAlign w:val="bottom"/>
          </w:tcPr>
          <w:p>
            <w:pPr>
              <w:jc w:val="center"/>
              <w:ind w:left="759"/>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600" w:type="dxa"/>
            <w:vAlign w:val="bottom"/>
          </w:tcPr>
          <w:p>
            <w:pPr>
              <w:jc w:val="center"/>
              <w:ind w:left="759"/>
              <w:spacing w:after="0" w:line="128" w:lineRule="exact"/>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(22,321)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(35,495)</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43,221,712</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37,564,936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43,244,453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43,055,112</w:t>
            </w: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600" w:type="dxa"/>
            <w:vAlign w:val="bottom"/>
          </w:tcPr>
          <w:p>
            <w:pPr>
              <w:jc w:val="center"/>
              <w:ind w:left="759"/>
              <w:spacing w:after="0" w:line="128" w:lineRule="exact"/>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(3,277)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43,264,616</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43,091,822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43,112,742</w:t>
            </w: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600" w:type="dxa"/>
            <w:vAlign w:val="bottom"/>
          </w:tcPr>
          <w:p>
            <w:pPr>
              <w:jc w:val="center"/>
              <w:ind w:left="759"/>
              <w:spacing w:after="0" w:line="128" w:lineRule="exact"/>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(25,598)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(54,046)</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43,236,171</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39,427,476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43,112,742</w:t>
            </w:r>
          </w:p>
        </w:tc>
        <w:tc>
          <w:tcPr>
            <w:tcW w:w="0" w:type="dxa"/>
            <w:vAlign w:val="bottom"/>
          </w:tcPr>
          <w:p>
            <w:pPr>
              <w:spacing w:after="0"/>
              <w:rPr>
                <w:sz w:val="1"/>
                <w:szCs w:val="1"/>
                <w:color w:val="auto"/>
              </w:rPr>
            </w:pPr>
          </w:p>
        </w:tc>
      </w:tr>
    </w:tbl>
    <w:p>
      <w:pPr>
        <w:spacing w:after="0" w:line="216" w:lineRule="exact"/>
        <w:rPr>
          <w:sz w:val="20"/>
          <w:szCs w:val="20"/>
          <w:color w:val="auto"/>
        </w:rPr>
      </w:pPr>
    </w:p>
    <w:p>
      <w:pPr>
        <w:sectPr>
          <w:pgSz w:w="11900" w:h="16838" w:orient="portrait"/>
          <w:cols w:equalWidth="0" w:num="2">
            <w:col w:w="6380" w:space="720"/>
            <w:col w:w="3039"/>
          </w:cols>
          <w:pgMar w:left="320" w:top="459" w:right="1440" w:bottom="1440" w:gutter="0" w:footer="0" w:header="0"/>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AS ADJUSTED FOR 1-FOR-10 REVERSE STOCK SPLIT (unaudited, in thousands, except per share amounts):</w:t>
      </w:r>
    </w:p>
    <w:p>
      <w:pPr>
        <w:spacing w:after="0" w:line="12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1"/>
              </w:rPr>
              <w:t>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(71,869)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(40,837)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(17.81)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4,036,230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1,511,512</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year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4,320,815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1,556,538</w:t>
            </w:r>
          </w:p>
        </w:tc>
        <w:tc>
          <w:tcPr>
            <w:tcW w:w="0" w:type="dxa"/>
            <w:vAlign w:val="bottom"/>
          </w:tcPr>
          <w:p>
            <w:pPr>
              <w:spacing w:after="0"/>
              <w:rPr>
                <w:sz w:val="1"/>
                <w:szCs w:val="1"/>
                <w:color w:val="auto"/>
              </w:rPr>
            </w:pPr>
          </w:p>
        </w:tc>
      </w:tr>
      <w:tr>
        <w:trPr>
          <w:trHeight w:val="327"/>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(15,231)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(3.52)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4,321,280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3,202,716</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4,322,715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4,300,214</w:t>
            </w:r>
          </w:p>
        </w:tc>
        <w:tc>
          <w:tcPr>
            <w:tcW w:w="0" w:type="dxa"/>
            <w:vAlign w:val="bottom"/>
          </w:tcPr>
          <w:p>
            <w:pPr>
              <w:spacing w:after="0"/>
              <w:rPr>
                <w:sz w:val="1"/>
                <w:szCs w:val="1"/>
                <w:color w:val="auto"/>
              </w:rPr>
            </w:pPr>
          </w:p>
        </w:tc>
      </w:tr>
      <w:tr>
        <w:trPr>
          <w:trHeight w:val="350"/>
        </w:trPr>
        <w:tc>
          <w:tcPr>
            <w:tcW w:w="4560" w:type="dxa"/>
            <w:vAlign w:val="bottom"/>
          </w:tcPr>
          <w:p>
            <w:pPr>
              <w:ind w:left="36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(16,447)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(1.64)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4,323,052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4,304,185</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4,324,445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4,305,511</w:t>
            </w:r>
          </w:p>
        </w:tc>
        <w:tc>
          <w:tcPr>
            <w:tcW w:w="0" w:type="dxa"/>
            <w:vAlign w:val="bottom"/>
          </w:tcPr>
          <w:p>
            <w:pPr>
              <w:spacing w:after="0"/>
              <w:rPr>
                <w:sz w:val="1"/>
                <w:szCs w:val="1"/>
                <w:color w:val="auto"/>
              </w:rPr>
            </w:pPr>
          </w:p>
        </w:tc>
      </w:tr>
      <w:tr>
        <w:trPr>
          <w:trHeight w:val="327"/>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(22,321)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(35,495)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(5.16)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4,322,171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3,756,493</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4,324,445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4,305,511</w:t>
            </w:r>
          </w:p>
        </w:tc>
        <w:tc>
          <w:tcPr>
            <w:tcW w:w="0" w:type="dxa"/>
            <w:vAlign w:val="bottom"/>
          </w:tcPr>
          <w:p>
            <w:pPr>
              <w:spacing w:after="0"/>
              <w:rPr>
                <w:sz w:val="1"/>
                <w:szCs w:val="1"/>
                <w:color w:val="auto"/>
              </w:rPr>
            </w:pPr>
          </w:p>
        </w:tc>
      </w:tr>
      <w:tr>
        <w:trPr>
          <w:trHeight w:val="327"/>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(3,277)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(0.76)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4,326,461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4,309,182</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4,329,945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4,311,274</w:t>
            </w:r>
          </w:p>
        </w:tc>
        <w:tc>
          <w:tcPr>
            <w:tcW w:w="0" w:type="dxa"/>
            <w:vAlign w:val="bottom"/>
          </w:tcPr>
          <w:p>
            <w:pPr>
              <w:spacing w:after="0"/>
              <w:rPr>
                <w:sz w:val="1"/>
                <w:szCs w:val="1"/>
                <w:color w:val="auto"/>
              </w:rPr>
            </w:pPr>
          </w:p>
        </w:tc>
      </w:tr>
      <w:tr>
        <w:trPr>
          <w:trHeight w:val="327"/>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(25,598)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(54,046)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(5.92)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4,323,617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3,942,747</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4,329,945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4,311,274</w:t>
            </w:r>
          </w:p>
        </w:tc>
        <w:tc>
          <w:tcPr>
            <w:tcW w:w="0" w:type="dxa"/>
            <w:vAlign w:val="bottom"/>
          </w:tcPr>
          <w:p>
            <w:pPr>
              <w:spacing w:after="0"/>
              <w:rPr>
                <w:sz w:val="1"/>
                <w:szCs w:val="1"/>
                <w:color w:val="auto"/>
              </w:rPr>
            </w:pPr>
          </w:p>
        </w:tc>
      </w:tr>
      <w:tr>
        <w:trPr>
          <w:trHeight w:val="350"/>
        </w:trPr>
        <w:tc>
          <w:tcPr>
            <w:tcW w:w="4560" w:type="dxa"/>
            <w:vAlign w:val="bottom"/>
          </w:tcPr>
          <w:p>
            <w:pPr>
              <w:ind w:left="366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0"/>
          </w:cols>
          <w:pgMar w:left="320" w:top="459" w:right="8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DESCRIPTION OF SECURITIES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2"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or other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rates and times of payment of interest, dividends or other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original issue discount;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ranking;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30" w:lineRule="exact"/>
        <w:rPr>
          <w:rFonts w:ascii="Arial" w:cs="Arial" w:eastAsia="Arial" w:hAnsi="Arial"/>
          <w:sz w:val="18"/>
          <w:szCs w:val="18"/>
          <w:color w:val="auto"/>
        </w:rPr>
      </w:pPr>
    </w:p>
    <w:p>
      <w:pPr>
        <w:jc w:val="both"/>
        <w:ind w:left="1080" w:right="12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securities exchange or market listing arrangements;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important U.S. federal income tax considerations.</w:t>
      </w:r>
    </w:p>
    <w:p>
      <w:pPr>
        <w:spacing w:after="0" w:line="225" w:lineRule="exact"/>
        <w:rPr>
          <w:sz w:val="20"/>
          <w:szCs w:val="20"/>
          <w:color w:val="auto"/>
        </w:rPr>
      </w:pPr>
    </w:p>
    <w:p>
      <w:pPr>
        <w:jc w:val="both"/>
        <w:ind w:left="120" w:right="460"/>
        <w:spacing w:after="0" w:line="286" w:lineRule="auto"/>
        <w:rPr>
          <w:sz w:val="20"/>
          <w:szCs w:val="20"/>
          <w:color w:val="auto"/>
        </w:rPr>
      </w:pPr>
      <w:r>
        <w:rPr>
          <w:rFonts w:ascii="Arial" w:cs="Arial" w:eastAsia="Arial" w:hAnsi="Arial"/>
          <w:sz w:val="17"/>
          <w:szCs w:val="17"/>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6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may sell the securities to or through underwriters, dealers or agents, directly to purchasers or through a combination of any of these methods of sale or as otherwise set forth under “</w:t>
      </w:r>
      <w:r>
        <w:rPr>
          <w:rFonts w:ascii="Arial" w:cs="Arial" w:eastAsia="Arial" w:hAnsi="Arial"/>
          <w:sz w:val="18"/>
          <w:szCs w:val="18"/>
          <w:i w:val="1"/>
          <w:iCs w:val="1"/>
          <w:color w:val="auto"/>
        </w:rPr>
        <w:t>Plan of Distribution</w:t>
      </w:r>
      <w:r>
        <w:rPr>
          <w:rFonts w:ascii="Arial" w:cs="Arial" w:eastAsia="Arial" w:hAnsi="Arial"/>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More Information</w:t>
      </w:r>
      <w:r>
        <w:rPr>
          <w:rFonts w:ascii="Arial" w:cs="Arial" w:eastAsia="Arial" w:hAnsi="Arial"/>
          <w:sz w:val="18"/>
          <w:szCs w:val="18"/>
          <w:color w:val="auto"/>
        </w:rPr>
        <w: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Our authorized capital stock consists of 100,000,000 shares of common stock, par value $0.0001 per share, and 10,000,000 shares of preferred stock, par value $0.0001 per share, all of which preferred stock is undesignated. Based on our unaudited pro forma condensed combined financial information as of September 30, 2022, we had estimated 17,394,684 shares of our common stock outstanding and no shares of preferred stock outstanding. Unless our board of directors determines otherwise, we will issue all shares of our capital stock in uncertificated form.</w:t>
      </w:r>
    </w:p>
    <w:p>
      <w:pPr>
        <w:spacing w:after="0" w:line="171"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The unaudited pro forma condensed combined financial statements as of September 30, 2022, were based on Disc Medicine, Inc.’s historical consolidated financial statements and Gemini Therapeutics, Inc.’s (“Gemini”) historical consolidated financial statements as adjusted to give effect to</w:t>
      </w:r>
    </w:p>
    <w:p>
      <w:pPr>
        <w:ind w:left="120" w:hanging="4"/>
        <w:spacing w:after="0" w:line="252" w:lineRule="auto"/>
        <w:tabs>
          <w:tab w:leader="none" w:pos="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Merger, accounted for as a reverse recapitalization, (2) the conversion of each share of Private Disc’s preferred stock into common stock, (3) the Private Disc pre-closing financing in the amount of approximately $53.5 million, (4) the conversion of all shares of Private Disc common stock outstanding into shares of Gemini’s common stock based on an exchange ratio of 0.1096, (5) the Gemini 1:10 reverse stock split, and (6) other pro forma adjustments. The unaudited pro forma condensed combined financial information was prepared in accordance with SEC Regulation S-X Article 11. The unaudited pro forma condensed combined financial information is presented for illustrative purposes only and is not necessarily indicative of the combined financial position or results of operations of future periods or the results that would have been realized had the entities been a single entity during these periods.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7" w:lineRule="exact"/>
        <w:rPr>
          <w:sz w:val="20"/>
          <w:szCs w:val="20"/>
          <w:color w:val="auto"/>
        </w:rPr>
      </w:pPr>
    </w:p>
    <w:p>
      <w:pPr>
        <w:jc w:val="both"/>
        <w:ind w:left="120" w:right="380"/>
        <w:spacing w:after="0" w:line="286"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validly issued, fully paid and non-assessable.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common stock is listed on The Nasdaq Global Market under the symbol “IRON.” On January 13, 2023, the closing price for our common stock, as reported on The Nasdaq Global Market, was $19.25 per share. Based on our unaudited pro forma condensed combined financial information as of September 30, 2022, we had estimated approximately 77 stockholders of record.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8"/>
          <w:szCs w:val="18"/>
          <w:color w:val="auto"/>
        </w:rPr>
        <w:t>The transfer agent and registrar for our common stock is Continental Stock Transfer &amp; Trust Company. The transfer agent and registrar’s address is One State Street –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10004.</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66"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w:t>
      </w:r>
    </w:p>
    <w:p>
      <w:pPr>
        <w:spacing w:after="0" w:line="8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terms of redemption;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Series of Preferred Stock</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be subject to any preemptive or similar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The holders of approximately 15.9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Registration Rights Agreement</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are party to a registration rights agreement (the “2022 Registration Rights Agreement”) with certain holders of our capital stock (the “2022 Investors”), pursuant to which we have (i) agreed to register for resale shares of our common stock issued to the 2022 Investors pursuant to the Merger Agreement (the “Registrable Securities”) and (ii) granted certain other registration rights to the 2022 Investors.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2022 Registration Rights Agreement provides for the following registration rights:</w:t>
      </w:r>
    </w:p>
    <w:p>
      <w:pPr>
        <w:spacing w:after="0" w:line="252" w:lineRule="exact"/>
        <w:rPr>
          <w:sz w:val="20"/>
          <w:szCs w:val="20"/>
          <w:color w:val="auto"/>
        </w:rPr>
      </w:pPr>
    </w:p>
    <w:p>
      <w:pPr>
        <w:ind w:left="1080" w:right="20" w:hanging="424"/>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Shelf registration rights</w:t>
      </w:r>
      <w:r>
        <w:rPr>
          <w:rFonts w:ascii="Arial" w:cs="Arial" w:eastAsia="Arial" w:hAnsi="Arial"/>
          <w:sz w:val="16"/>
          <w:szCs w:val="16"/>
          <w:color w:val="auto"/>
        </w:rPr>
        <w:t>. No later than 45 calendar days following the completion of the merger as contemplated by the Merger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we are required to file with the SEC, a shelf registration statement registering the resale of the Registrable Securities, and use our commercially reasonable efforts to have such registration statement declared effective by the SEC as promptly as possible.</w:t>
      </w:r>
    </w:p>
    <w:p>
      <w:pPr>
        <w:spacing w:after="0" w:line="54" w:lineRule="exact"/>
        <w:rPr>
          <w:rFonts w:ascii="Arial" w:cs="Arial" w:eastAsia="Arial" w:hAnsi="Arial"/>
          <w:sz w:val="16"/>
          <w:szCs w:val="16"/>
          <w:color w:val="auto"/>
        </w:rPr>
      </w:pPr>
    </w:p>
    <w:p>
      <w:pPr>
        <w:ind w:left="1080" w:right="40" w:hanging="424"/>
        <w:spacing w:after="0" w:line="25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The fees, costs and expenses of registrations pursuant to the registration rights granted to the 2022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Registration Rights Agreement</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are a party to a registration tights agreement (the “2021 Registration Rights Agreement”) pursuant to which, among other things, certain holders of capital stock, including certain investors of FS Development Corporation, a Delaware corporation (the “FSDC Investors”), certain entities affiliated with Atlas Ventures, entities affiliated with Lightstone Ventures, OrbiMed Private Investments VI, LP, and Wu Capital Investment LLC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2021 Registration Rights Agreement provides for the following registration rights:</w:t>
      </w:r>
    </w:p>
    <w:p>
      <w:pPr>
        <w:spacing w:after="0" w:line="131" w:lineRule="exact"/>
        <w:rPr>
          <w:sz w:val="20"/>
          <w:szCs w:val="20"/>
          <w:color w:val="auto"/>
        </w:rPr>
      </w:pPr>
    </w:p>
    <w:p>
      <w:pPr>
        <w:ind w:left="1080" w:hanging="424"/>
        <w:spacing w:after="0" w:line="255"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At any time after February 5, 2021, and following the expiration of any lock-up to which an Investor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subject, we are required, upon the written request of either (i) FSDC Investors holding a majority of the Registrable 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97"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Shelf registration rights</w:t>
      </w:r>
      <w:r>
        <w:rPr>
          <w:rFonts w:ascii="Arial" w:cs="Arial" w:eastAsia="Arial" w:hAnsi="Arial"/>
          <w:sz w:val="17"/>
          <w:szCs w:val="17"/>
          <w:color w:val="auto"/>
        </w:rPr>
        <w:t>. A shelf registration statement pursuant to Rule 415 of Securities Act, was filed on February 17, 2021 and became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76" w:lineRule="exact"/>
        <w:rPr>
          <w:rFonts w:ascii="Arial" w:cs="Arial" w:eastAsia="Arial" w:hAnsi="Arial"/>
          <w:sz w:val="17"/>
          <w:szCs w:val="17"/>
          <w:color w:val="auto"/>
        </w:rPr>
      </w:pPr>
    </w:p>
    <w:p>
      <w:pPr>
        <w:ind w:left="1080" w:right="260" w:hanging="424"/>
        <w:spacing w:after="0" w:line="255"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Limits on demand registration rights and shelf registration rights. </w:t>
      </w:r>
      <w:r>
        <w:rPr>
          <w:rFonts w:ascii="Arial" w:cs="Arial" w:eastAsia="Arial" w:hAnsi="Arial"/>
          <w:sz w:val="18"/>
          <w:szCs w:val="18"/>
          <w:color w:val="auto"/>
        </w:rPr>
        <w:t>We shall not be obligated to effect: (a) more than one (1) demand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97"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At any time after the first anniversary of the closing date, if we propose to file a registration statement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92"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All fees, costs and expenses of underwritten registrations will be borne by us and underwriting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selling commissions will be borne by the holders of the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92" w:lineRule="exact"/>
        <w:rPr>
          <w:sz w:val="20"/>
          <w:szCs w:val="20"/>
          <w:color w:val="auto"/>
        </w:rPr>
      </w:pPr>
    </w:p>
    <w:p>
      <w:pPr>
        <w:ind w:left="1080" w:right="20" w:hanging="424"/>
        <w:spacing w:after="0" w:line="290"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Registrable securities</w:t>
      </w:r>
      <w:r>
        <w:rPr>
          <w:rFonts w:ascii="Arial" w:cs="Arial" w:eastAsia="Arial" w:hAnsi="Arial"/>
          <w:sz w:val="16"/>
          <w:szCs w:val="16"/>
          <w:color w:val="auto"/>
        </w:rPr>
        <w:t>. Securities of ours shall cease to be registrable securities upon the earlier of (i) tenth anniversary of February 5, 2021</w:t>
      </w:r>
      <w:r>
        <w:rPr>
          <w:rFonts w:ascii="Arial" w:cs="Arial" w:eastAsia="Arial" w:hAnsi="Arial"/>
          <w:sz w:val="16"/>
          <w:szCs w:val="16"/>
          <w:i w:val="1"/>
          <w:iCs w:val="1"/>
          <w:color w:val="auto"/>
        </w:rPr>
        <w:t xml:space="preserve"> </w:t>
      </w:r>
      <w:r>
        <w:rPr>
          <w:rFonts w:ascii="Arial" w:cs="Arial" w:eastAsia="Arial" w:hAnsi="Arial"/>
          <w:sz w:val="16"/>
          <w:szCs w:val="16"/>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70" w:lineRule="exact"/>
        <w:rPr>
          <w:rFonts w:ascii="Arial" w:cs="Arial" w:eastAsia="Arial" w:hAnsi="Arial"/>
          <w:sz w:val="16"/>
          <w:szCs w:val="16"/>
          <w:color w:val="auto"/>
        </w:rPr>
      </w:pPr>
    </w:p>
    <w:p>
      <w:pPr>
        <w:ind w:left="1080" w:hanging="424"/>
        <w:spacing w:after="0" w:line="273"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Lockup</w:t>
      </w:r>
      <w:r>
        <w:rPr>
          <w:rFonts w:ascii="Arial" w:cs="Arial" w:eastAsia="Arial" w:hAnsi="Arial"/>
          <w:sz w:val="17"/>
          <w:szCs w:val="17"/>
          <w:color w:val="auto"/>
        </w:rPr>
        <w:t>. Under the 2021 Registration Rights Agreement, each Investor was required to enter into a customary lockup agreement restricting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investor from transferring any shares of common stock or any securities convertible into or exercisable or exchangeable (directly or indirectly) for common stock for one hundred eighty (180) days following February 5, 2021, which restriction expired August 4, 2021. The foregoing notwithstanding, each executive officer and director was permitted to establish a plan to acquire and sell shares of common stock pursuant to Rule 10b5-1 under the Exchange Act; provided, however, no sale of shares under any such plan shall be made prior to the expiration of the one hundred eighty (180) day lock-up period on August 4, 2021.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5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Delaware Law</w:t>
      </w:r>
    </w:p>
    <w:p>
      <w:pPr>
        <w:spacing w:after="0" w:line="13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not governed by Section 203 of the Delaware General Corporation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Our amended and restated bylaws contain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and restated certificate of incorporation does not allow stockholders to act by written consent without a meeting.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1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66"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82"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2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 or bylaws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amended and restated bylaws may be amended or repealed by the Board or by the affirmative vote of not the holders of not less than two-thirds of the voting power of all of the shares of the capital stock of the Company entitled to vote on such amendment or repeal, voting as one class; provided, however, that if the Board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the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7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9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will describe in the applicable prospectus supplement or free writing prospectus the terms of the series of debt securities being offered, including:</w:t>
      </w:r>
    </w:p>
    <w:p>
      <w:pPr>
        <w:spacing w:after="0" w:line="154"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depository will be;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30"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51" w:lineRule="exact"/>
        <w:rPr>
          <w:rFonts w:ascii="Arial" w:cs="Arial" w:eastAsia="Arial" w:hAnsi="Arial"/>
          <w:sz w:val="17"/>
          <w:szCs w:val="17"/>
          <w:color w:val="auto"/>
        </w:rPr>
      </w:pPr>
    </w:p>
    <w:p>
      <w:pPr>
        <w:ind w:left="1080" w:right="22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issue or sell stock of our subsidiaries;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discussion of certain material or special United States federal income tax considerations applicable to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 and</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75" w:lineRule="exact"/>
        <w:rPr>
          <w:rFonts w:ascii="Arial" w:cs="Arial" w:eastAsia="Arial" w:hAnsi="Arial"/>
          <w:sz w:val="18"/>
          <w:szCs w:val="18"/>
          <w:color w:val="auto"/>
        </w:rPr>
      </w:pPr>
    </w:p>
    <w:p>
      <w:pPr>
        <w:ind w:left="1080" w:right="240" w:hanging="424"/>
        <w:spacing w:after="0" w:line="286"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will describe in each applicable prospectus supplement or free writing prospectus any additional events of default relating to the relevant series of debt securities.</w:t>
      </w:r>
    </w:p>
    <w:p>
      <w:pPr>
        <w:spacing w:after="0" w:line="170"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84"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8"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if:</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9"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6"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w:t>
      </w:r>
      <w:r>
        <w:rPr>
          <w:rFonts w:ascii="Arial" w:cs="Arial" w:eastAsia="Arial" w:hAnsi="Arial"/>
          <w:sz w:val="18"/>
          <w:szCs w:val="18"/>
          <w:i w:val="1"/>
          <w:iCs w:val="1"/>
          <w:color w:val="auto"/>
        </w:rPr>
        <w:t>Description of Debt Securities-Consolidation, Merger or Sale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under</w:t>
      </w:r>
    </w:p>
    <w:p>
      <w:pPr>
        <w:spacing w:after="0" w:line="34" w:lineRule="exact"/>
        <w:rPr>
          <w:rFonts w:ascii="Arial" w:cs="Arial" w:eastAsia="Arial" w:hAnsi="Arial"/>
          <w:sz w:val="17"/>
          <w:szCs w:val="17"/>
          <w:color w:val="auto"/>
        </w:rPr>
      </w:pPr>
    </w:p>
    <w:p>
      <w:pPr>
        <w:ind w:left="1080" w:right="200"/>
        <w:spacing w:after="0" w:line="26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Debt Securities-General</w:t>
      </w:r>
      <w:r>
        <w:rPr>
          <w:rFonts w:ascii="Arial" w:cs="Arial" w:eastAsia="Arial" w:hAnsi="Arial"/>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90"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such purpose;</w:t>
      </w:r>
    </w:p>
    <w:p>
      <w:pPr>
        <w:spacing w:after="0" w:line="130"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93"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extending the stated maturity of the series of debt securities;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or repurchase of any debt securities; or</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7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6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63" w:lineRule="exact"/>
        <w:rPr>
          <w:sz w:val="20"/>
          <w:szCs w:val="20"/>
          <w:color w:val="auto"/>
        </w:rPr>
      </w:pPr>
    </w:p>
    <w:p>
      <w:pPr>
        <w:jc w:val="both"/>
        <w:ind w:left="1080" w:right="2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84"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Debt Securities</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20"/>
        <w:spacing w:after="0" w:line="263" w:lineRule="auto"/>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8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080" w:right="4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periods during which, and places at which, the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2" w:lineRule="exact"/>
        <w:rPr>
          <w:sz w:val="20"/>
          <w:szCs w:val="20"/>
          <w:color w:val="auto"/>
        </w:rPr>
      </w:pPr>
    </w:p>
    <w:p>
      <w:pPr>
        <w:ind w:left="1080" w:right="2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provisions described in this section, as well as those described under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w:t>
      </w:r>
      <w:r>
        <w:rPr>
          <w:rFonts w:ascii="Arial" w:cs="Arial" w:eastAsia="Arial" w:hAnsi="Arial"/>
          <w:sz w:val="17"/>
          <w:szCs w:val="17"/>
          <w:i w:val="1"/>
          <w:iCs w:val="1"/>
          <w:color w:val="auto"/>
        </w:rPr>
        <w:t>Description of Debt Securities”</w:t>
      </w:r>
      <w:r>
        <w:rPr>
          <w:rFonts w:ascii="Arial" w:cs="Arial" w:eastAsia="Arial" w:hAnsi="Arial"/>
          <w:sz w:val="17"/>
          <w:szCs w:val="17"/>
          <w:color w:val="auto"/>
        </w:rPr>
        <w:t xml:space="preserve">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Description of Warrants</w:t>
      </w:r>
      <w:r>
        <w:rPr>
          <w:rFonts w:ascii="Arial" w:cs="Arial" w:eastAsia="Arial" w:hAnsi="Arial"/>
          <w:sz w:val="16"/>
          <w:szCs w:val="16"/>
          <w:color w:val="auto"/>
        </w:rPr>
        <w:t>” will apply to the securities included in each unit, to the extent relevant and as may be updated in any prospectus supplements.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Agreements</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cure any ambiguity; any provisions of the governing unit agreement that differ from those described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1080" w:right="1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1080" w:right="120" w:hanging="424"/>
        <w:spacing w:after="0" w:line="34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unit agreements and the units will be governed by New York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76" w:lineRule="exact"/>
        <w:rPr>
          <w:sz w:val="20"/>
          <w:szCs w:val="20"/>
          <w:color w:val="auto"/>
        </w:rPr>
      </w:pPr>
    </w:p>
    <w:p>
      <w:pPr>
        <w:ind w:left="1080" w:right="26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1"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2" w:lineRule="exact"/>
        <w:rPr>
          <w:rFonts w:ascii="Arial" w:cs="Arial" w:eastAsia="Arial" w:hAnsi="Arial"/>
          <w:sz w:val="18"/>
          <w:szCs w:val="18"/>
          <w:color w:val="auto"/>
        </w:rPr>
      </w:pPr>
    </w:p>
    <w:p>
      <w:pPr>
        <w:ind w:left="1080" w:right="20" w:hanging="424"/>
        <w:spacing w:after="0" w:line="273"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making payments and giving notices with respect to our units, we will follow the procedures as described in the applicable prospectus supplement</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76"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one or more transactions at a fixed price or prices, which may be changed from time to time;</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 market maker or into an existing trading market on an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prices related to those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9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order to facilitate the offering of securities, the underwriters may engage in transactions that stabilize, maintain or otherwise affect the price of the securities. Specifically, the underwriters may overallot in connection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At-the-Market Offerings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Remarketing Arrangements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5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1111885</wp:posOffset>
            </wp:positionV>
            <wp:extent cx="3728720" cy="5918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3728720" cy="591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20"/>
        <w:spacing w:after="0"/>
        <w:rPr>
          <w:sz w:val="20"/>
          <w:szCs w:val="20"/>
          <w:color w:val="auto"/>
        </w:rPr>
      </w:pPr>
      <w:r>
        <w:rPr>
          <w:rFonts w:ascii="Arial" w:cs="Arial" w:eastAsia="Arial" w:hAnsi="Arial"/>
          <w:sz w:val="29"/>
          <w:szCs w:val="29"/>
          <w:b w:val="1"/>
          <w:bCs w:val="1"/>
          <w:color w:val="auto"/>
        </w:rPr>
        <w:t>Up to $59,700,000</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876935</wp:posOffset>
            </wp:positionV>
            <wp:extent cx="22459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40"/>
        <w:spacing w:after="0"/>
        <w:rPr>
          <w:sz w:val="20"/>
          <w:szCs w:val="20"/>
          <w:color w:val="auto"/>
        </w:rPr>
      </w:pPr>
      <w:r>
        <w:rPr>
          <w:rFonts w:ascii="Arial" w:cs="Arial" w:eastAsia="Arial" w:hAnsi="Arial"/>
          <w:sz w:val="19"/>
          <w:szCs w:val="1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161925</wp:posOffset>
            </wp:positionV>
            <wp:extent cx="22459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4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October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339725</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399415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617"/>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lvl w:ilvl="1">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71" Type="http://schemas.openxmlformats.org/officeDocument/2006/relationships/image" Target="media/image36.png"/><Relationship Id="rId72" Type="http://schemas.openxmlformats.org/officeDocument/2006/relationships/image" Target="media/image37.png"/><Relationship Id="rId73" Type="http://schemas.openxmlformats.org/officeDocument/2006/relationships/image" Target="media/image38.png"/><Relationship Id="rId74" Type="http://schemas.openxmlformats.org/officeDocument/2006/relationships/image" Target="media/image39.png"/><Relationship Id="rId75" Type="http://schemas.openxmlformats.org/officeDocument/2006/relationships/image" Target="media/image40.png"/><Relationship Id="rId76" Type="http://schemas.openxmlformats.org/officeDocument/2006/relationships/image" Target="media/image41.png"/><Relationship Id="rId77" Type="http://schemas.openxmlformats.org/officeDocument/2006/relationships/image" Target="media/image42.png"/><Relationship Id="rId78" Type="http://schemas.openxmlformats.org/officeDocument/2006/relationships/image" Target="media/image43.png"/><Relationship Id="rId79" Type="http://schemas.openxmlformats.org/officeDocument/2006/relationships/image" Target="media/image44.png"/><Relationship Id="rId80" Type="http://schemas.openxmlformats.org/officeDocument/2006/relationships/image" Target="media/image45.png"/><Relationship Id="rId81"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84" Type="http://schemas.openxmlformats.org/officeDocument/2006/relationships/image" Target="media/image49.png"/><Relationship Id="rId85" Type="http://schemas.openxmlformats.org/officeDocument/2006/relationships/image" Target="media/image50.png"/><Relationship Id="rId86" Type="http://schemas.openxmlformats.org/officeDocument/2006/relationships/image" Target="media/image51.png"/><Relationship Id="rId87" Type="http://schemas.openxmlformats.org/officeDocument/2006/relationships/image" Target="media/image52.png"/><Relationship Id="rId88"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pn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jpe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39" Type="http://schemas.openxmlformats.org/officeDocument/2006/relationships/hyperlink" Target="http://www.sec.gov/ix?doc=/Archives/edgar/data/1816736/000095017023011139/iron-20221231.htm" TargetMode="External"/><Relationship Id="rId40" Type="http://schemas.openxmlformats.org/officeDocument/2006/relationships/hyperlink" Target="http://www.sec.gov/ix?doc=/Archives/edgar/data/1816736/000095017023021963/iron-20230331.htm" TargetMode="External"/><Relationship Id="rId41" Type="http://schemas.openxmlformats.org/officeDocument/2006/relationships/hyperlink" Target="http://www.sec.gov/ix?doc=/Archives/edgar/data/1816736/000095017023041594/iron-20230630.htm" TargetMode="External"/><Relationship Id="rId42" Type="http://schemas.openxmlformats.org/officeDocument/2006/relationships/hyperlink" Target="http://www.sec.gov/Archives/edgar/data/1816736/000114036122047453/brhc10045896_8k.htm" TargetMode="External"/><Relationship Id="rId43" Type="http://schemas.openxmlformats.org/officeDocument/2006/relationships/hyperlink" Target="http://www.sec.gov/ix?doc=/Archives/edgar/data/1816736/000119312523012530/d447304d8k.htm" TargetMode="External"/><Relationship Id="rId44" Type="http://schemas.openxmlformats.org/officeDocument/2006/relationships/hyperlink" Target="http://www.sec.gov/ix?doc=/Archives/edgar/data/1816736/000119312523015225/d456405d8k.htm" TargetMode="External"/><Relationship Id="rId45" Type="http://schemas.openxmlformats.org/officeDocument/2006/relationships/hyperlink" Target="http://www.sec.gov/ix?doc=/Archives/edgar/data/1816736/000119312523037151/d289637d8k.htm" TargetMode="External"/><Relationship Id="rId46" Type="http://schemas.openxmlformats.org/officeDocument/2006/relationships/hyperlink" Target="http://www.sec.gov/ix?doc=/Archives/edgar/data/1816736/000119312523086710/d463005d8k.htm" TargetMode="External"/><Relationship Id="rId47" Type="http://schemas.openxmlformats.org/officeDocument/2006/relationships/hyperlink" Target="http://www.sec.gov/ix?doc=/Archives/edgar/data/1816736/000119312523106433/d488839d8k.htm" TargetMode="External"/><Relationship Id="rId48" Type="http://schemas.openxmlformats.org/officeDocument/2006/relationships/hyperlink" Target="http://www.sec.gov/ix?doc=/Archives/edgar/data/1816736/000119312523164532/d477797d8k.htm" TargetMode="External"/><Relationship Id="rId49" Type="http://schemas.openxmlformats.org/officeDocument/2006/relationships/hyperlink" Target="http://www.sec.gov/ix?doc=/Archives/edgar/data/1816736/000119312523164010/d350054d8k.htm" TargetMode="External"/><Relationship Id="rId50" Type="http://schemas.openxmlformats.org/officeDocument/2006/relationships/hyperlink" Target="http://www.sec.gov/ix?doc=/Archives/edgar/data/1816736/000119312523165366/d431921d8k.htm" TargetMode="External"/><Relationship Id="rId51" Type="http://schemas.openxmlformats.org/officeDocument/2006/relationships/hyperlink" Target="http://www.sec.gov/ix?doc=/Archives/edgar/data/1816736/000119312523168460/d481795d8k.htm" TargetMode="External"/><Relationship Id="rId52" Type="http://schemas.openxmlformats.org/officeDocument/2006/relationships/hyperlink" Target="http://www.sec.gov/ix?doc=/Archives/edgar/data/0001816736/000119312523247379/d856602d8k.htm" TargetMode="External"/><Relationship Id="rId53" Type="http://schemas.openxmlformats.org/officeDocument/2006/relationships/hyperlink" Target="http://www.sec.gov/Archives/edgar/data/1816736/000121390020021145/ea125295-8a12b_fsdevelop.htm" TargetMode="External"/><Relationship Id="rId54" Type="http://schemas.openxmlformats.org/officeDocument/2006/relationships/hyperlink" Target="http://www.sec.gov/Archives/edgar/data/1816736/000095017022003288/gmtx-ex4_4.htm" TargetMode="External"/><Relationship Id="rId55" Type="http://schemas.openxmlformats.org/officeDocument/2006/relationships/hyperlink" Target="http://www.sec.gov/ix?doc=/Archives/edgar/data/1816736/000095017022003288/gmtx-20211231.htm" TargetMode="External"/><Relationship Id="rId56" Type="http://schemas.openxmlformats.org/officeDocument/2006/relationships/hyperlink" Target="http://www.sec.gov/Archives/edgar/data/1816736/000114036122043943/ny20005172x8_s4a.htm" TargetMode="External"/><Relationship Id="rId61" Type="http://schemas.openxmlformats.org/officeDocument/2006/relationships/hyperlink" Target="http://www.sec.gov/ix?doc=/Archives/edgar/data/1816736/000095017022008015/gmtx-20220331.htm" TargetMode="External"/><Relationship Id="rId62" Type="http://schemas.openxmlformats.org/officeDocument/2006/relationships/hyperlink" Target="http://www.sec.gov/ix?doc=/Archives/edgar/data/1816736/000095017022016671/gmtx-20220630.htm" TargetMode="External"/><Relationship Id="rId63" Type="http://schemas.openxmlformats.org/officeDocument/2006/relationships/hyperlink" Target="http://www.sec.gov/ix?doc=/Archives/edgar/data/1816736/000095017022024195/gmtx-20220930.htm" TargetMode="External"/><Relationship Id="rId64" Type="http://schemas.openxmlformats.org/officeDocument/2006/relationships/hyperlink" Target="http://www.sec.gov/ix?doc=/Archives/edgar/data/1816736/000119312522009374/d237658d8k.htm" TargetMode="External"/><Relationship Id="rId65" Type="http://schemas.openxmlformats.org/officeDocument/2006/relationships/hyperlink" Target="http://www.sec.gov/ix?doc=/Archives/edgar/data/1816736/000119312522055899/d29362d8k.htm" TargetMode="External"/><Relationship Id="rId66" Type="http://schemas.openxmlformats.org/officeDocument/2006/relationships/hyperlink" Target="http://www.sec.gov/ix?doc=/Archives/edgar/data/1816736/000119312522095633/d345871d8k.htm" TargetMode="External"/><Relationship Id="rId67" Type="http://schemas.openxmlformats.org/officeDocument/2006/relationships/hyperlink" Target="http://www.sec.gov/ix?doc=/Archives/edgar/data/1816736/000119312522216814/d94880d8k.htm" TargetMode="External"/><Relationship Id="rId68" Type="http://schemas.openxmlformats.org/officeDocument/2006/relationships/hyperlink" Target="http://www.sec.gov/ix?doc=/Archives/edgar/data/1816736/000119312522301064/d425106d8k.htm" TargetMode="External"/><Relationship Id="rId69" Type="http://schemas.openxmlformats.org/officeDocument/2006/relationships/hyperlink" Target="http://www.sec.gov/ix?doc=/Archives/edgar/data/1816736/000114036122047153/brhc10045909_8k.htm" TargetMode="External"/><Relationship Id="rId70" Type="http://schemas.openxmlformats.org/officeDocument/2006/relationships/hyperlink" Target="http://www.sec.gov/ix?doc=/Archives/edgar/data/1816736/000114036122047453/brhc1004589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2023-10-10T15:53:32Z</dcterms:created>
  <dcterms:modified xsi:type="dcterms:W3CDTF">2023-10-10T15:53:32Z</dcterms:modified>
</cp:coreProperties>
</file>