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440" w:hanging="212"/>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001-39438</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FS DEVELOPMENT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600 Montgomery Street, Suite 4500</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550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94111</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(415)877-4887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80" w:type="dxa"/>
            <w:vAlign w:val="bottom"/>
            <w:tcBorders>
              <w:top w:val="single" w:sz="8" w:color="auto"/>
            </w:tcBorders>
            <w:shd w:val="clear" w:color="auto" w:fill="CCEEFF"/>
          </w:tcPr>
          <w:p>
            <w:pPr>
              <w:jc w:val="center"/>
              <w:ind w:right="630"/>
              <w:spacing w:after="0" w:line="194" w:lineRule="exact"/>
              <w:rPr>
                <w:sz w:val="20"/>
                <w:szCs w:val="20"/>
                <w:color w:val="auto"/>
              </w:rPr>
            </w:pPr>
            <w:r>
              <w:rPr>
                <w:rFonts w:ascii="Times New Roman" w:cs="Times New Roman" w:eastAsia="Times New Roman" w:hAnsi="Times New Roman"/>
                <w:sz w:val="18"/>
                <w:szCs w:val="18"/>
                <w:b w:val="1"/>
                <w:bCs w:val="1"/>
                <w:color w:val="auto"/>
              </w:rPr>
              <w:t>FSDC</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4560" w:type="dxa"/>
            <w:vAlign w:val="bottom"/>
            <w:gridSpan w:val="3"/>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5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November 10, 2020, 12,516,500 Class A common stock, par value $0.0001, and 3,018,750 Class B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40" w:type="dxa"/>
            <w:vAlign w:val="bottom"/>
            <w:gridSpan w:val="5"/>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32"/>
        </w:trPr>
        <w:tc>
          <w:tcPr>
            <w:tcW w:w="66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10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Balance Sheet as of September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1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Statements of Operations for the three months ended September 30, 2020 and for the period from</w:t>
              </w:r>
            </w:hyperlink>
          </w:p>
        </w:tc>
        <w:tc>
          <w:tcPr>
            <w:tcW w:w="1000" w:type="dxa"/>
            <w:vAlign w:val="bottom"/>
            <w:shd w:val="clear" w:color="auto" w:fill="CCEEFF"/>
          </w:tcPr>
          <w:p>
            <w:pPr>
              <w:spacing w:after="0"/>
              <w:rPr>
                <w:sz w:val="15"/>
                <w:szCs w:val="15"/>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48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June 25, 2020 (inception) through September 30, 2020</w:t>
              </w:r>
            </w:hyperlink>
          </w:p>
        </w:tc>
        <w:tc>
          <w:tcPr>
            <w:tcW w:w="46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6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Statements of Changes in Stockholders’ Equity for the three months ended September 30, 2020 and</w:t>
              </w:r>
            </w:hyperlink>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94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for the period from June 25, 2020 (inception) through September 30, 2020</w:t>
              </w:r>
            </w:hyperlink>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Statement of Cash Flows for the period from June 25, 2020 (inception) through September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Quantitative and Qualitative Disclosures About Market Risk</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Controls and Procedures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9580" w:type="dxa"/>
            <w:vAlign w:val="bottom"/>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PART II. OTHER INFORMATION</w:t>
              </w:r>
            </w:hyperlink>
          </w:p>
        </w:tc>
        <w:tc>
          <w:tcPr>
            <w:tcW w:w="10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Legal Proceedings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Item 1A.</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Risk Factors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Unregistered Sales of Equity Securities and Use of Proceeds from Registered Securities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Defaults Upon Senior Securities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Mine Safety Disclosures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Other Information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480" w:type="dxa"/>
            <w:vAlign w:val="bottom"/>
            <w:shd w:val="clear" w:color="auto" w:fill="CCEEFF"/>
          </w:tcPr>
          <w:p>
            <w:pPr>
              <w:spacing w:after="0"/>
              <w:rPr>
                <w:sz w:val="18"/>
                <w:szCs w:val="18"/>
                <w:color w:val="auto"/>
              </w:rPr>
            </w:pPr>
          </w:p>
        </w:tc>
        <w:tc>
          <w:tcPr>
            <w:tcW w:w="910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Exhibits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8"/>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6">
              <w:r>
                <w:rPr>
                  <w:rFonts w:ascii="Times New Roman" w:cs="Times New Roman" w:eastAsia="Times New Roman" w:hAnsi="Times New Roman"/>
                  <w:sz w:val="18"/>
                  <w:szCs w:val="18"/>
                  <w:b w:val="1"/>
                  <w:bCs w:val="1"/>
                  <w:u w:val="single" w:color="auto"/>
                  <w:color w:val="0000EE"/>
                </w:rPr>
                <w:t>SIGNATURES</w:t>
              </w:r>
            </w:hyperlink>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1,437,928</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169,570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120,751,489</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122,358,987</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461,999</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552,402</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4,226,250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4,778,652</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 at $10.00 per share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112,580,330</w:t>
            </w: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140" w:hanging="129"/>
        <w:spacing w:after="0" w:line="250" w:lineRule="auto"/>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 issued and outstanding (excluding 11,258,033 shares subject to possible redemption)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5,500,488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(500,911)</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5,000,005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$ 122,358,987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From June 25,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(inception) through</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8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49,914</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8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 25, 2020 (INCEPTION) THROUGH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100" w:type="dxa"/>
            <w:vAlign w:val="bottom"/>
          </w:tcPr>
          <w:p>
            <w:pPr>
              <w:spacing w:after="0"/>
              <w:rPr>
                <w:sz w:val="20"/>
                <w:szCs w:val="20"/>
                <w:color w:val="auto"/>
              </w:rPr>
            </w:pPr>
          </w:p>
        </w:tc>
        <w:tc>
          <w:tcPr>
            <w:tcW w:w="22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9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310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Defiict</w:t>
            </w:r>
          </w:p>
        </w:tc>
        <w:tc>
          <w:tcPr>
            <w:tcW w:w="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25, 2020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 to</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3,018,750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24,698</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4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03"/>
        </w:trPr>
        <w:tc>
          <w:tcPr>
            <w:tcW w:w="31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June 30, 2020</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3,018,750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24,698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23,500</w:t>
            </w:r>
          </w:p>
        </w:tc>
        <w:tc>
          <w:tcPr>
            <w:tcW w:w="80" w:type="dxa"/>
            <w:vAlign w:val="bottom"/>
            <w:tcBorders>
              <w:top w:val="single" w:sz="8" w:color="CCEEFF"/>
            </w:tcBorders>
          </w:tcPr>
          <w:p>
            <w:pPr>
              <w:spacing w:after="0"/>
              <w:rPr>
                <w:sz w:val="17"/>
                <w:szCs w:val="17"/>
                <w:color w:val="auto"/>
              </w:rPr>
            </w:pPr>
          </w:p>
        </w:tc>
      </w:tr>
      <w:tr>
        <w:trPr>
          <w:trHeight w:val="198"/>
        </w:trPr>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shares in initial public offering,</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120,748,792</w:t>
            </w: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120,750,000</w:t>
            </w:r>
          </w:p>
        </w:tc>
        <w:tc>
          <w:tcPr>
            <w:tcW w:w="8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(7,108,754)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(7,108,754)</w:t>
            </w:r>
          </w:p>
        </w:tc>
      </w:tr>
      <w:tr>
        <w:trPr>
          <w:trHeight w:val="198"/>
        </w:trPr>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shares to</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in private placement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4,414,956</w:t>
            </w: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4,415,000</w:t>
            </w:r>
          </w:p>
        </w:tc>
        <w:tc>
          <w:tcPr>
            <w:tcW w:w="80" w:type="dxa"/>
            <w:vAlign w:val="bottom"/>
            <w:shd w:val="clear" w:color="auto" w:fill="CCEEFF"/>
          </w:tcPr>
          <w:p>
            <w:pPr>
              <w:spacing w:after="0"/>
              <w:rPr>
                <w:sz w:val="20"/>
                <w:szCs w:val="20"/>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(11,258,033)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(112,579,204)</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(112,580,330)</w:t>
            </w:r>
          </w:p>
        </w:tc>
      </w:tr>
      <w:tr>
        <w:trPr>
          <w:trHeight w:val="24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(499,411)</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(499,411)</w:t>
            </w:r>
          </w:p>
        </w:tc>
      </w:tr>
      <w:tr>
        <w:trPr>
          <w:trHeight w:val="167"/>
        </w:trPr>
        <w:tc>
          <w:tcPr>
            <w:tcW w:w="31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52"/>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5,500,488</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(500,911)</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5,000,005</w:t>
            </w:r>
          </w:p>
        </w:tc>
        <w:tc>
          <w:tcPr>
            <w:tcW w:w="8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FOR THE PERIOD FROM JUNE 25, 2020 (INCEPTION) THROUGH SEPTEMBER 30,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Franchise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issuance of Class B common stock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p>
      <w:pPr>
        <w:spacing w:after="0" w:line="2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hanging="475"/>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(500,911)</w:t>
      </w:r>
    </w:p>
    <w:p>
      <w:pPr>
        <w:spacing w:after="0" w:line="38"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(1,489)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(169,570)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39,489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49,914</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391,999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(190,568)</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(120,750,000)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(120,750,000)</w:t>
      </w:r>
    </w:p>
    <w:p>
      <w:pPr>
        <w:spacing w:after="0" w:line="200" w:lineRule="exact"/>
        <w:rPr>
          <w:sz w:val="20"/>
          <w:szCs w:val="20"/>
          <w:color w:val="auto"/>
        </w:rPr>
      </w:pPr>
    </w:p>
    <w:p>
      <w:pPr>
        <w:spacing w:after="0" w:line="2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120,750,000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4,415,000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(2,811,504)</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122,378,496</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1,437,928</w:t>
      </w:r>
    </w:p>
    <w:p>
      <w:pPr>
        <w:spacing w:after="0" w:line="2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1,437,928</w:t>
      </w:r>
    </w:p>
    <w:p>
      <w:pPr>
        <w:spacing w:after="0" w:line="200" w:lineRule="exact"/>
        <w:rPr>
          <w:sz w:val="20"/>
          <w:szCs w:val="20"/>
          <w:color w:val="auto"/>
        </w:rPr>
      </w:pPr>
    </w:p>
    <w:p>
      <w:pPr>
        <w:spacing w:after="0" w:line="313" w:lineRule="exact"/>
        <w:rPr>
          <w:sz w:val="20"/>
          <w:szCs w:val="20"/>
          <w:color w:val="auto"/>
        </w:rPr>
      </w:pPr>
    </w:p>
    <w:p>
      <w:pPr>
        <w:ind w:left="700" w:hanging="695"/>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sz w:val="20"/>
          <w:szCs w:val="20"/>
          <w:color w:val="auto"/>
        </w:rPr>
      </w:pPr>
    </w:p>
    <w:p>
      <w:pPr>
        <w:ind w:left="620" w:hanging="6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9" w:lineRule="exact"/>
        <w:rPr>
          <w:sz w:val="20"/>
          <w:szCs w:val="20"/>
          <w:color w:val="auto"/>
        </w:rPr>
      </w:pPr>
    </w:p>
    <w:p>
      <w:pPr>
        <w:ind w:left="400" w:hanging="395"/>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4,226,250</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113,053,770</w:t>
      </w:r>
    </w:p>
    <w:p>
      <w:pPr>
        <w:spacing w:after="0" w:line="9"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(473,440)</w:t>
      </w:r>
    </w:p>
    <w:p>
      <w:pPr>
        <w:sectPr>
          <w:pgSz w:w="11900" w:h="16838" w:orient="portrait"/>
          <w:cols w:equalWidth="0" w:num="2">
            <w:col w:w="9300" w:space="720"/>
            <w:col w:w="1180"/>
          </w:cols>
          <w:pgMar w:left="320" w:top="90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Organization, Business Operations and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w:t>
      </w:r>
    </w:p>
    <w:p>
      <w:pPr>
        <w:spacing w:after="0" w:line="3" w:lineRule="exact"/>
        <w:rPr>
          <w:sz w:val="20"/>
          <w:szCs w:val="20"/>
          <w:color w:val="auto"/>
        </w:rPr>
      </w:pPr>
    </w:p>
    <w:p>
      <w:pPr>
        <w:jc w:val="both"/>
        <w:ind w:firstLine="8"/>
        <w:spacing w:after="0" w:line="252"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6—Stockholders’ Equity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2020, there were 12,516,500 Class A common stock outstanding, including 11,258,033 Class A common stock subject to possible conversion were classified as temporary equity in the accompanying balance sheet.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 per share, with such designations,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rights and preferences as may be determined from time to time by the Company’s board of directors. As of September 30, 2020, there were no shares of preferred stock issued or outstanding.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3" w:lineRule="exact"/>
        <w:rPr>
          <w:sz w:val="20"/>
          <w:szCs w:val="20"/>
          <w:color w:val="auto"/>
        </w:rPr>
      </w:pPr>
    </w:p>
    <w:p>
      <w:pPr>
        <w:jc w:val="both"/>
        <w:ind w:firstLine="8"/>
        <w:spacing w:after="0" w:line="252"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 (vi) 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16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 Stockholders of the Company (the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8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 stockholders (the “Gemini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 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 (iii) 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9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 with certain investors,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the “Company,” “our,” “us” or “we” refer to FS Development Corp.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June 25, 2020 for the purpose of effecting a merger, capital stock exchange, asset acquisition, stock purchase, reorganization or similar business combination with one or more businesses (the “Business Combination”). Our sponsor is FS Development Holdings, LLC, a Delaware limited liability company (our “Sponsor”).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statements for our initial public offering (the “Initial Public Offering”) became effective on August 11, 2020. On August 14, 2020, we consummated the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we consummated the private placement (“Private Placement”) of 441,500 shares of Class A common stock (each, a “Private Placement Share” and collectively, the “Private Placement Shares”), at a price of $10.00 per Private Placement Share to our Sponsor, generating proceeds of approximately $4.4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Initial Public Offering, or August 14, 2022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15, 2020, we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The Merger Agreement provides, among other things, that Merger Sub will merge with and into Gemini, with Gemini surviving as a wholly owned subsidiary of the Company (the “Merger”). In connection with the Business Combination, FS Development will be renamed “Gemini Therapeutics, Inc.” The Merger Agreement also calls for additional agreements, including, among others, Subscription Agreements, Non-Redemption Letter Agreements, and Gemini Support Agreements. Parent Support Agreements, Registration Rights Agreement, Lock-Up Agreement and Voting Agreement. For additional information about the Merger Agreement and the ancillary documents executed or to be executed in connection therewith, see Note 7 to the “Notes to Unaudited Condensed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Initial Public Offering, and since the closing of the Initial Public Offering,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its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 Shares (as defined below) by our Sponsor, the loan proceeds under the promissory note of $200,000 from our Sponsor (the “Note”) to cover our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the Company Working Capital Loans. As of September 30, 2020, there were no amounts outstanding under any Working Capital Loans.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the Company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the Company’s unaudited condensed balance sheet.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2020, as such term is defined in Rules 13a-15(e) and 15d-15(e) under the Exchange Act. Based on this evaluation, our chief executive officer and chief financial officer have concluded that during the period covered by this report, our disclosure controls and procedures were effective.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from June 25, 2020 (inception) through September 30, 2020, covered by this Quarterly Report on Form 10-Q that has materially affected, or is reasonably likely to materially affect, our internal control over financial reporting.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most recent prospectus for the Initial Public Offering as filed with the SEC on August 13,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2020, our Sponsor purchased 2,875,000 shares of our Company’s Class B common stock, par value $0.0001 per share, (the “Founder Shares”) for an aggregate price of $25,000. On July 24, 2020, our Sponsor transferred 30,000 Founder Shares to each of its independent director nominees at their original per-share purchase price, for an aggregate of 90,000 Founder Shares transferred. On August 11, 2020, we effected a 1:1.05 stock split of the Class B common stock, resulting in our Sponsor holding an aggregate of 2,928,750 Founder Shares and there being an aggregate of 3,018,750 Founder Shares outstanding. Our Sponsor agreed to forfeit up to 393,750 Founder Shares to the extent that the over-allotment option is not exercised in full by the underwriter, so that the Founder Shares would represent 20.0% of our issued and outstanding shares of common stock after the Initial Public Offering (excluding the Private Placement Shares). On August 14, 2020, the underwriter exercised the over-allotment option; thus, these Founder Shares were no longer subject to forfeiture. Such securities were issued in connection with the Company’s organization pursuant to the exemption from registration contained in Section 4(a)(2) of the Securities Act.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simultaneously with the closing of the Initial Public Offering, we consummated the Private Placement of 441,500 Private Placement Shares, at a price of $10.00 per Private Placement Share to our Sponsor, generating proceeds of approximately $4.4 million. This issuance was made pursuant to the exemption from registration contained in Section 4(a)(2)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shares of Class A common stock, including the issuance of 1,575,000 shares of Class A Common Stock as a result of the underwriter’s exercise in full of its over-allotment option, at $10.00 per share, generating net proceeds of approximately $118.3 million after deducting underwriting discounts and commissions (excluding the deferred portion thereof). The securities in the offering were registered under the Securities Act on registration statements on Form S-1 (File Nos. 333-240098 and 333-244534) that became effective on August 11, 2020. Jefferies LLC acted as the underwriter for the Initial Public Offering.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Initial Public Offering, we incurred offering costs of approximately $7.1 million, inclusive of approximately $4.2 million in deferred underwriting commissions.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approximately $120.8 million of the net proceeds from our Initial Public Offering and certain of the proceeds from the Private Placement of the Private Placement Shares (or $10.00 per share sold in the Initial Public Offering) was placed in the Trust Account. The net proceeds of the Initial Public Offering and certain proceeds from the sale of the Private Placement Shares are held in the Trust Account and invested as described elsewhere in this Quarterly Report on Form 10-Q.</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Merger Agreement, dated as of October 15, 2020, by and between FS Development Corp., FSG Merger Sub Inc., Gemini Therapeutics, Inc.</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and Shareholder Representative Services, LLC (incorporated by reference to Exhibit 2.1 to Registrant’s Current Report on Form 8-K/A,</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filed with the SEC on October 20,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Subscription Agreement (incorporated by reference to Exhibit 10.1 of the Company’s Current Report on Form 8-K/A, filed with</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the SEC on October 20,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Company Support Agreement, dated as of October 15, 2020, by and among FS Development Corp. and certain supporting stockholders of</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Gemini Therapeutics, Inc. (incorporated by reference to Exhibit 10.2 of the Company’s Current Report on Form 8-K/A, filed with the SEC</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on October 20,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Parent Support Agreement, dated as of October 15, 2020, by and among FS Development Corp., Gemini Therapeutics, Inc., FS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Development Holdings, LLC and certain supporting stockholders of FS Development Corp. (incorporated by reference to Exhibit 10.3 of</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the Company’s Current Report on Form 8-K/A, filed with the SEC on October 20,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Non-Redemption Agreement (incorporated by reference to Exhibit 10.5 of the Company’s Registration Statement on Form S-4,</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filed with the SEC on November 2,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Certification of Chief Executive Officer Pursuant to Rules 13a-14(a) and 15d-14(a) under the Securities Exchange Act of 1934, as Adopted</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Pursuant to Section 302 of the Sarbanes-Oxley 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Certification of Chief Financial Officer Pursuant to Rules 13a-14(a) and 15d-14(a) under the Securities Exchange Act of 1934, as Adopted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Pursuant to Section 302 of the Sarbanes-Oxley Act of 2002</w:t>
              </w:r>
              <w:r>
                <w:rPr>
                  <w:rFonts w:ascii="Times New Roman" w:cs="Times New Roman" w:eastAsia="Times New Roman" w:hAnsi="Times New Roman"/>
                  <w:sz w:val="18"/>
                  <w:szCs w:val="18"/>
                  <w:color w:val="000000"/>
                </w:rPr>
                <w: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9"/>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9"/>
          </w:tcPr>
          <w:p>
            <w:pPr>
              <w:ind w:left="4380"/>
              <w:spacing w:after="0"/>
              <w:rPr>
                <w:sz w:val="20"/>
                <w:szCs w:val="20"/>
                <w:color w:val="auto"/>
              </w:rPr>
            </w:pPr>
            <w:r>
              <w:rPr>
                <w:rFonts w:ascii="Times New Roman" w:cs="Times New Roman" w:eastAsia="Times New Roman" w:hAnsi="Times New Roman"/>
                <w:sz w:val="22"/>
                <w:szCs w:val="22"/>
                <w:color w:val="auto"/>
              </w:rPr>
              <w:t>23</w:t>
            </w: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10th day of November, 2020.</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 Tananbaum,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2020 and for the period from June 25, 2020 (inception) through September 30, 2020 of FS Development Corp.;</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Jim Tananbaum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7" w:name="page28"/>
    <w:bookmarkEnd w:id="27"/>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Ryan,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2020 and for the period from June 25, 2020 (inception) through September 30, 2020 of FS Development Corp.;</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Dennis Ryan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8" w:name="page29"/>
    <w:bookmarkEnd w:id="28"/>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three months ended September 30, 2020 and for the period from June 25, 2020 (inception) through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Jim Tananbaum, President, Chief Executive Officer and Director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00"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2020</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9" w:name="page30"/>
    <w:bookmarkEnd w:id="29"/>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three months ended September 30, 2020 and for the period from June 25, 2020 (inception) through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Dennis Ryan,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00"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2020</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Roman"/>
      <w:start w:val="5"/>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58" Type="http://schemas.openxmlformats.org/officeDocument/2006/relationships/hyperlink" Target="http://www.sec.gov/Archives/edgar/data/1816736/000121390020032122/ea128463ex2-1_fsdevelopment.htm" TargetMode="External"/><Relationship Id="rId59" Type="http://schemas.openxmlformats.org/officeDocument/2006/relationships/hyperlink" Target="http://www.sec.gov/Archives/edgar/data/1816736/000121390020032122/ea128463ex10-1_fsdevelopment.htm" TargetMode="External"/><Relationship Id="rId60" Type="http://schemas.openxmlformats.org/officeDocument/2006/relationships/hyperlink" Target="http://www.sec.gov/Archives/edgar/data/1816736/000121390020032122/ea128463ex10-2_fsdevelopment.htm" TargetMode="External"/><Relationship Id="rId61" Type="http://schemas.openxmlformats.org/officeDocument/2006/relationships/hyperlink" Target="http://www.sec.gov/Archives/edgar/data/1816736/000121390020032122/ea128463ex10-3_fsdevelopment.htm" TargetMode="External"/><Relationship Id="rId62" Type="http://schemas.openxmlformats.org/officeDocument/2006/relationships/hyperlink" Target="http://www.sec.gov/Archives/edgar/data/1816736/000121390020034347/fs42020ex10-5_geminifsde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2020-11-12T05:21:24Z</dcterms:created>
  <dcterms:modified xsi:type="dcterms:W3CDTF">2020-11-12T05:21:24Z</dcterms:modified>
</cp:coreProperties>
</file>