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Savage William Jacob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02472</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02/18/2025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1,638</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54.58</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68,498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shares sold by the Reporting Person to cover tax withholding obligations in connection with the vesting of certain restricted stock units granted on January 10, 2024 and previously reported in Table I. This sale is a "sell to cover" transaction and does not represent a discretionary transaction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Rahul Khara,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02/20/2025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tcBorders>
              <w:top w:val="single" w:sz="8" w:color="auto"/>
            </w:tcBorders>
            <w:vMerge w:val="restart"/>
          </w:tcPr>
          <w:p>
            <w:pPr>
              <w:spacing w:after="0"/>
              <w:rPr>
                <w:sz w:val="7"/>
                <w:szCs w:val="7"/>
                <w:color w:val="auto"/>
              </w:rPr>
            </w:pPr>
          </w:p>
        </w:tc>
        <w:tc>
          <w:tcPr>
            <w:tcW w:w="4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1852"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2025-02-20T18:40:56Z</dcterms:created>
  <dcterms:modified xsi:type="dcterms:W3CDTF">2025-02-20T18:40:56Z</dcterms:modified>
</cp:coreProperties>
</file>