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035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03567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85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Yu Jonathan Yen-Wen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858"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60" w:type="dxa"/>
            <w:vAlign w:val="bottom"/>
            <w:gridSpan w:val="6"/>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02472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06/16/2026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5,261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9.86</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59,585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06/16/2026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13,351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9.86</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72,936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06/16/2026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11,651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68.7582</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61,285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06/16/2026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6,961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69.918</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54,324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9.86</w:t>
            </w:r>
          </w:p>
        </w:tc>
        <w:tc>
          <w:tcPr>
            <w:tcW w:w="104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12"/>
                <w:szCs w:val="12"/>
                <w:color w:val="auto"/>
              </w:rPr>
            </w:pPr>
          </w:p>
        </w:tc>
        <w:tc>
          <w:tcPr>
            <w:tcW w:w="440" w:type="dxa"/>
            <w:vAlign w:val="bottom"/>
            <w:gridSpan w:val="2"/>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5,261</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09/13/2031</w:t>
            </w:r>
          </w:p>
        </w:tc>
        <w:tc>
          <w:tcPr>
            <w:tcW w:w="56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jc w:val="right"/>
              <w:ind w:right="50"/>
              <w:spacing w:after="0"/>
              <w:rPr>
                <w:sz w:val="20"/>
                <w:szCs w:val="20"/>
                <w:color w:val="auto"/>
              </w:rPr>
            </w:pPr>
            <w:r>
              <w:rPr>
                <w:rFonts w:ascii="Times New Roman" w:cs="Times New Roman" w:eastAsia="Times New Roman" w:hAnsi="Times New Roman"/>
                <w:sz w:val="17"/>
                <w:szCs w:val="17"/>
                <w:color w:val="0000FF"/>
              </w:rPr>
              <w:t>5,261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jc w:val="right"/>
              <w:ind w:right="1"/>
              <w:spacing w:after="0"/>
              <w:rPr>
                <w:sz w:val="20"/>
                <w:szCs w:val="20"/>
                <w:color w:val="auto"/>
              </w:rPr>
            </w:pPr>
            <w:r>
              <w:rPr>
                <w:rFonts w:ascii="Times New Roman" w:cs="Times New Roman" w:eastAsia="Times New Roman" w:hAnsi="Times New Roman"/>
                <w:sz w:val="13"/>
                <w:szCs w:val="13"/>
                <w:color w:val="0000FF"/>
              </w:rPr>
              <w:t>1,753</w:t>
            </w:r>
          </w:p>
        </w:tc>
        <w:tc>
          <w:tcPr>
            <w:tcW w:w="26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9.86</w:t>
            </w: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16"/>
                <w:szCs w:val="16"/>
                <w:color w:val="auto"/>
              </w:rPr>
            </w:pPr>
          </w:p>
        </w:tc>
        <w:tc>
          <w:tcPr>
            <w:tcW w:w="44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13,351</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09/13/2031</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7"/>
                <w:szCs w:val="17"/>
                <w:color w:val="0000FF"/>
              </w:rPr>
              <w:t>13,351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31,951</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were effected by the Reporting Person pursuant to a Rule 10b5-1 trading plan adopted on March 17, 2026.</w:t>
      </w:r>
    </w:p>
    <w:p>
      <w:pPr>
        <w:spacing w:after="0" w:line="43"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$68.37 to $69.36,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$69.40 to $70.19,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are fully vested and exercisable as of the date hereof.</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By: /s/ Rahul Khara, as</w:t>
            </w:r>
          </w:p>
        </w:tc>
        <w:tc>
          <w:tcPr>
            <w:tcW w:w="6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06/18/2026</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85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51849"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2026-06-18T15:55:22Z</dcterms:created>
  <dcterms:modified xsi:type="dcterms:W3CDTF">2026-06-18T15:55:22Z</dcterms:modified>
</cp:coreProperties>
</file>