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1824"/>
        <w:spacing w:after="0"/>
        <w:rPr>
          <w:sz w:val="20"/>
          <w:szCs w:val="20"/>
          <w:color w:val="auto"/>
        </w:rPr>
      </w:pPr>
      <w:r>
        <w:rPr>
          <w:rFonts w:ascii="Arial" w:cs="Arial" w:eastAsia="Arial" w:hAnsi="Arial"/>
          <w:sz w:val="16"/>
          <w:szCs w:val="16"/>
          <w:b w:val="1"/>
          <w:bCs w:val="1"/>
          <w:color w:val="auto"/>
        </w:rPr>
        <w:t>Address Not Applicable</w:t>
      </w:r>
      <w:r>
        <w:rPr>
          <w:rFonts w:ascii="Arial" w:cs="Arial" w:eastAsia="Arial" w:hAnsi="Arial"/>
          <w:sz w:val="13"/>
          <w:szCs w:val="13"/>
          <w:b w:val="1"/>
          <w:bCs w:val="1"/>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Address Not Applicable</w:t>
      </w:r>
      <w:r>
        <w:rPr>
          <w:rFonts w:ascii="Arial" w:cs="Arial" w:eastAsia="Arial" w:hAnsi="Arial"/>
          <w:sz w:val="13"/>
          <w:szCs w:val="13"/>
          <w:b w:val="1"/>
          <w:bCs w:val="1"/>
          <w:color w:val="auto"/>
        </w:rPr>
        <w:t>1</w:t>
      </w:r>
    </w:p>
    <w:p>
      <w:pPr>
        <w:spacing w:after="0" w:line="50" w:lineRule="exact"/>
        <w:rPr>
          <w:sz w:val="24"/>
          <w:szCs w:val="24"/>
          <w:color w:val="auto"/>
        </w:rPr>
      </w:pPr>
    </w:p>
    <w:p>
      <w:pPr>
        <w:sectPr>
          <w:pgSz w:w="11900" w:h="16838" w:orient="portrait"/>
          <w:cols w:equalWidth="0" w:num="2">
            <w:col w:w="6664" w:space="720"/>
            <w:col w:w="364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300 One Kendall Square, 3</w:t>
      </w:r>
      <w:r>
        <w:rPr>
          <w:rFonts w:ascii="Arial" w:cs="Arial" w:eastAsia="Arial" w:hAnsi="Arial"/>
          <w:sz w:val="15"/>
          <w:szCs w:val="15"/>
          <w:b w:val="1"/>
          <w:bCs w:val="1"/>
          <w:color w:val="auto"/>
        </w:rPr>
        <w:t>rd</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1940" w:firstLine="428"/>
        <w:spacing w:after="0" w:line="417" w:lineRule="auto"/>
        <w:tabs>
          <w:tab w:leader="none" w:pos="97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ind w:left="424" w:right="18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4"/>
          <w:szCs w:val="24"/>
          <w:color w:val="auto"/>
        </w:rPr>
      </w:pPr>
    </w:p>
    <w:p>
      <w:pPr>
        <w:ind w:left="424" w:hanging="424"/>
        <w:spacing w:after="0"/>
        <w:tabs>
          <w:tab w:leader="none" w:pos="424" w:val="left"/>
        </w:tabs>
        <w:numPr>
          <w:ilvl w:val="0"/>
          <w:numId w:val="4"/>
        </w:numPr>
        <w:rPr>
          <w:rFonts w:ascii="Arial" w:cs="Arial" w:eastAsia="Arial" w:hAnsi="Arial"/>
          <w:sz w:val="14"/>
          <w:szCs w:val="14"/>
          <w:color w:val="auto"/>
        </w:rPr>
      </w:pPr>
      <w:r>
        <w:rPr>
          <w:rFonts w:ascii="Arial" w:cs="Arial" w:eastAsia="Arial" w:hAnsi="Arial"/>
          <w:sz w:val="17"/>
          <w:szCs w:val="17"/>
          <w:color w:val="auto"/>
        </w:rPr>
        <w:t>In January 2022, the Company became a remote-first company. Accordingly, the Company does not currently maintain a headquarters.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January 10, 2022, the Company issued a press release entitled “Gemini Therapeutics Provides GEM103 Program Update.”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7.01, including Exhibit 99.1 to this Current Report on Form 8-K,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10, 2022, Gemini Therapeutics, Inc. (the “Company”) announced that the Company will discontinue both of its ongoing Phase 2a clinical trials, the ReGAtta study and the GEM103 as an Add-On to Anti-VEGF Therapy for the Treatment of Wet-AMD study, as both studies have achieved their intended purpose of evaluating GEM103’s safety and tolerability, and have also provided data indicating that GEM103 had biological activity and sustained supraphysiologic pharmacokinetics levels at both monthly and every-other-month doses. The Company is actively evaluating next steps with GEM103’s continued clinical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GEM103 Phase 2a ReGAtta Study Update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Ongoing analysis of the 62 patients enrolled in the ReGAtta study continues to show that more than nine months of GEM103 exposure has been generally well-tolerated, able to durably reduce biomarkers of complement activation, and able to maintain supraphysiological levels of Complement Factor H (CFH). ReGAtta, an open-label, non-controlled study, was designed to evaluate GEM103’s safety and pharmacokinetics over multiple intravitreal injections.</w:t>
      </w:r>
    </w:p>
    <w:p>
      <w:pPr>
        <w:sectPr>
          <w:pgSz w:w="11900" w:h="16838" w:orient="portrait"/>
          <w:cols w:equalWidth="0" w:num="1">
            <w:col w:w="10900"/>
          </w:cols>
          <w:pgMar w:left="440" w:top="297" w:right="5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GEM103 Phase 2a as an Add-On to Anti-VEGF Therapy for the Treatment of Wet AMD Study Update</w:t>
      </w:r>
    </w:p>
    <w:p>
      <w:pPr>
        <w:spacing w:after="0" w:line="121"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In December 2021, the Company received six-month data for the 50 patients enrolled in the wet AMD study. This study was designed to investigate the safety and tolerability of GEM103 as an adjunct to standard of care aflibercept therapy, with patients randomized 2:1 between a GEM103 plus aflibercept arm and a sham comparator plus aflibercept arm. Interim analysis showed that intravitreal GEM103 plus aflibercept was generally well-tolerated, and the safety profile was generally consistent with the sham plus aflibercept arm. Patients in this study were dosed every other month concurrently with aflibercept. CFH levels remained supraphysiologic and greater than five times above baseline at the trough timepoints throughout the six months.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GEM103 Study Plans</w:t>
      </w:r>
    </w:p>
    <w:p>
      <w:pPr>
        <w:spacing w:after="0" w:line="121"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Having achieved the ReGAtta study’s primary goal of assessing GEM103’s safety and tolerability, as well as the primary goal of assessing GEM103’s safety and tolerability as an add-on to aflibercept for the treatment of wet AMD, the Company will end both of these ongoing Phase 2a studies with patients returning for a final safety visit.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Certain statements in this Current Report on Form 8-K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the success, cost, timing and status of our product development activities and clinical trials, the timing of anticipated announcements of updates with respect to our product candidates and the timing to commence any potential future clinical trials, the potential attributes and benefits of our product candidates, including GEM103, the reliability of the interim or final results of studies relating to safety and possible adverse effects, including serious adverse events, resulting from the administration of our product candidates, our ability to obtain and maintain regulatory approval for our product candidates.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32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5100" w:type="dxa"/>
            <w:vAlign w:val="bottom"/>
          </w:tcPr>
          <w:p>
            <w:pPr>
              <w:spacing w:after="0"/>
              <w:rPr>
                <w:sz w:val="14"/>
                <w:szCs w:val="14"/>
                <w:color w:val="auto"/>
              </w:rPr>
            </w:pPr>
          </w:p>
        </w:tc>
      </w:tr>
      <w:tr>
        <w:trPr>
          <w:trHeight w:val="171"/>
        </w:trPr>
        <w:tc>
          <w:tcPr>
            <w:tcW w:w="1040" w:type="dxa"/>
            <w:vAlign w:val="bottom"/>
            <w:gridSpan w:val="2"/>
          </w:tcPr>
          <w:p>
            <w:pPr>
              <w:jc w:val="center"/>
              <w:ind w:right="540"/>
              <w:spacing w:after="0" w:line="151" w:lineRule="exact"/>
              <w:rPr>
                <w:sz w:val="20"/>
                <w:szCs w:val="20"/>
                <w:color w:val="auto"/>
              </w:rPr>
            </w:pPr>
            <w:r>
              <w:rPr>
                <w:rFonts w:ascii="Arial" w:cs="Arial" w:eastAsia="Arial" w:hAnsi="Arial"/>
                <w:sz w:val="14"/>
                <w:szCs w:val="14"/>
                <w:b w:val="1"/>
                <w:bCs w:val="1"/>
                <w:color w:val="auto"/>
                <w:w w:val="94"/>
              </w:rPr>
              <w:t>Number</w:t>
            </w:r>
          </w:p>
        </w:tc>
        <w:tc>
          <w:tcPr>
            <w:tcW w:w="998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99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by Gemini Therapeutics, Inc., dated January 10, 2022</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8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4"/>
          </w:cols>
          <w:pgMar w:left="436" w:top="297" w:right="43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10, 2022</w:t>
      </w:r>
    </w:p>
    <w:p>
      <w:pPr>
        <w:sectPr>
          <w:pgSz w:w="11900" w:h="16838" w:orient="portrait"/>
          <w:cols w:equalWidth="0" w:num="1">
            <w:col w:w="10260"/>
          </w:cols>
          <w:pgMar w:left="440" w:top="405"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171450</wp:posOffset>
            </wp:positionV>
            <wp:extent cx="1071245"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Provides GEM103 Program Update</w:t>
      </w:r>
    </w:p>
    <w:p>
      <w:pPr>
        <w:spacing w:after="0" w:line="225"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CAMBRIDGE, Mass. – January 10, 2022 </w:t>
      </w:r>
      <w:r>
        <w:rPr>
          <w:rFonts w:ascii="Arial" w:cs="Arial" w:eastAsia="Arial" w:hAnsi="Arial"/>
          <w:sz w:val="18"/>
          <w:szCs w:val="18"/>
          <w:color w:val="auto"/>
        </w:rPr>
        <w:t>– Gemini Therapeutics, Inc. (Nasdaq: GMTX), a clinical stage precision medicine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treatments for genetically-defined age-related macular degeneration (AMD), today announced updates from its ongoing phase 2a clinical studies of GEM103 and strategic evaluation of GEM103’s clinical development program.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GEM103 Phase 2a ReGAtta Study Update</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Ongoing analysis of the 62 patients enrolled in the ReGAtta study continues to show that more than nine months of GEM103 exposure has been generally well-tolerated, able to durably reduce biomarkers of complement activation, and able to maintain supraphysiological levels of Complement Factor H (CFH). ReGAtta, an open-label, non-controlled study, was designed to evaluate GEM103’s safety and pharmacokinetics (PK) over multiple intravitreal injections.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GEM103 Phase 2a as an Add-On to Anti-VEGF Therapy for the Treatment of Wet AMD Study Update</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December 2021, the Company received six-month data for the 50 patients enrolled in the wet AMD study. This study was designed to investigate the safety and tolerability of GEM103 as an adjunct to standard of care aflibercept therapy, with patients randomized 2:1 between a GEM103 plus aflibercept arm and a sham comparator plus aflibercept arm. Interim analysis showed that intravitreal GEM103 plus aflibercept was generally well-tolerated, and the safety profile was generally consistent with the sham plus aflibercept arm. Patients in this study were dosed every other month concurrently with aflibercept. CFH levels remained supraphysiologic and greater than five times above baseline at the trough timepoints throughout the six months.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GEM103 Study Plans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Having achieved the ReGAtta study’s primary goal of assessing GEM103’s safety and tolerability, as well as the primary goal of assessing GEM103’s safety and tolerability as an add-on to aflibercept for the treatment of wet AMD, the Company will end both of these ongoing Phase 2a studies with patients returning for a final safety visit.</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ReGAtta and wet AMD clinical studies have achieved their intended purpose of evaluating GEM103’s safety and tolerability, and have also provided data indicating that GEM103 had biological activity and sustained supraphysiologic PK levels at both monthly and every-other-month doses,” stated Jason Meyenburg, Gemini’s Chief Executive Officer. “We want to express our gratitude to the patients who participated in these studies as well as the investigators and site staff conducting the studies. We are actively evaluating next steps with GEM103’s continued clinical development and intend to provide an update by the end of the first quarter 2022.”</w:t>
      </w:r>
    </w:p>
    <w:p>
      <w:pPr>
        <w:sectPr>
          <w:pgSz w:w="11900" w:h="16838" w:orient="portrait"/>
          <w:cols w:equalWidth="0" w:num="1">
            <w:col w:w="11020"/>
          </w:cols>
          <w:pgMar w:left="440" w:top="121" w:right="439" w:bottom="1440" w:gutter="0" w:footer="0" w:header="0"/>
        </w:sectPr>
      </w:pPr>
    </w:p>
    <w:bookmarkStart w:id="5" w:name="page6"/>
    <w:bookmarkEnd w:id="5"/>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8312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Gemini Therapeutics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Gemini Therapeutics is a clinical stage precision medicine company developing novel therapeutic compounds to treat genetically defined age-related macular degeneration (AMD). Gemini’s lead candidate, GEM103, is a recombinant form of human complement factor H protein (CFH) and is designed to address both complement hyperactivity and restore retinal health in patients with AMD. GEM103 has been evaluated in a Phase 2a trial in dry AMD patients with a CFH risk variant and a Phase 1/2a study in patients with neovascular age-related macular degeneration with or at risk for macular atrophy. Gemini is also working to advance a potentiating antibody for CFH, GEM307, towards clinical development for treatment of systemic diseases. For more information, visit </w:t>
      </w:r>
      <w:r>
        <w:rPr>
          <w:rFonts w:ascii="Arial" w:cs="Arial" w:eastAsia="Arial" w:hAnsi="Arial"/>
          <w:sz w:val="18"/>
          <w:szCs w:val="18"/>
          <w:u w:val="single" w:color="auto"/>
          <w:color w:val="auto"/>
        </w:rPr>
        <w:t>www.geminitherapeutics.com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Other Information About Gemini Therapeutics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Investors and others should note that we communicate with our investors and the public using our website (</w:t>
      </w:r>
      <w:r>
        <w:rPr>
          <w:rFonts w:ascii="Arial" w:cs="Arial" w:eastAsia="Arial" w:hAnsi="Arial"/>
          <w:sz w:val="17"/>
          <w:szCs w:val="17"/>
          <w:u w:val="single" w:color="auto"/>
          <w:color w:val="auto"/>
        </w:rPr>
        <w:t>www.geminitherapeutics.com</w:t>
      </w:r>
      <w:r>
        <w:rPr>
          <w:rFonts w:ascii="Arial" w:cs="Arial" w:eastAsia="Arial" w:hAnsi="Arial"/>
          <w:sz w:val="17"/>
          <w:szCs w:val="17"/>
          <w:color w:val="auto"/>
        </w:rPr>
        <w:t>), the investor relations website (</w:t>
      </w:r>
      <w:r>
        <w:rPr>
          <w:rFonts w:ascii="Arial" w:cs="Arial" w:eastAsia="Arial" w:hAnsi="Arial"/>
          <w:sz w:val="17"/>
          <w:szCs w:val="17"/>
          <w:u w:val="single" w:color="auto"/>
          <w:color w:val="auto"/>
        </w:rPr>
        <w:t>https://investors.geminitherapeutics.com</w:t>
      </w:r>
      <w:r>
        <w:rPr>
          <w:rFonts w:ascii="Arial" w:cs="Arial" w:eastAsia="Arial" w:hAnsi="Arial"/>
          <w:sz w:val="17"/>
          <w:szCs w:val="17"/>
          <w:color w:val="auto"/>
        </w:rPr>
        <w:t>/), and on social media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 including but not limited to investor presentations and investor fact sheets, U.S. Securities and Exchange Commission filings, press releases, public conference calls and webcasts. The information that Gemini posts on these channels and websites could be deemed to be material information. As a result, Gemini encourages investors, the media, and others interested in Gemini to review the information that is posted on these channels, including the investor relations website, on a regular basis. This list of channels may be updated from time to time on Gemini’s investor relations website and may include additional social media channels. The contents of Gemini’s website or these channels, or any other website that may be accessed from its website or these channels, shall not be deemed incorporated by reference in any filing under the Securities Act of 1933, as amended.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Gemini’s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the success, cost, timing and status of our product development activities and clinical trials, the timing of anticipated announcements of updates with respect to our product candidates and the timing to commence any potential future clinical trials, the potential attributes and benefits of our product candidates, including GEM103, the reliability of the interim or final results of studies relating to safety and possible adverse effects, including serious adverse events, resulting from the administration of our product candidates, our ability to obtain and maintain regulatory approval for our product candidates.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w:t>
      </w:r>
    </w:p>
    <w:p>
      <w:pPr>
        <w:sectPr>
          <w:pgSz w:w="11900" w:h="16838" w:orient="portrait"/>
          <w:cols w:equalWidth="0" w:num="1">
            <w:col w:w="11020"/>
          </w:cols>
          <w:pgMar w:left="440" w:top="1440" w:right="439" w:bottom="1440" w:gutter="0" w:footer="0" w:header="0"/>
        </w:sectPr>
      </w:pPr>
    </w:p>
    <w:bookmarkStart w:id="6" w:name="page7"/>
    <w:bookmarkEnd w:id="6"/>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831215"/>
                    </a:xfrm>
                    <a:prstGeom prst="rect">
                      <a:avLst/>
                    </a:prstGeom>
                    <a:noFill/>
                  </pic:spPr>
                </pic:pic>
              </a:graphicData>
            </a:graphic>
          </wp:anchor>
        </w:drawing>
      </w:r>
    </w:p>
    <w:p>
      <w:pPr>
        <w:spacing w:after="0" w:line="271" w:lineRule="auto"/>
        <w:rPr>
          <w:sz w:val="20"/>
          <w:szCs w:val="20"/>
          <w:color w:val="auto"/>
        </w:rPr>
      </w:pPr>
      <w:r>
        <w:rPr>
          <w:rFonts w:ascii="Arial" w:cs="Arial" w:eastAsia="Arial" w:hAnsi="Arial"/>
          <w:sz w:val="17"/>
          <w:szCs w:val="17"/>
          <w:i w:val="1"/>
          <w:iCs w:val="1"/>
          <w:color w:val="auto"/>
        </w:rPr>
        <w:t>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Sherri Spear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gemini@argotpartners.com</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2022-01-10T07:07:57Z</dcterms:created>
  <dcterms:modified xsi:type="dcterms:W3CDTF">2022-01-10T07:07:57Z</dcterms:modified>
</cp:coreProperties>
</file>