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ron-20240930.htm"/>
      <w:bookmarkStart w:id="1" w:name="ksiron20240930"/>
      <w:bookmarkEnd w:id="0"/>
      <w:bookmarkEnd w:id="1"/>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5"/>
        </w:rPr>
      </w:pPr>
      <w:r>
        <w:rPr>
          <w:rFonts w:ascii="Times New Roman" w:hAnsi="Times New Roman"/>
          <w:b/>
          <w:color w:val="000000"/>
          <w:sz w:val="35"/>
        </w:rPr>
        <w:t>UNITED STATES</w:t>
      </w:r>
    </w:p>
    <w:p>
      <w:pPr>
        <w:pStyle w:val="TextBody"/>
        <w:bidi w:val="0"/>
        <w:jc w:val="center"/>
        <w:rPr>
          <w:rFonts w:ascii="Times New Roman" w:hAnsi="Times New Roman"/>
          <w:b/>
          <w:color w:val="000000"/>
          <w:sz w:val="35"/>
        </w:rPr>
      </w:pPr>
      <w:r>
        <w:rPr>
          <w:rFonts w:ascii="Times New Roman" w:hAnsi="Times New Roman"/>
          <w:b/>
          <w:color w:val="000000"/>
          <w:sz w:val="35"/>
        </w:rPr>
        <w:t>SECURITIES AND EXCHANGE COMMISSION</w:t>
      </w:r>
    </w:p>
    <w:p>
      <w:pPr>
        <w:pStyle w:val="TextBody"/>
        <w:bidi w:val="0"/>
        <w:jc w:val="center"/>
        <w:rPr>
          <w:rFonts w:ascii="Times New Roman" w:hAnsi="Times New Roman"/>
          <w:b/>
          <w:color w:val="000000"/>
          <w:sz w:val="23"/>
        </w:rPr>
      </w:pPr>
      <w:r>
        <w:rPr>
          <w:rFonts w:ascii="Times New Roman" w:hAnsi="Times New Roman"/>
          <w:b/>
          <w:color w:val="000000"/>
          <w:sz w:val="23"/>
        </w:rPr>
        <w:t>WASHINGTON, D.C. 20549</w:t>
      </w:r>
    </w:p>
    <w:p>
      <w:pPr>
        <w:pStyle w:val="TextBody"/>
        <w:pBdr>
          <w:bottom w:val="single" w:sz="4" w:space="1" w:color="000000"/>
        </w:pBdr>
        <w:bidi w:val="0"/>
        <w:spacing w:before="40" w:after="100"/>
        <w:jc w:val="center"/>
        <w:rPr/>
      </w:pPr>
      <w:r>
        <w:rPr/>
        <w:t> </w:t>
      </w:r>
    </w:p>
    <w:p>
      <w:pPr>
        <w:pStyle w:val="TextBody"/>
        <w:bidi w:val="0"/>
        <w:spacing w:before="120" w:after="283"/>
        <w:jc w:val="center"/>
        <w:rPr>
          <w:rFonts w:ascii="Times New Roman" w:hAnsi="Times New Roman"/>
          <w:b/>
          <w:color w:val="000000"/>
          <w:sz w:val="35"/>
        </w:rPr>
      </w:pPr>
      <w:r>
        <w:rPr>
          <w:rFonts w:ascii="Times New Roman" w:hAnsi="Times New Roman"/>
          <w:b/>
          <w:color w:val="000000"/>
          <w:sz w:val="35"/>
        </w:rPr>
        <w:t>FORM 10-Q</w:t>
      </w:r>
    </w:p>
    <w:p>
      <w:pPr>
        <w:pStyle w:val="TextBody"/>
        <w:pBdr>
          <w:bottom w:val="single" w:sz="4" w:space="1" w:color="000000"/>
        </w:pBdr>
        <w:bidi w:val="0"/>
        <w:spacing w:before="40" w:after="100"/>
        <w:jc w:val="center"/>
        <w:rPr/>
      </w:pPr>
      <w:r>
        <w:rPr/>
        <w:t> </w:t>
      </w:r>
    </w:p>
    <w:p>
      <w:pPr>
        <w:pStyle w:val="TextBody"/>
        <w:bidi w:val="0"/>
        <w:spacing w:before="9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3"/>
              </w:rPr>
            </w:pPr>
            <w:r>
              <w:rPr>
                <w:rFonts w:ascii="Times New Roman" w:hAnsi="Times New Roman"/>
                <w:b/>
                <w:color w:val="000000"/>
                <w:sz w:val="23"/>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19"/>
        </w:rPr>
      </w:pPr>
      <w:r>
        <w:rPr>
          <w:rFonts w:ascii="Times New Roman" w:hAnsi="Times New Roman"/>
          <w:b/>
          <w:color w:val="000000"/>
          <w:sz w:val="19"/>
        </w:rPr>
        <w:t>For the quarterly period ended September 30, 2024</w:t>
      </w:r>
    </w:p>
    <w:p>
      <w:pPr>
        <w:pStyle w:val="TextBody"/>
        <w:bidi w:val="0"/>
        <w:spacing w:before="120" w:after="283"/>
        <w:jc w:val="center"/>
        <w:rPr>
          <w:rFonts w:ascii="Times New Roman" w:hAnsi="Times New Roman"/>
          <w:b/>
          <w:color w:val="000000"/>
          <w:sz w:val="19"/>
        </w:rPr>
      </w:pPr>
      <w:r>
        <w:rPr>
          <w:rFonts w:ascii="Times New Roman" w:hAnsi="Times New Roman"/>
          <w:b/>
          <w:color w:val="000000"/>
          <w:sz w:val="19"/>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3"/>
              </w:rPr>
            </w:pPr>
            <w:r>
              <w:rPr>
                <w:rFonts w:ascii="Times New Roman" w:hAnsi="Times New Roman"/>
                <w:b/>
                <w:color w:val="000000"/>
                <w:sz w:val="23"/>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19"/>
        </w:rPr>
      </w:pPr>
      <w:r>
        <w:rPr>
          <w:rFonts w:ascii="Times New Roman" w:hAnsi="Times New Roman"/>
          <w:b/>
          <w:color w:val="000000"/>
          <w:sz w:val="19"/>
        </w:rPr>
        <w:t>For the transition period from __________________ to __________________</w:t>
      </w:r>
    </w:p>
    <w:p>
      <w:pPr>
        <w:pStyle w:val="TextBody"/>
        <w:bidi w:val="0"/>
        <w:spacing w:before="100" w:after="283"/>
        <w:jc w:val="center"/>
        <w:rPr>
          <w:rFonts w:ascii="Times New Roman" w:hAnsi="Times New Roman"/>
          <w:b/>
          <w:color w:val="000000"/>
          <w:sz w:val="19"/>
        </w:rPr>
      </w:pPr>
      <w:r>
        <w:rPr>
          <w:rFonts w:ascii="Times New Roman" w:hAnsi="Times New Roman"/>
          <w:b/>
          <w:color w:val="000000"/>
          <w:sz w:val="19"/>
        </w:rPr>
        <w:t>Commission File Number: 001-39438</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7"/>
        </w:rPr>
      </w:pPr>
      <w:r>
        <w:rPr>
          <w:rFonts w:ascii="Times New Roman" w:hAnsi="Times New Roman"/>
          <w:b/>
          <w:color w:val="000000"/>
          <w:sz w:val="47"/>
        </w:rPr>
        <w:t>Disc Medicine, Inc.</w:t>
      </w:r>
    </w:p>
    <w:p>
      <w:pPr>
        <w:pStyle w:val="TextBody"/>
        <w:bidi w:val="0"/>
        <w:jc w:val="center"/>
        <w:rPr>
          <w:rFonts w:ascii="Times New Roman" w:hAnsi="Times New Roman"/>
          <w:b/>
          <w:color w:val="000000"/>
          <w:sz w:val="19"/>
        </w:rPr>
      </w:pPr>
      <w:r>
        <w:rPr>
          <w:rFonts w:ascii="Times New Roman" w:hAnsi="Times New Roman"/>
          <w:b/>
          <w:color w:val="000000"/>
          <w:sz w:val="19"/>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85-1612845</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9"/>
              </w:rPr>
            </w:pPr>
            <w:r>
              <w:rPr>
                <w:rFonts w:ascii="Times New Roman" w:hAnsi="Times New Roman"/>
                <w:b/>
                <w:color w:val="000000"/>
                <w:sz w:val="19"/>
              </w:rPr>
              <w:t>321 Arsenal Street, Suite 101</w:t>
            </w:r>
          </w:p>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Watertown, Massachusetts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02472</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19"/>
        </w:rPr>
      </w:pPr>
      <w:r>
        <w:rPr>
          <w:rFonts w:ascii="Times New Roman" w:hAnsi="Times New Roman"/>
          <w:b/>
          <w:color w:val="000000"/>
          <w:sz w:val="19"/>
        </w:rPr>
        <w:t>(617) 674-9274</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9"/>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10" w:type="dxa"/>
        <w:jc w:val="left"/>
        <w:tblInd w:w="0" w:type="dxa"/>
        <w:tblLayout w:type="fixed"/>
        <w:tblCellMar>
          <w:top w:w="28" w:type="dxa"/>
          <w:left w:w="28" w:type="dxa"/>
          <w:bottom w:w="28" w:type="dxa"/>
          <w:right w:w="28" w:type="dxa"/>
        </w:tblCellMar>
      </w:tblPr>
      <w:tblGrid>
        <w:gridCol w:w="3076"/>
        <w:gridCol w:w="146"/>
        <w:gridCol w:w="826"/>
        <w:gridCol w:w="146"/>
        <w:gridCol w:w="331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076"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Common Stock, $0.0001 Par Value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IRON</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The Nasdaq Global Market</w:t>
            </w:r>
          </w:p>
        </w:tc>
      </w:tr>
    </w:tbl>
    <w:p>
      <w:pPr>
        <w:pStyle w:val="TextBody"/>
        <w:bidi w:val="0"/>
        <w:spacing w:before="80" w:after="283"/>
        <w:jc w:val="left"/>
        <w:rPr>
          <w:rFonts w:ascii="Times New Roman" w:hAnsi="Times New Roman"/>
          <w:sz w:val="20"/>
        </w:rPr>
      </w:pPr>
      <w:r>
        <w:rPr>
          <w:rFonts w:ascii="Times New Roman" w:hAnsi="Times New Roman"/>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9"/>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9"/>
        </w:rPr>
        <w:t xml:space="preserve">No </w:t>
      </w:r>
      <w:r>
        <w:rPr>
          <w:rFonts w:ascii="Times New Roman" w:hAnsi="Times New Roman"/>
          <w:color w:val="000000"/>
          <w:sz w:val="20"/>
        </w:rPr>
        <w:t>☐</w:t>
      </w:r>
    </w:p>
    <w:p>
      <w:pPr>
        <w:pStyle w:val="TextBody"/>
        <w:bidi w:val="0"/>
        <w:spacing w:before="60" w:after="120"/>
        <w:jc w:val="left"/>
        <w:rPr>
          <w:rFonts w:ascii="Times New Roman" w:hAnsi="Times New Roman"/>
          <w:color w:val="000000"/>
          <w:sz w:val="19"/>
        </w:rPr>
      </w:pPr>
      <w:r>
        <w:rPr>
          <w:rFonts w:ascii="Times New Roman" w:hAnsi="Times New Roman"/>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9"/>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9"/>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9"/>
        </w:rPr>
        <w:t>As of November 7, 2024 there were 29,757,732</w:t>
      </w:r>
      <w:r>
        <w:rPr>
          <w:rFonts w:ascii="Times New Roman" w:hAnsi="Times New Roman"/>
          <w:color w:val="000000"/>
          <w:sz w:val="20"/>
        </w:rPr>
        <w:t xml:space="preserve"> </w:t>
      </w:r>
      <w:r>
        <w:rPr>
          <w:rFonts w:ascii="Times New Roman" w:hAnsi="Times New Roman"/>
          <w:color w:val="000000"/>
          <w:sz w:val="19"/>
        </w:rPr>
        <w:t>shares of Common Stock, $0.0001 par value per share, outstanding.</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vAlign w:val="center"/>
          </w:tcPr>
          <w:p>
            <w:pPr>
              <w:pStyle w:val="TableContents"/>
              <w:bidi w:val="0"/>
              <w:spacing w:before="0" w:after="283"/>
              <w:ind w:left="137" w:right="0" w:firstLine="137"/>
              <w:jc w:val="left"/>
              <w:rPr/>
            </w:pPr>
            <w:r>
              <w:rPr/>
              <w:t> </w:t>
            </w:r>
          </w:p>
        </w:tc>
        <w:tc>
          <w:tcPr>
            <w:tcW w:w="7366" w:type="dxa"/>
            <w:tcBorders/>
            <w:shd w:fill="FFFFFF" w:val="cle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252" w:type="dxa"/>
            <w:gridSpan w:val="2"/>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r>
      <w:tr>
        <w:trPr/>
        <w:tc>
          <w:tcPr>
            <w:tcW w:w="8252" w:type="dxa"/>
            <w:gridSpan w:val="2"/>
            <w:tcBorders/>
            <w:shd w:fill="FFFFFF" w:val="clear"/>
            <w:vAlign w:val="center"/>
          </w:tcPr>
          <w:p>
            <w:pPr>
              <w:pStyle w:val="TableContents"/>
              <w:bidi w:val="0"/>
              <w:spacing w:before="0" w:after="283"/>
              <w:jc w:val="left"/>
              <w:rPr/>
            </w:pPr>
            <w:hyperlink w:anchor="forward_looking_statements">
              <w:r>
                <w:rPr>
                  <w:rStyle w:val="InternetLink"/>
                  <w:rFonts w:ascii="Times New Roman" w:hAnsi="Times New Roman"/>
                  <w:b/>
                  <w:color w:val="0000FF"/>
                  <w:sz w:val="20"/>
                  <w:u w:val="single"/>
                </w:rPr>
                <w:t>FORWARD LOOKING STATEMENTS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252" w:type="dxa"/>
            <w:gridSpan w:val="2"/>
            <w:tcBorders/>
            <w:shd w:fill="FFFFFF" w:val="clear"/>
            <w:vAlign w:val="center"/>
          </w:tcPr>
          <w:p>
            <w:pPr>
              <w:pStyle w:val="TableContents"/>
              <w:bidi w:val="0"/>
              <w:spacing w:before="0" w:after="283"/>
              <w:jc w:val="left"/>
              <w:rPr/>
            </w:pPr>
            <w:hyperlink w:anchor="risk_factor_summary">
              <w:r>
                <w:rPr>
                  <w:rStyle w:val="InternetLink"/>
                  <w:rFonts w:ascii="Times New Roman" w:hAnsi="Times New Roman"/>
                  <w:b/>
                  <w:color w:val="0000FF"/>
                  <w:sz w:val="20"/>
                  <w:u w:val="single"/>
                </w:rPr>
                <w:t>RISK FACTOR SUMMARY</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763" w:type="dxa"/>
            <w:gridSpan w:val="3"/>
            <w:tcBorders/>
            <w:shd w:fill="FFFFFF" w:val="clear"/>
            <w:vAlign w:val="center"/>
          </w:tcPr>
          <w:p>
            <w:pPr>
              <w:pStyle w:val="TableContents"/>
              <w:bidi w:val="0"/>
              <w:spacing w:before="0" w:after="283"/>
              <w:jc w:val="left"/>
              <w:rPr/>
            </w:pPr>
            <w:r>
              <w:rPr/>
              <w:t> </w:t>
            </w:r>
          </w:p>
        </w:tc>
      </w:tr>
      <w:tr>
        <w:trPr/>
        <w:tc>
          <w:tcPr>
            <w:tcW w:w="8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FINANCIAL INFORMATION</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vAlign w:val="center"/>
          </w:tcPr>
          <w:p>
            <w:pPr>
              <w:pStyle w:val="TableContents"/>
              <w:bidi w:val="0"/>
              <w:spacing w:before="0" w:after="283"/>
              <w:jc w:val="left"/>
              <w:rPr/>
            </w:pPr>
            <w:r>
              <w:rPr/>
              <w:t> </w:t>
            </w:r>
          </w:p>
        </w:tc>
        <w:tc>
          <w:tcPr>
            <w:tcW w:w="736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vAlign w:val="center"/>
          </w:tcPr>
          <w:p>
            <w:pPr>
              <w:pStyle w:val="TableContents"/>
              <w:bidi w:val="0"/>
              <w:spacing w:before="0" w:after="283"/>
              <w:ind w:left="137" w:right="0" w:firstLine="137"/>
              <w:jc w:val="left"/>
              <w:rPr/>
            </w:pPr>
            <w:r>
              <w:rPr/>
              <w:t> </w:t>
            </w:r>
          </w:p>
        </w:tc>
        <w:tc>
          <w:tcPr>
            <w:tcW w:w="7366" w:type="dxa"/>
            <w:tcBorders/>
            <w:shd w:fill="FFFFFF" w:val="cle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vAlign w:val="center"/>
          </w:tcPr>
          <w:p>
            <w:pPr>
              <w:pStyle w:val="TableContents"/>
              <w:bidi w:val="0"/>
              <w:spacing w:before="0" w:after="283"/>
              <w:ind w:left="137" w:right="0" w:firstLine="137"/>
              <w:jc w:val="left"/>
              <w:rPr/>
            </w:pPr>
            <w:r>
              <w:rPr/>
              <w:t> </w:t>
            </w:r>
          </w:p>
        </w:tc>
        <w:tc>
          <w:tcPr>
            <w:tcW w:w="7366" w:type="dxa"/>
            <w:tcBorders/>
            <w:shd w:fill="FFFFFF" w:val="clear"/>
            <w:vAlign w:val="center"/>
          </w:tcPr>
          <w:p>
            <w:pPr>
              <w:pStyle w:val="TableContents"/>
              <w:bidi w:val="0"/>
              <w:spacing w:before="0" w:after="283"/>
              <w:jc w:val="left"/>
              <w:rPr/>
            </w:pPr>
            <w:hyperlink w:anchor="operations_and_comprehensive_loss">
              <w:r>
                <w:rPr>
                  <w:rStyle w:val="InternetLink"/>
                  <w:rFonts w:ascii="Times New Roman" w:hAnsi="Times New Roman"/>
                  <w:color w:val="0000FF"/>
                  <w:sz w:val="20"/>
                  <w:u w:val="single"/>
                </w:rPr>
                <w:t>Condensed Consolidated Statements of Operations and Comprehensive Loss</w:t>
              </w:r>
            </w:hyperlink>
          </w:p>
        </w:tc>
        <w:tc>
          <w:tcPr>
            <w:tcW w:w="511"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vAlign w:val="center"/>
          </w:tcPr>
          <w:p>
            <w:pPr>
              <w:pStyle w:val="TableContents"/>
              <w:bidi w:val="0"/>
              <w:spacing w:before="0" w:after="283"/>
              <w:ind w:left="137" w:right="0" w:firstLine="137"/>
              <w:jc w:val="left"/>
              <w:rPr/>
            </w:pPr>
            <w:r>
              <w:rPr/>
              <w:t> </w:t>
            </w:r>
          </w:p>
        </w:tc>
        <w:tc>
          <w:tcPr>
            <w:tcW w:w="7366" w:type="dxa"/>
            <w:tcBorders/>
            <w:shd w:fill="FFFFFF" w:val="clear"/>
            <w:vAlign w:val="center"/>
          </w:tcPr>
          <w:p>
            <w:pPr>
              <w:pStyle w:val="TableContents"/>
              <w:bidi w:val="0"/>
              <w:spacing w:before="0" w:after="283"/>
              <w:jc w:val="left"/>
              <w:rPr/>
            </w:pPr>
            <w:hyperlink w:anchor="stockholders_equity_deficit">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vAlign w:val="center"/>
          </w:tcPr>
          <w:p>
            <w:pPr>
              <w:pStyle w:val="TableContents"/>
              <w:bidi w:val="0"/>
              <w:spacing w:before="0" w:after="283"/>
              <w:ind w:left="137" w:right="0" w:firstLine="137"/>
              <w:jc w:val="left"/>
              <w:rPr/>
            </w:pPr>
            <w:r>
              <w:rPr/>
              <w:t> </w:t>
            </w:r>
          </w:p>
        </w:tc>
        <w:tc>
          <w:tcPr>
            <w:tcW w:w="7366" w:type="dxa"/>
            <w:tcBorders/>
            <w:shd w:fill="FFFFFF" w:val="cle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vAlign w:val="center"/>
          </w:tcPr>
          <w:p>
            <w:pPr>
              <w:pStyle w:val="TableContents"/>
              <w:bidi w:val="0"/>
              <w:spacing w:before="0" w:after="283"/>
              <w:ind w:left="137" w:right="0" w:firstLine="137"/>
              <w:jc w:val="left"/>
              <w:rPr/>
            </w:pPr>
            <w:r>
              <w:rPr/>
              <w:t> </w:t>
            </w:r>
          </w:p>
        </w:tc>
        <w:tc>
          <w:tcPr>
            <w:tcW w:w="7366" w:type="dxa"/>
            <w:tcBorders/>
            <w:shd w:fill="FFFFFF" w:val="clear"/>
            <w:vAlign w:val="center"/>
          </w:tcPr>
          <w:p>
            <w:pPr>
              <w:pStyle w:val="TableContents"/>
              <w:bidi w:val="0"/>
              <w:spacing w:before="0" w:after="283"/>
              <w:jc w:val="left"/>
              <w:rPr/>
            </w:pPr>
            <w:hyperlink w:anchor="notes_to_consolidated_financial">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vAlign w:val="center"/>
          </w:tcPr>
          <w:p>
            <w:pPr>
              <w:pStyle w:val="TableContents"/>
              <w:bidi w:val="0"/>
              <w:spacing w:before="0" w:after="283"/>
              <w:jc w:val="left"/>
              <w:rPr/>
            </w:pPr>
            <w:r>
              <w:rPr/>
              <w:t> </w:t>
            </w:r>
          </w:p>
        </w:tc>
        <w:tc>
          <w:tcPr>
            <w:tcW w:w="736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r>
      <w:tr>
        <w:trPr/>
        <w:tc>
          <w:tcPr>
            <w:tcW w:w="8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OTHER INFORMATION</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vAlign w:val="center"/>
          </w:tcPr>
          <w:p>
            <w:pPr>
              <w:pStyle w:val="TableContents"/>
              <w:bidi w:val="0"/>
              <w:spacing w:before="0" w:after="283"/>
              <w:jc w:val="left"/>
              <w:rPr/>
            </w:pPr>
            <w:r>
              <w:rPr/>
              <w:t> </w:t>
            </w:r>
          </w:p>
        </w:tc>
        <w:tc>
          <w:tcPr>
            <w:tcW w:w="736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vAlign w:val="center"/>
          </w:tcPr>
          <w:p>
            <w:pPr>
              <w:pStyle w:val="TableContents"/>
              <w:bidi w:val="0"/>
              <w:spacing w:before="0" w:after="283"/>
              <w:jc w:val="left"/>
              <w:rPr/>
            </w:pPr>
            <w:hyperlink w:anchor="item_2_unregistered_sales">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vAlign w:val="center"/>
          </w:tcPr>
          <w:p>
            <w:pPr>
              <w:pStyle w:val="TableContents"/>
              <w:bidi w:val="0"/>
              <w:spacing w:before="0" w:after="283"/>
              <w:jc w:val="left"/>
              <w:rPr/>
            </w:pPr>
            <w:hyperlink w:anchor="item_3_defaults_upon">
              <w:r>
                <w:rPr>
                  <w:rStyle w:val="InternetLink"/>
                  <w:rFonts w:ascii="Times New Roman" w:hAnsi="Times New Roman"/>
                  <w:color w:val="0000FF"/>
                  <w:sz w:val="20"/>
                  <w:u w:val="single"/>
                </w:rPr>
                <w:t>Defaults Upon Senior Securities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vAlign w:val="center"/>
          </w:tcPr>
          <w:p>
            <w:pPr>
              <w:pStyle w:val="TableContents"/>
              <w:bidi w:val="0"/>
              <w:spacing w:before="0" w:after="283"/>
              <w:jc w:val="left"/>
              <w:rPr/>
            </w:pPr>
            <w:hyperlink w:anchor="item_4_mine_safety">
              <w:r>
                <w:rPr>
                  <w:rStyle w:val="InternetLink"/>
                  <w:rFonts w:ascii="Times New Roman" w:hAnsi="Times New Roman"/>
                  <w:color w:val="0000FF"/>
                  <w:sz w:val="20"/>
                  <w:u w:val="single"/>
                </w:rPr>
                <w:t>Mine Safety Disclosures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252" w:type="dxa"/>
            <w:gridSpan w:val="2"/>
            <w:tcBorders/>
            <w:shd w:fill="FFFFFF" w:val="cle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forward_looking_statements"/>
      <w:bookmarkEnd w:id="2"/>
      <w:r>
        <w:rPr>
          <w:rFonts w:ascii="Times New Roman" w:hAnsi="Times New Roman"/>
          <w:b/>
          <w:color w:val="000000"/>
          <w:sz w:val="20"/>
        </w:rPr>
        <w:t>FORWARD LOOKING STATEMENTS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on Form 10-Q, or Quarterly Report, of Disc Medicine, Inc., or the Company, contains or incorporates statements that constitute forward-looking statements within the meaning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Quarterly Report on Form 10-Q may include, for example,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timing, progress, results, and cost of our research and development programs and our current and future preclinical studies and clinical trials, including our planned APOLLO clinical trial of bitopertin, our ongoing Phase 1b/2 clinical trials of DISC-0974 and our ongoing Phase 1 clinical trial of DISC-3405, and including statements regarding the timing of initiation and completion of studies or trials and related preparatory work, the period during which the results of the trials will become available, and our research and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efficiently discover and develop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and the potential to successfully manufacture our drug substances and product candidates for preclinical use, for clinical trials and on a larger scale for commercial use,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funding for our operations necessary to complete further development and commercialization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use the U.S. Food and Drug Administration’s, or FDA’s, Accelerated Approval Program for bitopertin;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regulatory approval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commercialize our products,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pricing and reimbursement of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implementation of our business model, and strategic plans for our business and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estimates of our future expenses, revenues, capital requirements, and our needs for additional financing;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benefits of strategic collaboration agreements, our ability to enter into strategic collaborations or arrangements, and our ability to attract collaborators with development, regulatory and commercialization expertise;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agreements with third parties in connection with the commercialization of product candidates and any other approved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growth potential of the markets for our product candidates, and our ability to serve those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rate and degree of market acceptance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developments in the United States and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contract with third-party suppliers and manufacturers and their ability to perform adequately;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produce our products or product candidates with advantages in turnaround times or manufacturing cost;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of competing therapies that are or may become available;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and retain key scientific or management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laws and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relating to our competitors and our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global economic and political developments on our business, including rising inflation and capital market disruptions, the current conflicts between Russia and Ukraine and between Israel and Hamas, economic sanctions and economic slowdowns or recessions that may result from such developments which could harm our research and development efforts as well as the value of our common stock and our ability to access capital markets; and</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risks and uncertainties, including those listed under the caption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forward-looking statements are based on information available to us at the time of this Quarterly Report on Form 10-Q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Factors that could cause actual results to differ include, but are not limited to, those discussed in the section titled “Risk Factors” included under Part II, Item 1A of this Quarterly Report on Form 10-Q.</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risk_factor_summary"/>
      <w:bookmarkEnd w:id="3"/>
      <w:r>
        <w:rPr>
          <w:rFonts w:ascii="Times New Roman" w:hAnsi="Times New Roman"/>
          <w:b/>
          <w:color w:val="000000"/>
          <w:sz w:val="20"/>
        </w:rPr>
        <w:t>RISK FACTOR SUMMARY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believe are material to our investors can be found below under the heading “Item 1A. Risk Factors” and should be carefully considered, together with other information in this Quarterly Report on Form 10-Q and our other filings with the SEC, before making an investment decision regarding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limited operating history may make it difficult for you to evaluate the success of our business to date and to assess our future viability.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incurred significant net losses since our inception and anticipate that we will continue to incur losses for the foreseeable future.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no products approved for commercial sale and have not generated any revenue from product sales.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existing and any future indebtedness could adversely affect our ability to operate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need to raise substantial additional funding. If we are unable to raise capital when needed or on terms acceptable to us, we may be forced to delay, reduce, or eliminate some of our product development programs or commercialization efforts.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not yet progressed any product candidates into a Phase 3 clinical trial and may be unable to successfully complete any additional clinical trials for any product candidates we develop. Certain of our programs are still in preclinical development and may never advance to clinical development.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programs are focused on the development of therapeutics for patients with hematologic diseases, which is a rapidly evolving area of science, and the approach we are taking to discover and develop product candidates is novel and may never lead to approved or marketable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experience delays or difficulties in the enrollment of patients in clinical trials, our receipt of necessary regulatory approvals could be delayed or prevented.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clinical trials or those of our future collaborators may reveal significant adverse events not seen in prior preclinical studies or clinical trials and may result in a safety profile that could inhibit regulatory approval or market acceptance of any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currently conducting clinical trials for bitopertin in Australia and may in the future conduct additional clinical trials of our product candidates outside the United States, and the FDA and comparable foreign regulatory authorities may not accept data from such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face substantial competition, which may result in others discovering, developing or commercializing products before or more successfully than we do.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our current product candidates or any future product candidates do not achieve broad market acceptance, the revenue that we generate from our sales may be limited, and we may never become profitable.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on third parties to conduct our Phase 2 clinical trials of bitopertin, Phase 1b/2 clinical trials of DISC-0974 and Phase 1 clinical trial of DISC-3405 (formerly MWTX-003) and expect to rely on third parties to conduct our planned APOLLO clinical trial of bitopertin and other clinical trials for our product candidates, as well as potential investigator-sponsored clinical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Times New Roman" w:hAnsi="Times New Roman"/>
          <w:color w:val="000000"/>
          <w:sz w:val="20"/>
        </w:rPr>
        <w:t>trials of our product candidates. If these third parties do not successfully carry out their contractual duties, comply with regulatory requirements, meet expected deadlines, or if the prior work conducted by these third parties is incomplete, we may not be able to obtain regulatory approval for or commercialize our product candidates and our business could be substantially harmed.</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might not realize the anticipated benefits of our current collaborations with Mabwell or NIH, or any other collaborations we enter into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obtain or grant licenses or sublicenses to intellectual property rights in all markets on equally or sufficiently favorable terms with third parties.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Intellectual property rights do not guarantee commercial success of current or future product candidates or other business activities. Numerous factors may limit any potential competitive advantage provided by our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mean that we will be successful in obtaining regulatory approval of our product candidates in other jurisdictions.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seek approval from the FDA for bitopertin or any of our other current or future product candidates through the use of the Accelerated Approval Program. If we are not able to use such program, we may be required to conduct additional clinical trials beyond those that are contemplated, which would increase the expense of obtaining, and delay the receipt of, necessary marketing approvals, if we receive them at all. In addition, even if the Accelerated Approval Program is available to us, it may not lead to expedited approval of our product candidates, or approval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future success depends on our ability to retain key executives and experienced scientists and to attract, retain, and motivate qualified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Unfavorable global economic conditions could adversely affect our business, financial condition or results of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price of our common stock is expected to be volatile.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continue to incur increased costs and increased demands upon management as a result of complying with the laws and regulations affecting public companies.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Once we are no longer an emerging growth company, a smaller reporting company or otherwise no longer qualify for applicable exemptions, we will be subject to additional laws and regulations affecting public companies that will increase our costs and the demands on management and could harm our operating results.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Provisions in our charter documents and under Delaware law could make an acquisition of us more difficult and may discourage any takeover attempts our stockholders may consider favorable, and may lead to entrenchment of management.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section contains forward-looking statements. You should refer to the explanation of the qualifications and limitations on forward-looking statements beginning on page 1.</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part_i"/>
      <w:bookmarkEnd w:id="4"/>
      <w:r>
        <w:rPr>
          <w:rFonts w:ascii="Times New Roman" w:hAnsi="Times New Roman"/>
          <w:b/>
          <w:color w:val="000000"/>
          <w:sz w:val="20"/>
        </w:rPr>
        <w:t>PART I</w:t>
      </w:r>
      <w:r>
        <w:rPr>
          <w:rFonts w:ascii="Times New Roman" w:hAnsi="Times New Roman"/>
          <w:color w:val="000000"/>
          <w:sz w:val="20"/>
        </w:rPr>
        <w:t>—</w:t>
      </w:r>
      <w:r>
        <w:rPr>
          <w:rFonts w:ascii="Times New Roman" w:hAnsi="Times New Roman"/>
          <w:b/>
          <w:color w:val="000000"/>
          <w:sz w:val="20"/>
        </w:rPr>
        <w:t>FINANCIAL INFORMATION</w:t>
      </w:r>
    </w:p>
    <w:p>
      <w:pPr>
        <w:pStyle w:val="TextBody"/>
        <w:bidi w:val="0"/>
        <w:spacing w:before="240" w:after="283"/>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sz w:val="20"/>
        </w:rPr>
      </w:pPr>
      <w:r>
        <w:rPr>
          <w:rFonts w:ascii="Times New Roman" w:hAnsi="Times New Roman"/>
          <w:b/>
          <w:color w:val="000000"/>
          <w:sz w:val="20"/>
        </w:rPr>
        <w:t>DISC MEDICINE,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balance_sheets"/>
      <w:bookmarkEnd w:id="6"/>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013"/>
        <w:gridCol w:w="146"/>
        <w:gridCol w:w="215"/>
        <w:gridCol w:w="861"/>
        <w:gridCol w:w="166"/>
        <w:gridCol w:w="146"/>
        <w:gridCol w:w="213"/>
        <w:gridCol w:w="851"/>
        <w:gridCol w:w="594"/>
      </w:tblGrid>
      <w:tr>
        <w:trPr/>
        <w:tc>
          <w:tcPr>
            <w:tcW w:w="7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701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0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64"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70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0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4"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200"/>
              <w:jc w:val="right"/>
              <w:rPr/>
            </w:pPr>
            <w:r>
              <w:rPr/>
              <w:t> </w:t>
            </w:r>
          </w:p>
        </w:tc>
      </w:tr>
      <w:tr>
        <w:trPr/>
        <w:tc>
          <w:tcPr>
            <w:tcW w:w="70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360,382</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0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color w:val="000000"/>
              </w:rPr>
            </w:pPr>
            <w:r>
              <w:rPr>
                <w:color w:val="000000"/>
              </w:rPr>
              <w:t>—</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0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493,152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365,662</w:t>
            </w:r>
          </w:p>
        </w:tc>
        <w:tc>
          <w:tcPr>
            <w:tcW w:w="594" w:type="dxa"/>
            <w:tcBorders/>
            <w:shd w:fill="FFFFFF" w:val="clear"/>
            <w:vAlign w:val="center"/>
          </w:tcPr>
          <w:p>
            <w:pPr>
              <w:pStyle w:val="TableContents"/>
              <w:bidi w:val="0"/>
              <w:spacing w:before="0" w:after="283"/>
              <w:jc w:val="left"/>
              <w:rPr/>
            </w:pPr>
            <w:r>
              <w:rPr/>
              <w:t> </w:t>
            </w:r>
          </w:p>
        </w:tc>
      </w:tr>
      <w:tr>
        <w:trPr/>
        <w:tc>
          <w:tcPr>
            <w:tcW w:w="70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594" w:type="dxa"/>
            <w:tcBorders/>
            <w:shd w:fill="CFF0FC" w:val="clear"/>
            <w:vAlign w:val="center"/>
          </w:tcPr>
          <w:p>
            <w:pPr>
              <w:pStyle w:val="TableContents"/>
              <w:bidi w:val="0"/>
              <w:spacing w:before="0" w:after="283"/>
              <w:jc w:val="left"/>
              <w:rPr/>
            </w:pPr>
            <w:r>
              <w:rPr/>
              <w:t> </w:t>
            </w:r>
          </w:p>
        </w:tc>
      </w:tr>
      <w:tr>
        <w:trPr/>
        <w:tc>
          <w:tcPr>
            <w:tcW w:w="70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operating leases</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594" w:type="dxa"/>
            <w:tcBorders/>
            <w:shd w:fill="FFFFFF" w:val="clear"/>
            <w:vAlign w:val="center"/>
          </w:tcPr>
          <w:p>
            <w:pPr>
              <w:pStyle w:val="TableContents"/>
              <w:bidi w:val="0"/>
              <w:spacing w:before="0" w:after="283"/>
              <w:jc w:val="left"/>
              <w:rPr/>
            </w:pPr>
            <w:r>
              <w:rPr/>
              <w:t> </w:t>
            </w:r>
          </w:p>
        </w:tc>
      </w:tr>
      <w:tr>
        <w:trPr/>
        <w:tc>
          <w:tcPr>
            <w:tcW w:w="70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367,996</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0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64"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70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0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4"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200"/>
              <w:jc w:val="right"/>
              <w:rPr/>
            </w:pPr>
            <w:r>
              <w:rPr/>
              <w:t> </w:t>
            </w:r>
          </w:p>
        </w:tc>
      </w:tr>
      <w:tr>
        <w:trPr/>
        <w:tc>
          <w:tcPr>
            <w:tcW w:w="70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12,629</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0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external research and development expenses</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0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6,159</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0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21,439</w:t>
            </w:r>
          </w:p>
        </w:tc>
        <w:tc>
          <w:tcPr>
            <w:tcW w:w="594" w:type="dxa"/>
            <w:tcBorders/>
            <w:shd w:fill="CFF0FC" w:val="clear"/>
            <w:vAlign w:val="center"/>
          </w:tcPr>
          <w:p>
            <w:pPr>
              <w:pStyle w:val="TableContents"/>
              <w:bidi w:val="0"/>
              <w:spacing w:before="0" w:after="283"/>
              <w:jc w:val="left"/>
              <w:rPr/>
            </w:pPr>
            <w:r>
              <w:rPr/>
              <w:t> </w:t>
            </w:r>
          </w:p>
        </w:tc>
      </w:tr>
      <w:tr>
        <w:trPr/>
        <w:tc>
          <w:tcPr>
            <w:tcW w:w="70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22,875</w:t>
            </w:r>
          </w:p>
        </w:tc>
        <w:tc>
          <w:tcPr>
            <w:tcW w:w="594" w:type="dxa"/>
            <w:tcBorders/>
            <w:shd w:fill="CFF0FC" w:val="clear"/>
            <w:vAlign w:val="center"/>
          </w:tcPr>
          <w:p>
            <w:pPr>
              <w:pStyle w:val="TableContents"/>
              <w:bidi w:val="0"/>
              <w:spacing w:before="0" w:after="283"/>
              <w:jc w:val="left"/>
              <w:rPr/>
            </w:pPr>
            <w:r>
              <w:rPr/>
              <w:t> </w:t>
            </w:r>
          </w:p>
        </w:tc>
      </w:tr>
      <w:tr>
        <w:trPr/>
        <w:tc>
          <w:tcPr>
            <w:tcW w:w="70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14)</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0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4"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jc w:val="right"/>
              <w:rPr/>
            </w:pPr>
            <w:r>
              <w:rPr/>
              <w:t> </w:t>
            </w:r>
          </w:p>
        </w:tc>
      </w:tr>
      <w:tr>
        <w:trPr/>
        <w:tc>
          <w:tcPr>
            <w:tcW w:w="70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0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64"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ind w:left="0" w:right="0" w:firstLine="200"/>
              <w:jc w:val="right"/>
              <w:rPr/>
            </w:pPr>
            <w:r>
              <w:rPr/>
              <w:t> </w:t>
            </w:r>
          </w:p>
        </w:tc>
      </w:tr>
      <w:tr>
        <w:trPr/>
        <w:tc>
          <w:tcPr>
            <w:tcW w:w="70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$0.0001 par value; 100,000,000 shares authorized as of September 30, 2024 and December 31, 2023; 29,748,154 and 24,360,233 shares issued and outstanding as of September 30, 2024 and December 31, 2023, respectively</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0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533,764</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0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color w:val="000000"/>
              </w:rPr>
            </w:pPr>
            <w:r>
              <w:rPr>
                <w:color w:val="000000"/>
              </w:rPr>
              <w:t>—</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0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(188,645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345,121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367,996</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DISC MEDICINE,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operations_and_comprehensive_loss"/>
      <w:bookmarkEnd w:id="7"/>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color w:val="000000"/>
              </w:rPr>
            </w:pPr>
            <w:r>
              <w:rPr>
                <w:color w:val="000000"/>
              </w:rPr>
              <w:t>​</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color w:val="000000"/>
              </w:rPr>
            </w:pPr>
            <w:r>
              <w:rPr>
                <w:color w:val="000000"/>
              </w:rPr>
              <w:t>​</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(61,411</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contingent value right liability</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(79,721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(52,783</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(52,850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stockholders-basic and diluted</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(52,850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outstanding-basic and diluted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29,935,551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24,316,817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26,809,605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21,605,202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stockholders-basic and diluted</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(52,850</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on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comprehensive income</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(52,850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DISC MEDICINE, INC.</w:t>
      </w:r>
    </w:p>
    <w:p>
      <w:pPr>
        <w:pStyle w:val="TextBody"/>
        <w:bidi w:val="0"/>
        <w:jc w:val="center"/>
        <w:rPr>
          <w:rFonts w:ascii="Times New Roman" w:hAnsi="Times New Roman"/>
          <w:b/>
          <w:color w:val="000000"/>
          <w:sz w:val="20"/>
        </w:rPr>
      </w:pPr>
      <w:bookmarkStart w:id="8" w:name="stockholders_equity_deficit"/>
      <w:bookmarkEnd w:id="8"/>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973"/>
        <w:gridCol w:w="146"/>
        <w:gridCol w:w="916"/>
        <w:gridCol w:w="146"/>
        <w:gridCol w:w="146"/>
        <w:gridCol w:w="206"/>
        <w:gridCol w:w="365"/>
        <w:gridCol w:w="146"/>
        <w:gridCol w:w="146"/>
        <w:gridCol w:w="196"/>
        <w:gridCol w:w="691"/>
        <w:gridCol w:w="146"/>
        <w:gridCol w:w="146"/>
        <w:gridCol w:w="390"/>
        <w:gridCol w:w="752"/>
        <w:gridCol w:w="166"/>
        <w:gridCol w:w="146"/>
        <w:gridCol w:w="196"/>
        <w:gridCol w:w="751"/>
        <w:gridCol w:w="166"/>
        <w:gridCol w:w="146"/>
        <w:gridCol w:w="200"/>
        <w:gridCol w:w="709"/>
        <w:gridCol w:w="214"/>
      </w:tblGrid>
      <w:tr>
        <w:trPr/>
        <w:tc>
          <w:tcPr>
            <w:tcW w:w="2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973" w:type="dxa"/>
            <w:tcBorders/>
            <w:shd w:fill="FFFFFF" w:val="clear"/>
            <w:vAlign w:val="center"/>
          </w:tcPr>
          <w:p>
            <w:pPr>
              <w:pStyle w:val="TableContents"/>
              <w:bidi w:val="0"/>
              <w:spacing w:before="0" w:after="283"/>
              <w:jc w:val="left"/>
              <w:rPr>
                <w:sz w:val="4"/>
                <w:szCs w:val="4"/>
              </w:rPr>
            </w:pPr>
            <w:r>
              <w:rPr>
                <w:sz w:val="4"/>
                <w:szCs w:val="4"/>
              </w:rPr>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br/>
              <w:t>$0.0001 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Additional </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9"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14" w:type="dxa"/>
            <w:tcBorders/>
            <w:shd w:fill="FFFFFF" w:val="clear"/>
            <w:vAlign w:val="center"/>
          </w:tcPr>
          <w:p>
            <w:pPr>
              <w:pStyle w:val="TableContents"/>
              <w:bidi w:val="0"/>
              <w:spacing w:before="0" w:after="283"/>
              <w:jc w:val="center"/>
              <w:rPr/>
            </w:pPr>
            <w:r>
              <w:rPr/>
              <w:t> </w:t>
            </w:r>
          </w:p>
        </w:tc>
      </w:tr>
      <w:tr>
        <w:trPr/>
        <w:tc>
          <w:tcPr>
            <w:tcW w:w="2973" w:type="dxa"/>
            <w:tcBorders/>
            <w:shd w:fill="FFFFFF" w:val="clear"/>
            <w:vAlign w:val="center"/>
          </w:tcPr>
          <w:p>
            <w:pPr>
              <w:pStyle w:val="TableContents"/>
              <w:bidi w:val="0"/>
              <w:spacing w:before="0" w:after="283"/>
              <w:jc w:val="left"/>
              <w:rPr>
                <w:sz w:val="4"/>
                <w:szCs w:val="4"/>
              </w:rPr>
            </w:pPr>
            <w:r>
              <w:rPr>
                <w:sz w:val="4"/>
                <w:szCs w:val="4"/>
              </w:rPr>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24,360,233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533,764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(188,645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345,121</w:t>
            </w:r>
          </w:p>
        </w:tc>
        <w:tc>
          <w:tcPr>
            <w:tcW w:w="214" w:type="dxa"/>
            <w:tcBorders/>
            <w:shd w:fill="CFF0FC" w:val="clear"/>
            <w:vAlign w:val="center"/>
          </w:tcPr>
          <w:p>
            <w:pPr>
              <w:pStyle w:val="TableContents"/>
              <w:bidi w:val="0"/>
              <w:spacing w:before="0" w:after="283"/>
              <w:jc w:val="left"/>
              <w:rPr/>
            </w:pPr>
            <w:r>
              <w:rPr/>
              <w:t> </w:t>
            </w:r>
          </w:p>
        </w:tc>
      </w:tr>
      <w:tr>
        <w:trPr/>
        <w:tc>
          <w:tcPr>
            <w:tcW w:w="29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95,467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w:t>
            </w:r>
          </w:p>
        </w:tc>
        <w:tc>
          <w:tcPr>
            <w:tcW w:w="214" w:type="dxa"/>
            <w:tcBorders/>
            <w:shd w:fill="FFFFFF" w:val="clear"/>
            <w:vAlign w:val="center"/>
          </w:tcPr>
          <w:p>
            <w:pPr>
              <w:pStyle w:val="TableContents"/>
              <w:bidi w:val="0"/>
              <w:spacing w:before="0" w:after="283"/>
              <w:jc w:val="left"/>
              <w:rPr/>
            </w:pPr>
            <w:r>
              <w:rPr/>
              <w:t> </w:t>
            </w:r>
          </w:p>
        </w:tc>
      </w:tr>
      <w:tr>
        <w:trPr/>
        <w:tc>
          <w:tcPr>
            <w:tcW w:w="29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0"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4,058</w:t>
            </w:r>
          </w:p>
        </w:tc>
        <w:tc>
          <w:tcPr>
            <w:tcW w:w="214" w:type="dxa"/>
            <w:tcBorders/>
            <w:shd w:fill="CFF0FC" w:val="clear"/>
            <w:vAlign w:val="center"/>
          </w:tcPr>
          <w:p>
            <w:pPr>
              <w:pStyle w:val="TableContents"/>
              <w:bidi w:val="0"/>
              <w:spacing w:before="0" w:after="283"/>
              <w:jc w:val="left"/>
              <w:rPr/>
            </w:pPr>
            <w:r>
              <w:rPr/>
              <w:t> </w:t>
            </w:r>
          </w:p>
        </w:tc>
      </w:tr>
      <w:tr>
        <w:trPr/>
        <w:tc>
          <w:tcPr>
            <w:tcW w:w="29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common stock in at-the-market offerings,</w:t>
              <w:br/>
              <w:t>   net of issuance costs of $518</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234,449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14,790</w:t>
            </w:r>
          </w:p>
        </w:tc>
        <w:tc>
          <w:tcPr>
            <w:tcW w:w="214" w:type="dxa"/>
            <w:tcBorders/>
            <w:shd w:fill="FFFFFF" w:val="clear"/>
            <w:vAlign w:val="center"/>
          </w:tcPr>
          <w:p>
            <w:pPr>
              <w:pStyle w:val="TableContents"/>
              <w:bidi w:val="0"/>
              <w:spacing w:before="0" w:after="283"/>
              <w:jc w:val="left"/>
              <w:rPr/>
            </w:pPr>
            <w:r>
              <w:rPr/>
              <w:t> </w:t>
            </w:r>
          </w:p>
        </w:tc>
      </w:tr>
      <w:tr>
        <w:trPr/>
        <w:tc>
          <w:tcPr>
            <w:tcW w:w="29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0"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w:t>
            </w:r>
          </w:p>
        </w:tc>
        <w:tc>
          <w:tcPr>
            <w:tcW w:w="214" w:type="dxa"/>
            <w:tcBorders/>
            <w:shd w:fill="CFF0FC" w:val="clear"/>
            <w:vAlign w:val="center"/>
          </w:tcPr>
          <w:p>
            <w:pPr>
              <w:pStyle w:val="TableContents"/>
              <w:bidi w:val="0"/>
              <w:spacing w:before="0" w:after="283"/>
              <w:jc w:val="left"/>
              <w:rPr/>
            </w:pPr>
            <w:r>
              <w:rPr/>
              <w:t> </w:t>
            </w:r>
          </w:p>
        </w:tc>
      </w:tr>
      <w:tr>
        <w:trPr/>
        <w:tc>
          <w:tcPr>
            <w:tcW w:w="29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(26,949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7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2024</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24,695,885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553,663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(215,594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338,071</w:t>
            </w:r>
          </w:p>
        </w:tc>
        <w:tc>
          <w:tcPr>
            <w:tcW w:w="214" w:type="dxa"/>
            <w:tcBorders/>
            <w:shd w:fill="CFF0FC" w:val="clear"/>
            <w:vAlign w:val="center"/>
          </w:tcPr>
          <w:p>
            <w:pPr>
              <w:pStyle w:val="TableContents"/>
              <w:bidi w:val="0"/>
              <w:spacing w:before="0" w:after="283"/>
              <w:jc w:val="left"/>
              <w:rPr/>
            </w:pPr>
            <w:r>
              <w:rPr/>
              <w:t> </w:t>
            </w:r>
          </w:p>
        </w:tc>
      </w:tr>
      <w:tr>
        <w:trPr/>
        <w:tc>
          <w:tcPr>
            <w:tcW w:w="29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w:t>
            </w:r>
          </w:p>
        </w:tc>
        <w:tc>
          <w:tcPr>
            <w:tcW w:w="214" w:type="dxa"/>
            <w:tcBorders/>
            <w:shd w:fill="FFFFFF" w:val="clear"/>
            <w:vAlign w:val="center"/>
          </w:tcPr>
          <w:p>
            <w:pPr>
              <w:pStyle w:val="TableContents"/>
              <w:bidi w:val="0"/>
              <w:spacing w:before="0" w:after="283"/>
              <w:jc w:val="left"/>
              <w:rPr/>
            </w:pPr>
            <w:r>
              <w:rPr/>
              <w:t> </w:t>
            </w:r>
          </w:p>
        </w:tc>
      </w:tr>
      <w:tr>
        <w:trPr/>
        <w:tc>
          <w:tcPr>
            <w:tcW w:w="29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0"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4,091</w:t>
            </w:r>
          </w:p>
        </w:tc>
        <w:tc>
          <w:tcPr>
            <w:tcW w:w="214" w:type="dxa"/>
            <w:tcBorders/>
            <w:shd w:fill="CFF0FC" w:val="clear"/>
            <w:vAlign w:val="center"/>
          </w:tcPr>
          <w:p>
            <w:pPr>
              <w:pStyle w:val="TableContents"/>
              <w:bidi w:val="0"/>
              <w:spacing w:before="0" w:after="283"/>
              <w:jc w:val="left"/>
              <w:rPr/>
            </w:pPr>
            <w:r>
              <w:rPr/>
              <w:t> </w:t>
            </w:r>
          </w:p>
        </w:tc>
      </w:tr>
      <w:tr>
        <w:trPr/>
        <w:tc>
          <w:tcPr>
            <w:tcW w:w="29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common stock in registered direct offering,</w:t>
              <w:br/>
              <w:t>   net of issuance costs of $5,472</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4,944,000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172,512</w:t>
            </w:r>
          </w:p>
        </w:tc>
        <w:tc>
          <w:tcPr>
            <w:tcW w:w="214" w:type="dxa"/>
            <w:tcBorders/>
            <w:shd w:fill="FFFFFF" w:val="clear"/>
            <w:vAlign w:val="center"/>
          </w:tcPr>
          <w:p>
            <w:pPr>
              <w:pStyle w:val="TableContents"/>
              <w:bidi w:val="0"/>
              <w:spacing w:before="0" w:after="283"/>
              <w:jc w:val="left"/>
              <w:rPr/>
            </w:pPr>
            <w:r>
              <w:rPr/>
              <w:t> </w:t>
            </w:r>
          </w:p>
        </w:tc>
      </w:tr>
      <w:tr>
        <w:trPr/>
        <w:tc>
          <w:tcPr>
            <w:tcW w:w="29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0"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4" w:type="dxa"/>
            <w:tcBorders/>
            <w:shd w:fill="CFF0FC" w:val="clear"/>
            <w:vAlign w:val="center"/>
          </w:tcPr>
          <w:p>
            <w:pPr>
              <w:pStyle w:val="TableContents"/>
              <w:bidi w:val="0"/>
              <w:spacing w:before="0" w:after="283"/>
              <w:jc w:val="left"/>
              <w:rPr/>
            </w:pPr>
            <w:r>
              <w:rPr/>
              <w:t> </w:t>
            </w:r>
          </w:p>
        </w:tc>
      </w:tr>
      <w:tr>
        <w:trPr/>
        <w:tc>
          <w:tcPr>
            <w:tcW w:w="29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marketable securities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7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2024</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29,707,997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730,832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(241,946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488,829</w:t>
            </w:r>
          </w:p>
        </w:tc>
        <w:tc>
          <w:tcPr>
            <w:tcW w:w="214" w:type="dxa"/>
            <w:tcBorders/>
            <w:shd w:fill="FFFFFF" w:val="clear"/>
            <w:vAlign w:val="center"/>
          </w:tcPr>
          <w:p>
            <w:pPr>
              <w:pStyle w:val="TableContents"/>
              <w:bidi w:val="0"/>
              <w:spacing w:before="0" w:after="283"/>
              <w:jc w:val="left"/>
              <w:rPr/>
            </w:pPr>
            <w:r>
              <w:rPr/>
              <w:t> </w:t>
            </w:r>
          </w:p>
        </w:tc>
      </w:tr>
      <w:tr>
        <w:trPr/>
        <w:tc>
          <w:tcPr>
            <w:tcW w:w="29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0"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214" w:type="dxa"/>
            <w:tcBorders/>
            <w:shd w:fill="CFF0FC" w:val="clear"/>
            <w:vAlign w:val="center"/>
          </w:tcPr>
          <w:p>
            <w:pPr>
              <w:pStyle w:val="TableContents"/>
              <w:bidi w:val="0"/>
              <w:spacing w:before="0" w:after="283"/>
              <w:jc w:val="left"/>
              <w:rPr/>
            </w:pPr>
            <w:r>
              <w:rPr/>
              <w:t> </w:t>
            </w:r>
          </w:p>
        </w:tc>
      </w:tr>
      <w:tr>
        <w:trPr/>
        <w:tc>
          <w:tcPr>
            <w:tcW w:w="29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4,332</w:t>
            </w:r>
          </w:p>
        </w:tc>
        <w:tc>
          <w:tcPr>
            <w:tcW w:w="214" w:type="dxa"/>
            <w:tcBorders/>
            <w:shd w:fill="FFFFFF" w:val="clear"/>
            <w:vAlign w:val="center"/>
          </w:tcPr>
          <w:p>
            <w:pPr>
              <w:pStyle w:val="TableContents"/>
              <w:bidi w:val="0"/>
              <w:spacing w:before="0" w:after="283"/>
              <w:jc w:val="left"/>
              <w:rPr/>
            </w:pPr>
            <w:r>
              <w:rPr/>
              <w:t> </w:t>
            </w:r>
          </w:p>
        </w:tc>
      </w:tr>
      <w:tr>
        <w:trPr/>
        <w:tc>
          <w:tcPr>
            <w:tcW w:w="29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0"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w:t>
            </w:r>
          </w:p>
        </w:tc>
        <w:tc>
          <w:tcPr>
            <w:tcW w:w="214" w:type="dxa"/>
            <w:tcBorders/>
            <w:shd w:fill="CFF0FC" w:val="clear"/>
            <w:vAlign w:val="center"/>
          </w:tcPr>
          <w:p>
            <w:pPr>
              <w:pStyle w:val="TableContents"/>
              <w:bidi w:val="0"/>
              <w:spacing w:before="0" w:after="283"/>
              <w:jc w:val="left"/>
              <w:rPr/>
            </w:pPr>
            <w:r>
              <w:rPr/>
              <w:t> </w:t>
            </w:r>
          </w:p>
        </w:tc>
      </w:tr>
      <w:tr>
        <w:trPr/>
        <w:tc>
          <w:tcPr>
            <w:tcW w:w="29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on marketable securities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0"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w:t>
            </w:r>
          </w:p>
        </w:tc>
        <w:tc>
          <w:tcPr>
            <w:tcW w:w="214" w:type="dxa"/>
            <w:tcBorders/>
            <w:shd w:fill="CFF0FC" w:val="clear"/>
            <w:vAlign w:val="center"/>
          </w:tcPr>
          <w:p>
            <w:pPr>
              <w:pStyle w:val="TableContents"/>
              <w:bidi w:val="0"/>
              <w:spacing w:before="0" w:after="283"/>
              <w:jc w:val="left"/>
              <w:rPr/>
            </w:pPr>
            <w:r>
              <w:rPr/>
              <w:t> </w:t>
            </w:r>
          </w:p>
        </w:tc>
      </w:tr>
      <w:tr>
        <w:trPr/>
        <w:tc>
          <w:tcPr>
            <w:tcW w:w="29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(26,599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7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29,748,154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735,761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467,960</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DISC MEDICINE,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 (Continued)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973"/>
        <w:gridCol w:w="146"/>
        <w:gridCol w:w="916"/>
        <w:gridCol w:w="146"/>
        <w:gridCol w:w="146"/>
        <w:gridCol w:w="206"/>
        <w:gridCol w:w="365"/>
        <w:gridCol w:w="146"/>
        <w:gridCol w:w="146"/>
        <w:gridCol w:w="196"/>
        <w:gridCol w:w="691"/>
        <w:gridCol w:w="146"/>
        <w:gridCol w:w="146"/>
        <w:gridCol w:w="419"/>
        <w:gridCol w:w="740"/>
        <w:gridCol w:w="146"/>
        <w:gridCol w:w="146"/>
        <w:gridCol w:w="196"/>
        <w:gridCol w:w="751"/>
        <w:gridCol w:w="166"/>
        <w:gridCol w:w="146"/>
        <w:gridCol w:w="201"/>
        <w:gridCol w:w="712"/>
        <w:gridCol w:w="213"/>
      </w:tblGrid>
      <w:tr>
        <w:trPr/>
        <w:tc>
          <w:tcPr>
            <w:tcW w:w="2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73" w:type="dxa"/>
            <w:tcBorders/>
            <w:shd w:fill="FFFFFF" w:val="clear"/>
            <w:vAlign w:val="center"/>
          </w:tcPr>
          <w:p>
            <w:pPr>
              <w:pStyle w:val="TableContents"/>
              <w:bidi w:val="0"/>
              <w:spacing w:before="0" w:after="283"/>
              <w:jc w:val="left"/>
              <w:rPr>
                <w:sz w:val="4"/>
                <w:szCs w:val="4"/>
              </w:rPr>
            </w:pPr>
            <w:r>
              <w:rPr>
                <w:sz w:val="4"/>
                <w:szCs w:val="4"/>
              </w:rPr>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br/>
              <w:t>$0.0001 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Additional </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9"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w:t>
              <w:br/>
              <w:t>Comprehensive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3"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2973" w:type="dxa"/>
            <w:tcBorders/>
            <w:shd w:fill="FFFFFF" w:val="clear"/>
            <w:vAlign w:val="center"/>
          </w:tcPr>
          <w:p>
            <w:pPr>
              <w:pStyle w:val="TableContents"/>
              <w:bidi w:val="0"/>
              <w:spacing w:before="0" w:after="283"/>
              <w:jc w:val="left"/>
              <w:rPr>
                <w:sz w:val="4"/>
                <w:szCs w:val="4"/>
              </w:rPr>
            </w:pPr>
            <w:r>
              <w:rPr>
                <w:sz w:val="4"/>
                <w:szCs w:val="4"/>
              </w:rPr>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2022</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17,403,315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288,814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(112,216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176,600</w:t>
            </w:r>
          </w:p>
        </w:tc>
        <w:tc>
          <w:tcPr>
            <w:tcW w:w="213" w:type="dxa"/>
            <w:tcBorders/>
            <w:shd w:fill="CFF0FC" w:val="clear"/>
            <w:vAlign w:val="center"/>
          </w:tcPr>
          <w:p>
            <w:pPr>
              <w:pStyle w:val="TableContents"/>
              <w:bidi w:val="0"/>
              <w:spacing w:before="0" w:after="283"/>
              <w:jc w:val="left"/>
              <w:rPr/>
            </w:pPr>
            <w:r>
              <w:rPr/>
              <w:t> </w:t>
            </w:r>
          </w:p>
        </w:tc>
      </w:tr>
      <w:tr>
        <w:trPr/>
        <w:tc>
          <w:tcPr>
            <w:tcW w:w="29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9"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w:t>
            </w:r>
          </w:p>
        </w:tc>
        <w:tc>
          <w:tcPr>
            <w:tcW w:w="213" w:type="dxa"/>
            <w:tcBorders/>
            <w:shd w:fill="FFFFFF" w:val="clear"/>
            <w:vAlign w:val="center"/>
          </w:tcPr>
          <w:p>
            <w:pPr>
              <w:pStyle w:val="TableContents"/>
              <w:bidi w:val="0"/>
              <w:spacing w:before="0" w:after="283"/>
              <w:jc w:val="left"/>
              <w:rPr/>
            </w:pPr>
            <w:r>
              <w:rPr/>
              <w:t> </w:t>
            </w:r>
          </w:p>
        </w:tc>
      </w:tr>
      <w:tr>
        <w:trPr/>
        <w:tc>
          <w:tcPr>
            <w:tcW w:w="29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9"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29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9"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1,024</w:t>
            </w:r>
          </w:p>
        </w:tc>
        <w:tc>
          <w:tcPr>
            <w:tcW w:w="213" w:type="dxa"/>
            <w:tcBorders/>
            <w:shd w:fill="FFFFFF" w:val="clear"/>
            <w:vAlign w:val="center"/>
          </w:tcPr>
          <w:p>
            <w:pPr>
              <w:pStyle w:val="TableContents"/>
              <w:bidi w:val="0"/>
              <w:spacing w:before="0" w:after="283"/>
              <w:jc w:val="left"/>
              <w:rPr/>
            </w:pPr>
            <w:r>
              <w:rPr/>
              <w:t> </w:t>
            </w:r>
          </w:p>
        </w:tc>
      </w:tr>
      <w:tr>
        <w:trPr/>
        <w:tc>
          <w:tcPr>
            <w:tcW w:w="29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common stock in registered direct offering,</w:t>
              <w:br/>
              <w:t>   net of issuance costs of $80</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1,488,166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9"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34,148</w:t>
            </w:r>
          </w:p>
        </w:tc>
        <w:tc>
          <w:tcPr>
            <w:tcW w:w="213" w:type="dxa"/>
            <w:tcBorders/>
            <w:shd w:fill="CFF0FC" w:val="clear"/>
            <w:vAlign w:val="center"/>
          </w:tcPr>
          <w:p>
            <w:pPr>
              <w:pStyle w:val="TableContents"/>
              <w:bidi w:val="0"/>
              <w:spacing w:before="0" w:after="283"/>
              <w:jc w:val="left"/>
              <w:rPr/>
            </w:pPr>
            <w:r>
              <w:rPr/>
              <w:t> </w:t>
            </w:r>
          </w:p>
        </w:tc>
      </w:tr>
      <w:tr>
        <w:trPr/>
        <w:tc>
          <w:tcPr>
            <w:tcW w:w="29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pre-funded warrants in registered direct offering,</w:t>
              <w:br/>
              <w:t>   net of issuance costs of $66</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9"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28,206</w:t>
            </w:r>
          </w:p>
        </w:tc>
        <w:tc>
          <w:tcPr>
            <w:tcW w:w="213" w:type="dxa"/>
            <w:tcBorders/>
            <w:shd w:fill="FFFFFF" w:val="clear"/>
            <w:vAlign w:val="center"/>
          </w:tcPr>
          <w:p>
            <w:pPr>
              <w:pStyle w:val="TableContents"/>
              <w:bidi w:val="0"/>
              <w:spacing w:before="0" w:after="283"/>
              <w:jc w:val="left"/>
              <w:rPr/>
            </w:pPr>
            <w:r>
              <w:rPr/>
              <w:t> </w:t>
            </w:r>
          </w:p>
        </w:tc>
      </w:tr>
      <w:tr>
        <w:trPr/>
        <w:tc>
          <w:tcPr>
            <w:tcW w:w="29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common stock in at-the-market offerings,</w:t>
              <w:br/>
              <w:t>   net of issuance costs of $408</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608,050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9"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14,591</w:t>
            </w:r>
          </w:p>
        </w:tc>
        <w:tc>
          <w:tcPr>
            <w:tcW w:w="213" w:type="dxa"/>
            <w:tcBorders/>
            <w:shd w:fill="CFF0FC" w:val="clear"/>
            <w:vAlign w:val="center"/>
          </w:tcPr>
          <w:p>
            <w:pPr>
              <w:pStyle w:val="TableContents"/>
              <w:bidi w:val="0"/>
              <w:spacing w:before="0" w:after="283"/>
              <w:jc w:val="left"/>
              <w:rPr/>
            </w:pPr>
            <w:r>
              <w:rPr/>
              <w:t> </w:t>
            </w:r>
          </w:p>
        </w:tc>
      </w:tr>
      <w:tr>
        <w:trPr/>
        <w:tc>
          <w:tcPr>
            <w:tcW w:w="29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(22,781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7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2023</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19,575,242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367,850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(134,997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232,855</w:t>
            </w:r>
          </w:p>
        </w:tc>
        <w:tc>
          <w:tcPr>
            <w:tcW w:w="213" w:type="dxa"/>
            <w:tcBorders/>
            <w:shd w:fill="CFF0FC" w:val="clear"/>
            <w:vAlign w:val="center"/>
          </w:tcPr>
          <w:p>
            <w:pPr>
              <w:pStyle w:val="TableContents"/>
              <w:bidi w:val="0"/>
              <w:spacing w:before="0" w:after="283"/>
              <w:jc w:val="left"/>
              <w:rPr/>
            </w:pPr>
            <w:r>
              <w:rPr/>
              <w:t> </w:t>
            </w:r>
          </w:p>
        </w:tc>
      </w:tr>
      <w:tr>
        <w:trPr/>
        <w:tc>
          <w:tcPr>
            <w:tcW w:w="29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9"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w:t>
            </w:r>
          </w:p>
        </w:tc>
        <w:tc>
          <w:tcPr>
            <w:tcW w:w="213" w:type="dxa"/>
            <w:tcBorders/>
            <w:shd w:fill="FFFFFF" w:val="clear"/>
            <w:vAlign w:val="center"/>
          </w:tcPr>
          <w:p>
            <w:pPr>
              <w:pStyle w:val="TableContents"/>
              <w:bidi w:val="0"/>
              <w:spacing w:before="0" w:after="283"/>
              <w:jc w:val="left"/>
              <w:rPr/>
            </w:pPr>
            <w:r>
              <w:rPr/>
              <w:t> </w:t>
            </w:r>
          </w:p>
        </w:tc>
      </w:tr>
      <w:tr>
        <w:trPr/>
        <w:tc>
          <w:tcPr>
            <w:tcW w:w="29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9"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29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9"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1,309</w:t>
            </w:r>
          </w:p>
        </w:tc>
        <w:tc>
          <w:tcPr>
            <w:tcW w:w="213" w:type="dxa"/>
            <w:tcBorders/>
            <w:shd w:fill="FFFFFF" w:val="clear"/>
            <w:vAlign w:val="center"/>
          </w:tcPr>
          <w:p>
            <w:pPr>
              <w:pStyle w:val="TableContents"/>
              <w:bidi w:val="0"/>
              <w:spacing w:before="0" w:after="283"/>
              <w:jc w:val="left"/>
              <w:rPr/>
            </w:pPr>
            <w:r>
              <w:rPr/>
              <w:t> </w:t>
            </w:r>
          </w:p>
        </w:tc>
      </w:tr>
      <w:tr>
        <w:trPr/>
        <w:tc>
          <w:tcPr>
            <w:tcW w:w="29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common stock in follow-on public offering,</w:t>
              <w:br/>
              <w:t>   net of issuance costs of $9,272</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3,015,919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9"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138,508</w:t>
            </w:r>
          </w:p>
        </w:tc>
        <w:tc>
          <w:tcPr>
            <w:tcW w:w="213" w:type="dxa"/>
            <w:tcBorders/>
            <w:shd w:fill="CFF0FC" w:val="clear"/>
            <w:vAlign w:val="center"/>
          </w:tcPr>
          <w:p>
            <w:pPr>
              <w:pStyle w:val="TableContents"/>
              <w:bidi w:val="0"/>
              <w:spacing w:before="0" w:after="283"/>
              <w:jc w:val="left"/>
              <w:rPr/>
            </w:pPr>
            <w:r>
              <w:rPr/>
              <w:t> </w:t>
            </w:r>
          </w:p>
        </w:tc>
      </w:tr>
      <w:tr>
        <w:trPr/>
        <w:tc>
          <w:tcPr>
            <w:tcW w:w="29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pre-funded warrants in follow-on public offering,</w:t>
              <w:br/>
              <w:t>   net of issuance costs of $627</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9"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9,373</w:t>
            </w:r>
          </w:p>
        </w:tc>
        <w:tc>
          <w:tcPr>
            <w:tcW w:w="213" w:type="dxa"/>
            <w:tcBorders/>
            <w:shd w:fill="FFFFFF" w:val="clear"/>
            <w:vAlign w:val="center"/>
          </w:tcPr>
          <w:p>
            <w:pPr>
              <w:pStyle w:val="TableContents"/>
              <w:bidi w:val="0"/>
              <w:spacing w:before="0" w:after="283"/>
              <w:jc w:val="left"/>
              <w:rPr/>
            </w:pPr>
            <w:r>
              <w:rPr/>
              <w:t> </w:t>
            </w:r>
          </w:p>
        </w:tc>
      </w:tr>
      <w:tr>
        <w:trPr/>
        <w:tc>
          <w:tcPr>
            <w:tcW w:w="29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common stock in at-the-market offerings,</w:t>
              <w:br/>
              <w:t>   net of issuance costs of $119</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9"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4,879</w:t>
            </w:r>
          </w:p>
        </w:tc>
        <w:tc>
          <w:tcPr>
            <w:tcW w:w="213" w:type="dxa"/>
            <w:tcBorders/>
            <w:shd w:fill="CFF0FC" w:val="clear"/>
            <w:vAlign w:val="center"/>
          </w:tcPr>
          <w:p>
            <w:pPr>
              <w:pStyle w:val="TableContents"/>
              <w:bidi w:val="0"/>
              <w:spacing w:before="0" w:after="283"/>
              <w:jc w:val="left"/>
              <w:rPr/>
            </w:pPr>
            <w:r>
              <w:rPr/>
              <w:t> </w:t>
            </w:r>
          </w:p>
        </w:tc>
      </w:tr>
      <w:tr>
        <w:trPr/>
        <w:tc>
          <w:tcPr>
            <w:tcW w:w="29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(15,947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7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2023</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22,850,894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522,161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(150,944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371,219</w:t>
            </w:r>
          </w:p>
        </w:tc>
        <w:tc>
          <w:tcPr>
            <w:tcW w:w="213" w:type="dxa"/>
            <w:tcBorders/>
            <w:shd w:fill="CFF0FC" w:val="clear"/>
            <w:vAlign w:val="center"/>
          </w:tcPr>
          <w:p>
            <w:pPr>
              <w:pStyle w:val="TableContents"/>
              <w:bidi w:val="0"/>
              <w:spacing w:before="0" w:after="283"/>
              <w:jc w:val="left"/>
              <w:rPr/>
            </w:pPr>
            <w:r>
              <w:rPr/>
              <w:t> </w:t>
            </w:r>
          </w:p>
        </w:tc>
      </w:tr>
      <w:tr>
        <w:trPr/>
        <w:tc>
          <w:tcPr>
            <w:tcW w:w="29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9"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w:t>
            </w:r>
          </w:p>
        </w:tc>
        <w:tc>
          <w:tcPr>
            <w:tcW w:w="213" w:type="dxa"/>
            <w:tcBorders/>
            <w:shd w:fill="FFFFFF" w:val="clear"/>
            <w:vAlign w:val="center"/>
          </w:tcPr>
          <w:p>
            <w:pPr>
              <w:pStyle w:val="TableContents"/>
              <w:bidi w:val="0"/>
              <w:spacing w:before="0" w:after="283"/>
              <w:jc w:val="left"/>
              <w:rPr/>
            </w:pPr>
            <w:r>
              <w:rPr/>
              <w:t> </w:t>
            </w:r>
          </w:p>
        </w:tc>
      </w:tr>
      <w:tr>
        <w:trPr/>
        <w:tc>
          <w:tcPr>
            <w:tcW w:w="29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9"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w:t>
            </w:r>
          </w:p>
        </w:tc>
        <w:tc>
          <w:tcPr>
            <w:tcW w:w="213" w:type="dxa"/>
            <w:tcBorders/>
            <w:shd w:fill="CFF0FC" w:val="clear"/>
            <w:vAlign w:val="center"/>
          </w:tcPr>
          <w:p>
            <w:pPr>
              <w:pStyle w:val="TableContents"/>
              <w:bidi w:val="0"/>
              <w:spacing w:before="0" w:after="283"/>
              <w:jc w:val="left"/>
              <w:rPr/>
            </w:pPr>
            <w:r>
              <w:rPr/>
              <w:t> </w:t>
            </w:r>
          </w:p>
        </w:tc>
      </w:tr>
      <w:tr>
        <w:trPr/>
        <w:tc>
          <w:tcPr>
            <w:tcW w:w="29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warrants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1,229,221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9"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29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(14,122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7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24,139,078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524,038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(165,066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358,974</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DISC MEDICINE, INC.</w:t>
      </w:r>
    </w:p>
    <w:p>
      <w:pPr>
        <w:pStyle w:val="TextBody"/>
        <w:bidi w:val="0"/>
        <w:jc w:val="center"/>
        <w:rPr>
          <w:rFonts w:ascii="Times New Roman" w:hAnsi="Times New Roman"/>
          <w:b/>
          <w:color w:val="000000"/>
          <w:sz w:val="20"/>
        </w:rPr>
      </w:pPr>
      <w:bookmarkStart w:id="9" w:name="cash_flows"/>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92"/>
        <w:gridCol w:w="146"/>
        <w:gridCol w:w="211"/>
        <w:gridCol w:w="841"/>
        <w:gridCol w:w="166"/>
        <w:gridCol w:w="146"/>
        <w:gridCol w:w="211"/>
        <w:gridCol w:w="781"/>
        <w:gridCol w:w="1011"/>
      </w:tblGrid>
      <w:tr>
        <w:trPr/>
        <w:tc>
          <w:tcPr>
            <w:tcW w:w="6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6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200"/>
              <w:jc w:val="right"/>
              <w:rPr/>
            </w:pPr>
            <w:r>
              <w:rPr/>
              <w:t> </w:t>
            </w:r>
          </w:p>
        </w:tc>
      </w:tr>
      <w:tr>
        <w:trPr/>
        <w:tc>
          <w:tcPr>
            <w:tcW w:w="66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(52,850</w:t>
            </w:r>
          </w:p>
        </w:tc>
        <w:tc>
          <w:tcPr>
            <w:tcW w:w="10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operations: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400"/>
              <w:jc w:val="right"/>
              <w:rPr/>
            </w:pPr>
            <w:r>
              <w:rPr/>
              <w:t> </w:t>
            </w:r>
          </w:p>
        </w:tc>
      </w:tr>
      <w:tr>
        <w:trPr/>
        <w:tc>
          <w:tcPr>
            <w:tcW w:w="66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669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w:t>
            </w:r>
          </w:p>
        </w:tc>
        <w:tc>
          <w:tcPr>
            <w:tcW w:w="1011" w:type="dxa"/>
            <w:tcBorders/>
            <w:shd w:fill="CFF0FC" w:val="clear"/>
            <w:vAlign w:val="center"/>
          </w:tcPr>
          <w:p>
            <w:pPr>
              <w:pStyle w:val="TableContents"/>
              <w:bidi w:val="0"/>
              <w:spacing w:before="0" w:after="283"/>
              <w:ind w:left="0" w:right="0" w:firstLine="400"/>
              <w:jc w:val="left"/>
              <w:rPr/>
            </w:pPr>
            <w:r>
              <w:rPr/>
              <w:t> </w:t>
            </w:r>
          </w:p>
        </w:tc>
      </w:tr>
      <w:tr>
        <w:trPr/>
        <w:tc>
          <w:tcPr>
            <w:tcW w:w="66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Amortization/accretion of investment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669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 in fair value of contingent value right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011" w:type="dxa"/>
            <w:tcBorders/>
            <w:shd w:fill="CFF0FC" w:val="clear"/>
            <w:vAlign w:val="center"/>
          </w:tcPr>
          <w:p>
            <w:pPr>
              <w:pStyle w:val="TableContents"/>
              <w:bidi w:val="0"/>
              <w:spacing w:before="0" w:after="283"/>
              <w:ind w:left="0" w:right="0" w:firstLine="400"/>
              <w:jc w:val="left"/>
              <w:rPr/>
            </w:pPr>
            <w:r>
              <w:rPr/>
              <w:t> </w:t>
            </w:r>
          </w:p>
        </w:tc>
      </w:tr>
      <w:tr>
        <w:trPr/>
        <w:tc>
          <w:tcPr>
            <w:tcW w:w="66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669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non-cash items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011" w:type="dxa"/>
            <w:tcBorders/>
            <w:shd w:fill="CFF0FC" w:val="clear"/>
            <w:vAlign w:val="center"/>
          </w:tcPr>
          <w:p>
            <w:pPr>
              <w:pStyle w:val="TableContents"/>
              <w:bidi w:val="0"/>
              <w:spacing w:before="0" w:after="283"/>
              <w:ind w:left="0" w:right="0" w:firstLine="400"/>
              <w:jc w:val="left"/>
              <w:rPr/>
            </w:pPr>
            <w:r>
              <w:rPr/>
              <w:t> </w:t>
            </w:r>
          </w:p>
        </w:tc>
      </w:tr>
      <w:tr>
        <w:trPr/>
        <w:tc>
          <w:tcPr>
            <w:tcW w:w="66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011" w:type="dxa"/>
            <w:tcBorders/>
            <w:shd w:fill="FFFFFF" w:val="clear"/>
            <w:vAlign w:val="center"/>
          </w:tcPr>
          <w:p>
            <w:pPr>
              <w:pStyle w:val="TableContents"/>
              <w:bidi w:val="0"/>
              <w:spacing w:before="0" w:after="283"/>
              <w:ind w:left="0" w:right="0" w:firstLine="600"/>
              <w:jc w:val="right"/>
              <w:rPr/>
            </w:pPr>
            <w:r>
              <w:rPr/>
              <w:t> </w:t>
            </w:r>
          </w:p>
        </w:tc>
      </w:tr>
      <w:tr>
        <w:trPr/>
        <w:tc>
          <w:tcPr>
            <w:tcW w:w="669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011" w:type="dxa"/>
            <w:tcBorders/>
            <w:shd w:fill="CFF0FC" w:val="clear"/>
            <w:vAlign w:val="center"/>
          </w:tcPr>
          <w:p>
            <w:pPr>
              <w:pStyle w:val="TableContents"/>
              <w:bidi w:val="0"/>
              <w:spacing w:before="0" w:after="283"/>
              <w:ind w:left="0" w:right="0" w:firstLine="600"/>
              <w:jc w:val="left"/>
              <w:rPr/>
            </w:pPr>
            <w:r>
              <w:rPr/>
              <w:t> </w:t>
            </w:r>
          </w:p>
        </w:tc>
      </w:tr>
      <w:tr>
        <w:trPr/>
        <w:tc>
          <w:tcPr>
            <w:tcW w:w="669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(7,710</w:t>
            </w:r>
          </w:p>
        </w:tc>
        <w:tc>
          <w:tcPr>
            <w:tcW w:w="1011"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Accrued external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011" w:type="dxa"/>
            <w:tcBorders/>
            <w:shd w:fill="CFF0FC" w:val="clear"/>
            <w:vAlign w:val="center"/>
          </w:tcPr>
          <w:p>
            <w:pPr>
              <w:pStyle w:val="TableContents"/>
              <w:bidi w:val="0"/>
              <w:spacing w:before="0" w:after="283"/>
              <w:ind w:left="0" w:right="0" w:firstLine="600"/>
              <w:jc w:val="left"/>
              <w:rPr/>
            </w:pPr>
            <w:r>
              <w:rPr/>
              <w:t> </w:t>
            </w:r>
          </w:p>
        </w:tc>
      </w:tr>
      <w:tr>
        <w:trPr/>
        <w:tc>
          <w:tcPr>
            <w:tcW w:w="669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011"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FFFFFF"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(55,666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200"/>
              <w:jc w:val="right"/>
              <w:rPr/>
            </w:pPr>
            <w:r>
              <w:rPr/>
              <w:t> </w:t>
            </w:r>
          </w:p>
        </w:tc>
      </w:tr>
      <w:tr>
        <w:trPr/>
        <w:tc>
          <w:tcPr>
            <w:tcW w:w="66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0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011" w:type="dxa"/>
            <w:tcBorders/>
            <w:shd w:fill="CFF0FC" w:val="clear"/>
            <w:vAlign w:val="center"/>
          </w:tcPr>
          <w:p>
            <w:pPr>
              <w:pStyle w:val="TableContents"/>
              <w:bidi w:val="0"/>
              <w:spacing w:before="0" w:after="283"/>
              <w:ind w:left="0" w:right="0" w:firstLine="200"/>
              <w:jc w:val="left"/>
              <w:rPr/>
            </w:pPr>
            <w:r>
              <w:rPr/>
              <w:t> </w:t>
            </w:r>
          </w:p>
        </w:tc>
      </w:tr>
      <w:tr>
        <w:trPr/>
        <w:tc>
          <w:tcPr>
            <w:tcW w:w="66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9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011" w:type="dxa"/>
            <w:tcBorders/>
            <w:shd w:fill="FFFFFF" w:val="clear"/>
            <w:vAlign w:val="center"/>
          </w:tcPr>
          <w:p>
            <w:pPr>
              <w:pStyle w:val="TableContents"/>
              <w:bidi w:val="0"/>
              <w:spacing w:before="0" w:after="283"/>
              <w:ind w:left="0" w:right="0" w:firstLine="200"/>
              <w:jc w:val="right"/>
              <w:rPr/>
            </w:pPr>
            <w:r>
              <w:rPr/>
              <w:t> </w:t>
            </w:r>
          </w:p>
        </w:tc>
      </w:tr>
      <w:tr>
        <w:trPr/>
        <w:tc>
          <w:tcPr>
            <w:tcW w:w="66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sale of common stock in offerings, net of issuance costs paid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192,126</w:t>
            </w:r>
          </w:p>
        </w:tc>
        <w:tc>
          <w:tcPr>
            <w:tcW w:w="1011" w:type="dxa"/>
            <w:tcBorders/>
            <w:shd w:fill="CFF0FC" w:val="clear"/>
            <w:vAlign w:val="center"/>
          </w:tcPr>
          <w:p>
            <w:pPr>
              <w:pStyle w:val="TableContents"/>
              <w:bidi w:val="0"/>
              <w:spacing w:before="0" w:after="283"/>
              <w:ind w:left="0" w:right="0" w:firstLine="200"/>
              <w:jc w:val="left"/>
              <w:rPr/>
            </w:pPr>
            <w:r>
              <w:rPr/>
              <w:t> </w:t>
            </w:r>
          </w:p>
        </w:tc>
      </w:tr>
      <w:tr>
        <w:trPr/>
        <w:tc>
          <w:tcPr>
            <w:tcW w:w="66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sale of pre-funded warrants in offerings, net of issuance costs paid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37,579</w:t>
            </w:r>
          </w:p>
        </w:tc>
        <w:tc>
          <w:tcPr>
            <w:tcW w:w="1011" w:type="dxa"/>
            <w:tcBorders/>
            <w:shd w:fill="FFFFFF" w:val="clear"/>
            <w:vAlign w:val="center"/>
          </w:tcPr>
          <w:p>
            <w:pPr>
              <w:pStyle w:val="TableContents"/>
              <w:bidi w:val="0"/>
              <w:spacing w:before="0" w:after="283"/>
              <w:ind w:left="0" w:right="0" w:firstLine="200"/>
              <w:jc w:val="left"/>
              <w:rPr/>
            </w:pPr>
            <w:r>
              <w:rPr/>
              <w:t> </w:t>
            </w:r>
          </w:p>
        </w:tc>
      </w:tr>
      <w:tr>
        <w:trPr/>
        <w:tc>
          <w:tcPr>
            <w:tcW w:w="66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sale of common stock in at-the-market offerings, net of issuance costs paid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011" w:type="dxa"/>
            <w:tcBorders/>
            <w:shd w:fill="CFF0FC" w:val="clear"/>
            <w:vAlign w:val="center"/>
          </w:tcPr>
          <w:p>
            <w:pPr>
              <w:pStyle w:val="TableContents"/>
              <w:bidi w:val="0"/>
              <w:spacing w:before="0" w:after="283"/>
              <w:ind w:left="0" w:right="0" w:firstLine="200"/>
              <w:jc w:val="left"/>
              <w:rPr/>
            </w:pPr>
            <w:r>
              <w:rPr/>
              <w:t> </w:t>
            </w:r>
          </w:p>
        </w:tc>
      </w:tr>
      <w:tr>
        <w:trPr/>
        <w:tc>
          <w:tcPr>
            <w:tcW w:w="66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stock option exercises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1011" w:type="dxa"/>
            <w:tcBorders/>
            <w:shd w:fill="FFFFFF" w:val="clear"/>
            <w:vAlign w:val="center"/>
          </w:tcPr>
          <w:p>
            <w:pPr>
              <w:pStyle w:val="TableContents"/>
              <w:bidi w:val="0"/>
              <w:spacing w:before="0" w:after="283"/>
              <w:ind w:left="0" w:right="0" w:firstLine="200"/>
              <w:jc w:val="left"/>
              <w:rPr/>
            </w:pPr>
            <w:r>
              <w:rPr/>
              <w:t> </w:t>
            </w:r>
          </w:p>
        </w:tc>
      </w:tr>
      <w:tr>
        <w:trPr/>
        <w:tc>
          <w:tcPr>
            <w:tcW w:w="66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Contributions from employee stock purchase plan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231,621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(167,742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175,869</w:t>
            </w:r>
          </w:p>
        </w:tc>
        <w:tc>
          <w:tcPr>
            <w:tcW w:w="1011" w:type="dxa"/>
            <w:tcBorders/>
            <w:shd w:fill="CFF0FC" w:val="clear"/>
            <w:vAlign w:val="center"/>
          </w:tcPr>
          <w:p>
            <w:pPr>
              <w:pStyle w:val="TableContents"/>
              <w:bidi w:val="0"/>
              <w:spacing w:before="0" w:after="283"/>
              <w:ind w:left="0" w:right="0" w:firstLine="200"/>
              <w:jc w:val="left"/>
              <w:rPr/>
            </w:pPr>
            <w:r>
              <w:rPr/>
              <w:t> </w:t>
            </w:r>
          </w:p>
        </w:tc>
      </w:tr>
      <w:tr>
        <w:trPr/>
        <w:tc>
          <w:tcPr>
            <w:tcW w:w="66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194,788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370,657</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011" w:type="dxa"/>
            <w:tcBorders/>
            <w:shd w:fill="FFFFFF" w:val="clear"/>
            <w:vAlign w:val="center"/>
          </w:tcPr>
          <w:p>
            <w:pPr>
              <w:pStyle w:val="TableContents"/>
              <w:bidi w:val="0"/>
              <w:spacing w:before="0" w:after="283"/>
              <w:ind w:left="0" w:right="0" w:firstLine="200"/>
              <w:jc w:val="right"/>
              <w:rPr/>
            </w:pPr>
            <w:r>
              <w:rPr/>
              <w:t> </w:t>
            </w:r>
          </w:p>
        </w:tc>
      </w:tr>
      <w:tr>
        <w:trPr/>
        <w:tc>
          <w:tcPr>
            <w:tcW w:w="66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011" w:type="dxa"/>
            <w:tcBorders/>
            <w:shd w:fill="CFF0FC" w:val="clear"/>
            <w:vAlign w:val="center"/>
          </w:tcPr>
          <w:p>
            <w:pPr>
              <w:pStyle w:val="TableContents"/>
              <w:bidi w:val="0"/>
              <w:spacing w:before="0" w:after="283"/>
              <w:jc w:val="left"/>
              <w:rPr/>
            </w:pPr>
            <w:r>
              <w:rPr/>
              <w:t> </w:t>
            </w:r>
          </w:p>
        </w:tc>
      </w:tr>
      <w:tr>
        <w:trPr/>
        <w:tc>
          <w:tcPr>
            <w:tcW w:w="669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activities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011" w:type="dxa"/>
            <w:tcBorders/>
            <w:shd w:fill="FFFFFF" w:val="clear"/>
            <w:vAlign w:val="center"/>
          </w:tcPr>
          <w:p>
            <w:pPr>
              <w:pStyle w:val="TableContents"/>
              <w:bidi w:val="0"/>
              <w:spacing w:before="0" w:after="283"/>
              <w:ind w:left="0" w:right="0" w:firstLine="200"/>
              <w:jc w:val="right"/>
              <w:rPr/>
            </w:pPr>
            <w:r>
              <w:rPr/>
              <w:t> </w:t>
            </w:r>
          </w:p>
        </w:tc>
      </w:tr>
      <w:tr>
        <w:trPr/>
        <w:tc>
          <w:tcPr>
            <w:tcW w:w="66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011" w:type="dxa"/>
            <w:tcBorders/>
            <w:shd w:fill="CFF0FC" w:val="clear"/>
            <w:vAlign w:val="center"/>
          </w:tcPr>
          <w:p>
            <w:pPr>
              <w:pStyle w:val="TableContents"/>
              <w:bidi w:val="0"/>
              <w:spacing w:before="0" w:after="283"/>
              <w:ind w:left="0" w:right="0" w:firstLine="200"/>
              <w:jc w:val="left"/>
              <w:rPr/>
            </w:pPr>
            <w:r>
              <w:rPr/>
              <w:t> </w:t>
            </w:r>
          </w:p>
        </w:tc>
      </w:tr>
      <w:tr>
        <w:trPr/>
        <w:tc>
          <w:tcPr>
            <w:tcW w:w="66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increase (decrease) in right-of-use assets related to lease modifications and reassessment events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0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increase (decrease) in operating lease liabilities related to lease modifications and reassessment events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0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issuance costs on sale of common stock and pre-funded warrants in offerings included in 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01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DISC MEDICINE, INC.</w:t>
      </w:r>
    </w:p>
    <w:p>
      <w:pPr>
        <w:pStyle w:val="TextBody"/>
        <w:bidi w:val="0"/>
        <w:jc w:val="center"/>
        <w:rPr>
          <w:rFonts w:ascii="Times New Roman" w:hAnsi="Times New Roman"/>
          <w:sz w:val="20"/>
        </w:rPr>
      </w:pPr>
      <w:bookmarkStart w:id="10" w:name="notes_to_consolidated_financial"/>
      <w:bookmarkEnd w:id="10"/>
      <w:r>
        <w:rPr>
          <w:rFonts w:ascii="Times New Roman" w:hAnsi="Times New Roman"/>
          <w:b/>
          <w:color w:val="000000"/>
          <w:sz w:val="20"/>
        </w:rPr>
        <w:t>NOTES TO CONDENSED CONSOLIDATED FINANCIAL</w:t>
      </w:r>
      <w:r>
        <w:rPr>
          <w:rFonts w:ascii="Times New Roman" w:hAnsi="Times New Roman"/>
          <w:color w:val="000000"/>
          <w:sz w:val="20"/>
        </w:rPr>
        <w:t xml:space="preserve"> </w:t>
      </w:r>
      <w:r>
        <w:rPr>
          <w:rFonts w:ascii="Times New Roman" w:hAnsi="Times New Roman"/>
          <w:b/>
          <w:color w:val="000000"/>
          <w:sz w:val="20"/>
        </w:rPr>
        <w:t>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sz w:val="20"/>
        </w:rPr>
      </w:pPr>
      <w:r>
        <w:rPr>
          <w:rFonts w:ascii="Times New Roman" w:hAnsi="Times New Roman"/>
          <w:b/>
          <w:color w:val="000000"/>
          <w:sz w:val="20"/>
        </w:rPr>
        <w:t>1. Organization and Nature of the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 Medicine, Inc. (together with its subsidiaries, the “Company”) is a clinical-stage biopharmaceutical company focused on the discovery, development, and commercialization of novel treatments for patients suffering from serious hematologic diseases. The Company has assembled a portfolio of clinical and preclinical product candidates that aim to modify fundamental biological pathways associated with the formation and function of red blood cells, specifically heme biosynthesis and iron homeostasis. The Company’s current pipeline includes bitopertin for the treatment of erythropoietic porphyrias (“EPs”) including erythropoietic protoporphyria (“EPP”), X-linked protoporphyria (“XLP”), and Diamond-Blackfan Anemia (“DBA”); DISC-0974 for the treatment of anemia of myelofibrosis (“MF”) and anemia of chronic kidney disease (“CKD”); and DISC-3405 for the treatment of polycythemia vera (“PV”) and other hematologic disorders. In addition, the Company’s preclinical programs include DISC-0998 for the treatment of anemia associated with inflammatory diseases. The Company’s approach to product candidate development leverages well-understood molecular mechanisms that have been validated in humans. The Company believes that each of its product candidates, if approved, has the potential to improve the lives of patients suffering from hematologic diseases. The Company was founded in October 2017. The Company’s principal offices are in Watertown, Massachusetts.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subject to a number of risks and uncertainties common to development 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reliance on third-party organizations, protection of proprietary technology, compliance with government regulations, the impact of public health crises such as pandemics and the ability to secure additional capital to fund operations. The Company’s research and development programs will require significant additional research and development efforts, including preclinical and clinical testing and regulatory approval, prior to commercialization. Even if the Company’s product development efforts are successful, it is uncertain when, if ever, the Company will realize revenue from product sales.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condensed consolidated financial statements have been prepared on the basis of the Company continuing as a going concern. The Company expects that its existing cash, cash equivalents, and marketable securities as of September 30, 2024 of $487.4 million will enable the Company to fund its planned operating expense and capital expenditure requirements for at least twelve months from the date of issuance of these condensed consolidated financial statements. The Company has incurred recurring losses and negative cash flows from operations since inception. As of September 30, 2024, the Company had an accumulated deficit of $268.5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product candidates, if approved, will require significant additional financing.</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Summary of 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significant accounting policies used in preparation of the condensed consolidated financial statements are described in the Company’s audited consolidated financial statements as of and for the year ended December 31, 2023 and the notes thereto, which are included in the Company’s Annual Report on Form 10-K.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condensed consolidated financial statements include the accounts of the Company and its wholly-owned subsidiaries. All intercompany transactions and balances have been eliminated in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condensed consolidated financial statements are prepared in accordance with U.S. generally accepted accounting principles (“GAAP”).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Unaudited Interim Condensed Consolidated Financial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condensed consolidated financial statements as of September 30, 2024 and for the three and nine months ended September 30, 2024 and 2023 are unaudited. The financial data and other information contained in the notes hereto as of September 30, 2024 and for the three and nine months ended September 30, 2024 and 2023 are also unaudited. The condensed consolidated balance sheet data as of December 31, 2023 was derived from the Company’s audited consolidated financial statements included in the Company’s Annual Report on Form 10-K.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presentation of the Company’s financial position as of September 30, 2024 and the results of its operations and cash flows for the three and nine months ended September 30, 2024 and 2023. These unaudited condensed consolidated financial statements should be read in conjunction with the audited consolidated financial statements as of and for the year ended December 31, 2023, and the notes thereto, included in the Company’s Annual Report on Form 10-K.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for the three and nine months ended September 30, 2024 and 2023 are not necessarily indicative of results to be expected for the full years, or any other interim periods, or any future year or period.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the Company’s condensed consolidated financial statements requires management to make estimates and assumptions that affect the reported amounts of assets and liabilities and disclosure of contingent assets and liabilities at the date of the condensed consolidated financial statements and the reported amounts of expenses during the reporting period. Significant estimates and assumptions reflected in these condensed consolidated financial statements include, but are not limited to accrued research and development expenses; stock-based compensation expense; the fair value determinations for instruments accounted for at fair value; the fair value of the contingent value right (“CVR”) (see Note 3); the incremental borrowing rate for determining lease liabilities and right-of-use assets; and income taxes.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 </w:t>
      </w:r>
    </w:p>
    <w:p>
      <w:pPr>
        <w:pStyle w:val="TextBody"/>
        <w:bidi w:val="0"/>
        <w:spacing w:before="240" w:after="283"/>
        <w:jc w:val="both"/>
        <w:rPr>
          <w:rFonts w:ascii="Times New Roman" w:hAnsi="Times New Roman"/>
          <w:sz w:val="20"/>
        </w:rPr>
      </w:pPr>
      <w:r>
        <w:rPr>
          <w:rFonts w:ascii="Times New Roman" w:hAnsi="Times New Roman"/>
          <w:b/>
          <w:i/>
          <w:color w:val="000000"/>
          <w:sz w:val="20"/>
        </w:rPr>
        <w:t>Concentration of Credit Risk and of Significant Suppliers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instruments that potentially subject the Company to significant concentrations of credit risk consist primarily of cash, cash equivalents, and marketable securities. The Company maintains deposits in federally insured financial institutions in excess of federally insured limits and limits its exposure to cash risk by placing its cash with high credit quality accredited financial institutions. The Company has concluded that it is not subject to unusual credit risk beyond the normal credit risk associated with commercial banking relationships.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relies, and expects to continue to rely, on a small number of vendors to manufacture supplies and to process its product candidates for its development programs. These programs could be adversely affected by a significant interruption in the manufacturing process or supply chain.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Comprehensive Income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Comprehensive income (loss) is the change in equity of a business enterprise during a period from transactions and other events and circumstances from non-owner sources. Comprehensive income (loss) includes net income (loss) and the change in accumulated other comprehensive income (loss) for the period. Accumulated other comprehensive income (loss) consisted of foreign currency translation adjustments and unrealized gains (losses) on available-for-sale marketable securities during the three and nine months ended September 30, 2024 and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classifies its marketable securities as available-for-sale. All of the Company’s marketable securities are available to the Company for use in current operations. As a result, the Company classified all of these securities as current assets even though the stated maturity of some individual securities may be one year or more beyond the balance sheet date. Marketable securities are maintained by an investment manager and consist of U.S. government securities. Marketable securities are carried at fair value with the unrealized gains and losses included in accumulated other comprehensive income (loss) as a component of stockholders’ equity until realized. Any premium or discount arising at purchase is amortized and/or accreted to interest income and/or expense over the life of the underlying marketable security.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available to be sold to meet operating needs or otherwise, securities are generally held through maturity. The cost of securities sold is determined on a specific identification basis, and realized gains and losses are included in other income (expense), net within the condensed consolidated statements of operations and comprehensive loss.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reviews its portfolio of available-for-sale securities, using both quantitative and qualitative factors, to determine if declines in fair value below cost have resulted from a credit loss or other factors. If the decline in fair value is due to credit loss factors, a loss is recognized. To date, the Company has not experienced any credit losses and does not expect it is exposed to any significant credit risk on these investments.</w:t>
      </w:r>
    </w:p>
    <w:p>
      <w:pPr>
        <w:pStyle w:val="TextBody"/>
        <w:bidi w:val="0"/>
        <w:spacing w:before="240" w:after="283"/>
        <w:jc w:val="both"/>
        <w:rPr>
          <w:rFonts w:ascii="Times New Roman" w:hAnsi="Times New Roman"/>
          <w:sz w:val="20"/>
        </w:rPr>
      </w:pPr>
      <w:r>
        <w:rPr>
          <w:rFonts w:ascii="Times New Roman" w:hAnsi="Times New Roman"/>
          <w:b/>
          <w:i/>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accounting standards that have been issued or proposed by the FASB or other standards-setting bodies that do not require adoption until a future date are not expected to have a material impact on the Company’s condensed consolidated financial statements upon adoption.</w:t>
      </w:r>
    </w:p>
    <w:p>
      <w:pPr>
        <w:pStyle w:val="TextBody"/>
        <w:bidi w:val="0"/>
        <w:spacing w:before="240" w:after="283"/>
        <w:jc w:val="both"/>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present information about the Company’s assets and liabilities that are regularly measured and carried at fair value on a recurring basis and indicate the level within the fair value hierarchy of the valuation techniques the Company utilized to determine such fair value, which is described further within Note 2 to the consolidated financial statements in the Company’s Annual Report on Form 10-K for the year ended December 31,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assets and liabilities measured at fair value on a recurring basis are summarized as follows (in thousands):</w:t>
      </w:r>
    </w:p>
    <w:p>
      <w:pPr>
        <w:pStyle w:val="TextBody"/>
        <w:bidi w:val="0"/>
        <w:jc w:val="both"/>
        <w:rPr/>
      </w:pPr>
      <w:r>
        <w:rPr/>
        <w:t> </w:t>
      </w:r>
    </w:p>
    <w:tbl>
      <w:tblPr>
        <w:tblW w:w="6661" w:type="dxa"/>
        <w:jc w:val="left"/>
        <w:tblInd w:w="0" w:type="dxa"/>
        <w:tblLayout w:type="fixed"/>
        <w:tblCellMar>
          <w:top w:w="28" w:type="dxa"/>
          <w:left w:w="28" w:type="dxa"/>
          <w:bottom w:w="28" w:type="dxa"/>
          <w:right w:w="28" w:type="dxa"/>
        </w:tblCellMar>
      </w:tblPr>
      <w:tblGrid>
        <w:gridCol w:w="3011"/>
        <w:gridCol w:w="146"/>
        <w:gridCol w:w="211"/>
        <w:gridCol w:w="676"/>
        <w:gridCol w:w="146"/>
        <w:gridCol w:w="166"/>
        <w:gridCol w:w="211"/>
        <w:gridCol w:w="781"/>
        <w:gridCol w:w="146"/>
        <w:gridCol w:w="146"/>
        <w:gridCol w:w="239"/>
        <w:gridCol w:w="391"/>
        <w:gridCol w:w="3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color w:val="000000"/>
              </w:rPr>
            </w:pPr>
            <w:r>
              <w:rPr>
                <w:color w:val="000000"/>
              </w:rPr>
              <w:t>​</w:t>
            </w:r>
          </w:p>
        </w:tc>
        <w:tc>
          <w:tcPr>
            <w:tcW w:w="31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color w:val="000000"/>
              </w:rPr>
            </w:pPr>
            <w:r>
              <w:rPr>
                <w:color w:val="000000"/>
              </w:rPr>
              <w:t>​</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color w:val="000000"/>
              </w:rPr>
            </w:pPr>
            <w:r>
              <w:rPr>
                <w:color w:val="000000"/>
              </w:rPr>
              <w:t>​</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63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color w:val="000000"/>
              </w:rPr>
            </w:pPr>
            <w:r>
              <w:rPr>
                <w:color w:val="000000"/>
              </w:rPr>
              <w:t>​</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63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30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65,006</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color w:val="000000"/>
              </w:rPr>
            </w:pPr>
            <w:r>
              <w:rPr>
                <w:color w:val="000000"/>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0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65,006</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116,104</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3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30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0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5781" w:type="dxa"/>
        <w:jc w:val="left"/>
        <w:tblInd w:w="0" w:type="dxa"/>
        <w:tblLayout w:type="fixed"/>
        <w:tblCellMar>
          <w:top w:w="28" w:type="dxa"/>
          <w:left w:w="28" w:type="dxa"/>
          <w:bottom w:w="28" w:type="dxa"/>
          <w:right w:w="28" w:type="dxa"/>
        </w:tblCellMar>
      </w:tblPr>
      <w:tblGrid>
        <w:gridCol w:w="2151"/>
        <w:gridCol w:w="146"/>
        <w:gridCol w:w="211"/>
        <w:gridCol w:w="676"/>
        <w:gridCol w:w="146"/>
        <w:gridCol w:w="146"/>
        <w:gridCol w:w="211"/>
        <w:gridCol w:w="781"/>
        <w:gridCol w:w="146"/>
        <w:gridCol w:w="146"/>
        <w:gridCol w:w="239"/>
        <w:gridCol w:w="391"/>
        <w:gridCol w:w="391"/>
      </w:tblGrid>
      <w:tr>
        <w:trPr/>
        <w:tc>
          <w:tcPr>
            <w:tcW w:w="2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color w:val="000000"/>
              </w:rPr>
            </w:pPr>
            <w:r>
              <w:rPr>
                <w:color w:val="000000"/>
              </w:rPr>
              <w:t>​</w:t>
            </w:r>
          </w:p>
        </w:tc>
        <w:tc>
          <w:tcPr>
            <w:tcW w:w="30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color w:val="000000"/>
              </w:rPr>
            </w:pPr>
            <w:r>
              <w:rPr>
                <w:color w:val="000000"/>
              </w:rPr>
              <w:t>​</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63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color w:val="000000"/>
              </w:rPr>
            </w:pPr>
            <w:r>
              <w:rPr>
                <w:color w:val="000000"/>
              </w:rPr>
              <w:t>​</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63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21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color w:val="000000"/>
              </w:rPr>
            </w:pPr>
            <w:r>
              <w:rPr>
                <w:color w:val="000000"/>
              </w:rPr>
              <w: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1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the Company’s Level 1 cash equivalents, consisting of money market funds, is based on quoted market prices in active markets with no valuation adjustment. The fair value of the Company’s Level 2 cash equivalents and marketable securities, consisting of U.S. treasury and U.S. government agency securities, with original maturities of three months or less and twelve months or less, respectively, are determined through third-party pricing services. The amortized cost of the cash equivalents approximates the fair value. There have been no impairments of the Company’s assets measured and carried at fair value nor changes in valuation techniques during the three and nine months ended September 30, 2024 and 2023. The Company did not have any non-recurring fair value measurements on any assets or liabilities during the three and nine months ended September 30, 2024 and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As described in Note 1 to the consolidated financial statements in the Company’s Annual Report on Form 10-K for the year ended December 31, 2023, in connection with the merger, the stockholders of Gemini at the effective time of the merger received a CVR to receive consideration from the Company upon its receipt of certain proceeds, resulting from a disposition of Gemini’s pre-merger assets within one year after the closing of the merger, calculated in accordance with the Contingent Value Rights Agreement (the "CVR Agreement"). The disposition period ended December 29, 2023 and no dispositions of Gemini's pre-merger assets were made during the disposition period. Therefore, the CVR obligation no longer existed as of September 30, 2024 and December 31, 2023, respectively.</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provides a summary of changes in fair value of the CVR liability for the nine months ended September 30, 2023 (in thousands):</w:t>
      </w:r>
    </w:p>
    <w:p>
      <w:pPr>
        <w:pStyle w:val="TextBody"/>
        <w:bidi w:val="0"/>
        <w:jc w:val="left"/>
        <w:rPr/>
      </w:pPr>
      <w:r>
        <w:rPr/>
        <w:t> </w:t>
      </w:r>
    </w:p>
    <w:tbl>
      <w:tblPr>
        <w:tblW w:w="6658" w:type="dxa"/>
        <w:jc w:val="left"/>
        <w:tblInd w:w="0" w:type="dxa"/>
        <w:tblLayout w:type="fixed"/>
        <w:tblCellMar>
          <w:top w:w="28" w:type="dxa"/>
          <w:left w:w="28" w:type="dxa"/>
          <w:bottom w:w="28" w:type="dxa"/>
          <w:right w:w="28" w:type="dxa"/>
        </w:tblCellMar>
      </w:tblPr>
      <w:tblGrid>
        <w:gridCol w:w="4646"/>
        <w:gridCol w:w="146"/>
        <w:gridCol w:w="424"/>
        <w:gridCol w:w="1151"/>
        <w:gridCol w:w="291"/>
      </w:tblGrid>
      <w:tr>
        <w:trPr/>
        <w:tc>
          <w:tcPr>
            <w:tcW w:w="4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 Rollforward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4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6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 in fair value of contingent value right liability</w:t>
            </w:r>
          </w:p>
        </w:tc>
        <w:tc>
          <w:tcPr>
            <w:tcW w:w="146" w:type="dxa"/>
            <w:tcBorders/>
            <w:shd w:fill="FFFFFF" w:val="cle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2023</w:t>
            </w:r>
          </w:p>
        </w:tc>
        <w:tc>
          <w:tcPr>
            <w:tcW w:w="146" w:type="dxa"/>
            <w:tcBorders/>
            <w:shd w:fill="CFF0FC" w:val="clear"/>
            <w:vAlign w:val="center"/>
          </w:tcPr>
          <w:p>
            <w:pPr>
              <w:pStyle w:val="TableContents"/>
              <w:bidi w:val="0"/>
              <w:spacing w:before="0" w:after="283"/>
              <w:jc w:val="left"/>
              <w:rPr/>
            </w:pPr>
            <w:r>
              <w:rPr/>
              <w:t> </w:t>
            </w:r>
          </w:p>
        </w:tc>
        <w:tc>
          <w:tcPr>
            <w:tcW w:w="424"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6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 in fair value of contingent value right liability</w:t>
            </w:r>
          </w:p>
        </w:tc>
        <w:tc>
          <w:tcPr>
            <w:tcW w:w="146" w:type="dxa"/>
            <w:tcBorders/>
            <w:shd w:fill="FFFFFF" w:val="cle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2023</w:t>
            </w:r>
          </w:p>
        </w:tc>
        <w:tc>
          <w:tcPr>
            <w:tcW w:w="146" w:type="dxa"/>
            <w:tcBorders/>
            <w:shd w:fill="CFF0FC" w:val="clear"/>
            <w:vAlign w:val="center"/>
          </w:tcPr>
          <w:p>
            <w:pPr>
              <w:pStyle w:val="TableContents"/>
              <w:bidi w:val="0"/>
              <w:spacing w:before="0" w:after="283"/>
              <w:jc w:val="left"/>
              <w:rPr/>
            </w:pPr>
            <w:r>
              <w:rPr/>
              <w:t> </w:t>
            </w:r>
          </w:p>
        </w:tc>
        <w:tc>
          <w:tcPr>
            <w:tcW w:w="424"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6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 in fair value of contingent value right liability</w:t>
            </w:r>
          </w:p>
        </w:tc>
        <w:tc>
          <w:tcPr>
            <w:tcW w:w="146" w:type="dxa"/>
            <w:tcBorders/>
            <w:shd w:fill="FFFFFF" w:val="cle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2023</w:t>
            </w:r>
          </w:p>
        </w:tc>
        <w:tc>
          <w:tcPr>
            <w:tcW w:w="146" w:type="dxa"/>
            <w:tcBorders/>
            <w:shd w:fill="CFF0FC" w:val="clear"/>
            <w:vAlign w:val="center"/>
          </w:tcPr>
          <w:p>
            <w:pPr>
              <w:pStyle w:val="TableContents"/>
              <w:bidi w:val="0"/>
              <w:spacing w:before="0" w:after="283"/>
              <w:jc w:val="left"/>
              <w:rPr/>
            </w:pPr>
            <w:r>
              <w:rPr/>
              <w:t> </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4. 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Marketable securities as of September 30, 2024 consisted of the following (in thousands):</w:t>
      </w:r>
    </w:p>
    <w:p>
      <w:pPr>
        <w:pStyle w:val="TextBody"/>
        <w:bidi w:val="0"/>
        <w:jc w:val="both"/>
        <w:rPr/>
      </w:pPr>
      <w:r>
        <w:rPr/>
        <w:t> </w:t>
      </w:r>
    </w:p>
    <w:tbl>
      <w:tblPr>
        <w:tblW w:w="8973" w:type="dxa"/>
        <w:jc w:val="left"/>
        <w:tblInd w:w="0" w:type="dxa"/>
        <w:tblLayout w:type="fixed"/>
        <w:tblCellMar>
          <w:top w:w="28" w:type="dxa"/>
          <w:left w:w="28" w:type="dxa"/>
          <w:bottom w:w="28" w:type="dxa"/>
          <w:right w:w="28" w:type="dxa"/>
        </w:tblCellMar>
      </w:tblPr>
      <w:tblGrid>
        <w:gridCol w:w="3556"/>
        <w:gridCol w:w="146"/>
        <w:gridCol w:w="265"/>
        <w:gridCol w:w="980"/>
        <w:gridCol w:w="146"/>
        <w:gridCol w:w="146"/>
        <w:gridCol w:w="211"/>
        <w:gridCol w:w="421"/>
        <w:gridCol w:w="146"/>
        <w:gridCol w:w="146"/>
        <w:gridCol w:w="211"/>
        <w:gridCol w:w="346"/>
        <w:gridCol w:w="166"/>
        <w:gridCol w:w="146"/>
        <w:gridCol w:w="351"/>
        <w:gridCol w:w="1299"/>
        <w:gridCol w:w="2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color w:val="000000"/>
              </w:rPr>
            </w:pPr>
            <w:r>
              <w:rPr>
                <w:color w:val="000000"/>
              </w:rPr>
              <w:t>​</w:t>
            </w:r>
          </w:p>
        </w:tc>
        <w:tc>
          <w:tcPr>
            <w:tcW w:w="124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color w:val="000000"/>
              </w:rPr>
            </w:pPr>
            <w:r>
              <w:rPr>
                <w:color w:val="000000"/>
              </w:rPr>
              <w:t>​</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 available-for-sale:</w:t>
            </w:r>
          </w:p>
        </w:tc>
        <w:tc>
          <w:tcPr>
            <w:tcW w:w="146" w:type="dxa"/>
            <w:tcBorders/>
            <w:shd w:fill="CFF0FC" w:val="clear"/>
            <w:vAlign w:val="center"/>
          </w:tcPr>
          <w:p>
            <w:pPr>
              <w:pStyle w:val="TableContents"/>
              <w:bidi w:val="0"/>
              <w:spacing w:before="0" w:after="283"/>
              <w:jc w:val="righ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65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35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188,007</w:t>
            </w:r>
          </w:p>
        </w:tc>
        <w:tc>
          <w:tcPr>
            <w:tcW w:w="29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CFF0FC" w:val="cle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106,718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FFFFFF" w:val="clear"/>
            <w:vAlign w:val="center"/>
          </w:tcPr>
          <w:p>
            <w:pPr>
              <w:pStyle w:val="TableContents"/>
              <w:bidi w:val="0"/>
              <w:spacing w:before="0" w:after="283"/>
              <w:jc w:val="righ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294,725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Marketable securities as of December 31, 2023 were zero. As of September 30, 2024, all marketable securities had an original maturity date of twelve months or less. The aggregate fair value of marketable securities with unrealized losses was $7.0 million as of September 30, 2024 and zero as of December 31, 2023. As of September 30, 2024 and December 31, 2023, one investment and no investments, respectively, were in an unrealized loss position. All such investments have been in an unrealized loss position for less than a year and these losses are considered temporary. The Company has the ability and intent to hold these investments until a recovery of their amortized cost, which may not occur until maturity. The Company expects that U.S. treasury and U.S. government agency securities are subject to minimal credit risk. As a result, the Company did not record any charges for credit-related impairments for its available-for-sale securities for the three and nine months ended September 30, 2024 and 2023.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5. Cash, Cash Equivalents and Restricted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cash equivalents and restricted cash consisted of the following (in thousands):</w:t>
      </w:r>
    </w:p>
    <w:p>
      <w:pPr>
        <w:pStyle w:val="TextBody"/>
        <w:bidi w:val="0"/>
        <w:jc w:val="both"/>
        <w:rPr/>
      </w:pPr>
      <w:r>
        <w:rPr/>
        <w:t> </w:t>
      </w:r>
    </w:p>
    <w:tbl>
      <w:tblPr>
        <w:tblW w:w="9060" w:type="dxa"/>
        <w:jc w:val="left"/>
        <w:tblInd w:w="0" w:type="dxa"/>
        <w:tblLayout w:type="fixed"/>
        <w:tblCellMar>
          <w:top w:w="28" w:type="dxa"/>
          <w:left w:w="28" w:type="dxa"/>
          <w:bottom w:w="28" w:type="dxa"/>
          <w:right w:w="28" w:type="dxa"/>
        </w:tblCellMar>
      </w:tblPr>
      <w:tblGrid>
        <w:gridCol w:w="6196"/>
        <w:gridCol w:w="146"/>
        <w:gridCol w:w="242"/>
        <w:gridCol w:w="898"/>
        <w:gridCol w:w="146"/>
        <w:gridCol w:w="146"/>
        <w:gridCol w:w="233"/>
        <w:gridCol w:w="862"/>
        <w:gridCol w:w="1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color w:val="000000"/>
              </w:rPr>
            </w:pPr>
            <w:r>
              <w:rPr>
                <w:color w:val="000000"/>
              </w:rPr>
              <w:t>​</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61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color w:val="000000"/>
              </w:rPr>
            </w:pPr>
            <w:r>
              <w:rPr>
                <w:color w:val="000000"/>
              </w:rPr>
              <w:t>​</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360,382</w:t>
            </w:r>
          </w:p>
        </w:tc>
        <w:tc>
          <w:tcPr>
            <w:tcW w:w="191" w:type="dxa"/>
            <w:tcBorders/>
            <w:shd w:fill="CFF0FC"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as shown on the condensed</w:t>
              <w:br/>
              <w:t>   consolidated statements of cash flows</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360,616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restricted cash balance, which is classified within other assets on the condensed consolidated balance sheets, consists of letters of credit related to leased and subleased office space in Watertown, Massachusetts. The Company is required to maintain a separate cash balance to secure its letters of credit.</w:t>
      </w:r>
    </w:p>
    <w:p>
      <w:pPr>
        <w:pStyle w:val="TextBody"/>
        <w:bidi w:val="0"/>
        <w:spacing w:before="240" w:after="283"/>
        <w:jc w:val="both"/>
        <w:rPr>
          <w:rFonts w:ascii="Times New Roman" w:hAnsi="Times New Roman"/>
          <w:sz w:val="20"/>
        </w:rPr>
      </w:pPr>
      <w:r>
        <w:rPr>
          <w:rFonts w:ascii="Times New Roman" w:hAnsi="Times New Roman"/>
          <w:b/>
          <w:color w:val="000000"/>
          <w:sz w:val="20"/>
        </w:rPr>
        <w:t>6. Property and Equipment,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left"/>
        <w:rPr/>
      </w:pPr>
      <w:r>
        <w:rPr/>
        <w:t> </w:t>
      </w:r>
    </w:p>
    <w:tbl>
      <w:tblPr>
        <w:tblW w:w="5635" w:type="dxa"/>
        <w:jc w:val="left"/>
        <w:tblInd w:w="0" w:type="dxa"/>
        <w:tblLayout w:type="fixed"/>
        <w:tblCellMar>
          <w:top w:w="28" w:type="dxa"/>
          <w:left w:w="28" w:type="dxa"/>
          <w:bottom w:w="28" w:type="dxa"/>
          <w:right w:w="28" w:type="dxa"/>
        </w:tblCellMar>
      </w:tblPr>
      <w:tblGrid>
        <w:gridCol w:w="2731"/>
        <w:gridCol w:w="146"/>
        <w:gridCol w:w="347"/>
        <w:gridCol w:w="793"/>
        <w:gridCol w:w="166"/>
        <w:gridCol w:w="146"/>
        <w:gridCol w:w="333"/>
        <w:gridCol w:w="762"/>
        <w:gridCol w:w="2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vAlign w:val="center"/>
          </w:tcPr>
          <w:p>
            <w:pPr>
              <w:pStyle w:val="TableContents"/>
              <w:bidi w:val="0"/>
              <w:spacing w:before="0" w:after="283"/>
              <w:jc w:val="right"/>
              <w:rPr/>
            </w:pPr>
            <w:r>
              <w:rPr/>
              <w:t> </w:t>
            </w:r>
          </w:p>
        </w:tc>
        <w:tc>
          <w:tcPr>
            <w:tcW w:w="3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1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right"/>
              <w:rPr/>
            </w:pPr>
            <w:r>
              <w:rPr/>
              <w:t> </w:t>
            </w:r>
          </w:p>
        </w:tc>
        <w:tc>
          <w:tcPr>
            <w:tcW w:w="34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1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vAlign w:val="center"/>
          </w:tcPr>
          <w:p>
            <w:pPr>
              <w:pStyle w:val="TableContents"/>
              <w:bidi w:val="0"/>
              <w:spacing w:before="0" w:after="283"/>
              <w:jc w:val="righ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right"/>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7. Other Accrued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accrued expenses consisted of the following (in thousands):</w:t>
      </w:r>
    </w:p>
    <w:p>
      <w:pPr>
        <w:pStyle w:val="TextBody"/>
        <w:bidi w:val="0"/>
        <w:jc w:val="left"/>
        <w:rPr/>
      </w:pPr>
      <w:r>
        <w:rPr/>
        <w:t> </w:t>
      </w:r>
    </w:p>
    <w:tbl>
      <w:tblPr>
        <w:tblW w:w="5895" w:type="dxa"/>
        <w:jc w:val="left"/>
        <w:tblInd w:w="0" w:type="dxa"/>
        <w:tblLayout w:type="fixed"/>
        <w:tblCellMar>
          <w:top w:w="28" w:type="dxa"/>
          <w:left w:w="28" w:type="dxa"/>
          <w:bottom w:w="28" w:type="dxa"/>
          <w:right w:w="28" w:type="dxa"/>
        </w:tblCellMar>
      </w:tblPr>
      <w:tblGrid>
        <w:gridCol w:w="3031"/>
        <w:gridCol w:w="146"/>
        <w:gridCol w:w="307"/>
        <w:gridCol w:w="833"/>
        <w:gridCol w:w="146"/>
        <w:gridCol w:w="146"/>
        <w:gridCol w:w="294"/>
        <w:gridCol w:w="801"/>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0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employee-related expenses</w:t>
            </w:r>
          </w:p>
        </w:tc>
        <w:tc>
          <w:tcPr>
            <w:tcW w:w="146" w:type="dxa"/>
            <w:tcBorders/>
            <w:shd w:fill="CFF0FC" w:val="clear"/>
            <w:vAlign w:val="center"/>
          </w:tcPr>
          <w:p>
            <w:pPr>
              <w:pStyle w:val="TableContents"/>
              <w:bidi w:val="0"/>
              <w:spacing w:before="0" w:after="283"/>
              <w:jc w:val="righ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5,790</w:t>
            </w:r>
          </w:p>
        </w:tc>
        <w:tc>
          <w:tcPr>
            <w:tcW w:w="191" w:type="dxa"/>
            <w:tcBorders/>
            <w:shd w:fill="CFF0FC" w:val="clear"/>
            <w:vAlign w:val="center"/>
          </w:tcPr>
          <w:p>
            <w:pPr>
              <w:pStyle w:val="TableContents"/>
              <w:bidi w:val="0"/>
              <w:spacing w:before="0" w:after="283"/>
              <w:jc w:val="left"/>
              <w:rPr/>
            </w:pPr>
            <w:r>
              <w:rPr/>
              <w:t> </w:t>
            </w:r>
          </w:p>
        </w:tc>
      </w:tr>
      <w:tr>
        <w:trPr/>
        <w:tc>
          <w:tcPr>
            <w:tcW w:w="3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vAlign w:val="center"/>
          </w:tcPr>
          <w:p>
            <w:pPr>
              <w:pStyle w:val="TableContents"/>
              <w:bidi w:val="0"/>
              <w:spacing w:before="0" w:after="283"/>
              <w:jc w:val="righ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91" w:type="dxa"/>
            <w:tcBorders/>
            <w:shd w:fill="FFFFFF" w:val="clear"/>
            <w:vAlign w:val="center"/>
          </w:tcPr>
          <w:p>
            <w:pPr>
              <w:pStyle w:val="TableContents"/>
              <w:bidi w:val="0"/>
              <w:spacing w:before="0" w:after="283"/>
              <w:jc w:val="left"/>
              <w:rPr/>
            </w:pPr>
            <w:r>
              <w:rPr/>
              <w:t> </w:t>
            </w:r>
          </w:p>
        </w:tc>
      </w:tr>
      <w:tr>
        <w:trPr/>
        <w:tc>
          <w:tcPr>
            <w:tcW w:w="3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vAlign w:val="center"/>
          </w:tcPr>
          <w:p>
            <w:pPr>
              <w:pStyle w:val="TableContents"/>
              <w:bidi w:val="0"/>
              <w:spacing w:before="0" w:after="283"/>
              <w:jc w:val="righ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vAlign w:val="center"/>
          </w:tcPr>
          <w:p>
            <w:pPr>
              <w:pStyle w:val="TableContents"/>
              <w:bidi w:val="0"/>
              <w:spacing w:before="0" w:after="283"/>
              <w:jc w:val="righ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8. Development and License Agreements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License and Stock Purchase Agreement with AbbVie Deutschland GmbH &amp; Co. KG (“AbbVie”)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2019, the Company entered into an agreement with AbbVie, pursuant to which AbbVie granted the Company an exclusive license, with the right to grant sublicenses, to certain AbbVie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this agreement, the Company paid a non-refundable, non-creditable upfront fee of $0.6 million. The Company is also obligated to make future payments upon the achievement of certain development, commercialization and sales-based milestones up to $18.0 million, $45.0 million and $87.5 million, respectively on a licensed product-by-licensed product basis. In addition, the Company is also obligated to pay royalties based on net sales of the licensed products on a licensed product-by-licensed product and country-by-country basis. As of September 30, 2024, none of the milestones had been achieved.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royalty obligation expires on a licensed product-by-licensed product and country-by-country basis upon the expiration of the last-to-expire valid claim under the licensed intellectual property rights in such country. Unless terminated earlier, the agreement expires upon the expiration of the Company’s royalty obligation for all licensed products. AbbVie can terminate the agreement if the Company fails to make any payments within a specified period after receiving written notice of such failure, or in the event of a material breach by the Company and failure to cure such breach within a certain period of time.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License Agreement with F. Hoffmann-La Roche Ltd and Hoffmann-La Roche Inc. (collectively “Roche”)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a license agreement with Roche, (the "Roche Agreement"), the Company paid Roche an upfront, non-refundable exclusivity payment of $0.5 million in March 2021. Upon execution of the Roche Agreement in May 2021, the Company paid Roche an additional upfront, non-refundable payment of $4.0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obligated to make contingent payments to Roche up to an aggregate of $50.0 million in development and regulatory milestone payments for development and approval in a first indication and up to an aggregate of $35.0 million in development and regulatory milestone payments for development and approval in a second indication. The Company is also obligated to make contingent payments to Roche up to an aggregate of $120.0 million based on achievement of certain thresholds for annual net sales of licensed products. As of September 30, 2024, none of the milestones had been achieved. Roche is also eligible to receive tiered royalties on net sales of commercialized products, at rates ranging from high single-digits to high teens.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License Agreement with Mabwell Therapeutics, Inc. (“Mabwell”)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January 2023, the Company entered into an exclusive license agreement with Mabwell, pursuant to which Mabwell granted the Company an exclusive and sublicensable license to certain Mabwell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agreement, the Company paid Mabwell an upfront payment of $10.0 million in March 2023. In October 2023, the Company dosed the first patient in the Phase 1 clinical trial for DISC-3405, resulting in a milestone payment of $5.0 million due to Mabwell. In addition, the Company is obligated to pay certain development and regulatory milestone payments for the licensed products, for up to three indications, up to a maximum aggregate amount of $127.5 million, as well as certain commercial milestone payments for certain licensed product net sales achievements, up to a maximum aggregate amount of $275.0 million. The Company is further obligated to pay a tiered percentage of revenue that the Company receives from its sublicensees ranging from a low third decile percentage to a low first decile percentage. In addition, the Company is obligated to pay Mabwell a royalty on annual net sales of all licensed products at a tiered rate ranging from low single-digits to high single-digits.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nine months ended September 30, 2024, the Company recorded less than $0.1 million of research and development expense related to its arrangement with Mabwell. During the three and nine months ended September 30, 2023, the Company recorded research and development expense related to its arrangement with Mabwell of zero and $10.0 million, respectively.</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9. Convertible Preferred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September 30, 2024 and December 31, 2023, the Company was authorized to issue up to 10,000,000 shares of preferred stock at a par value of $0.0001, with no shares issued or outstanding.</w:t>
      </w:r>
    </w:p>
    <w:p>
      <w:pPr>
        <w:pStyle w:val="TextBody"/>
        <w:bidi w:val="0"/>
        <w:spacing w:before="240" w:after="283"/>
        <w:jc w:val="both"/>
        <w:rPr>
          <w:rFonts w:ascii="Times New Roman" w:hAnsi="Times New Roman"/>
          <w:sz w:val="20"/>
        </w:rPr>
      </w:pPr>
      <w:r>
        <w:rPr>
          <w:rFonts w:ascii="Times New Roman" w:hAnsi="Times New Roman"/>
          <w:b/>
          <w:color w:val="000000"/>
          <w:sz w:val="20"/>
        </w:rPr>
        <w:t>10.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September 30, 2024 and December 31, 2023, the authorized capital stock of the Company included 100,000,000 shares of common stock, $0.0001 par value per share. As of September 30, 2024, the Company has 2,972,432 shares of common stock reserved for the exercise of stock options and 204,081 shares of common stock reserved for the exercise of pre-funded warrants.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Underwritten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2024, the Company entered into an underwriting agreement with Leerink Partners related to an underwritten offering of 4,944,000 shares of common stock of the Company, par value $0.0001 per share, at a price to the public of $36.00 per share. The Company received net proceeds of $172.5 million, after deducting the underwriting discount and offering expenses of $5.5 million.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Follow-On Public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June 2023, the Company issued 3,015,919 shares of its common stock upon the completion of its public follow-on offering, which included the exercise in full by the underwriters of their option to purchase up to 420,000 additional shares of common stock, at a public offering price of $49.00 per share. The Company also sold, in lieu of shares of the Company’s common stock, pre-funded warrants to purchase an aggregate of 204,081 shares of common stock at a price of $48.9999 per pre-funded warrant. The Company received aggregate net proceeds of $147.9 million, after deducting offering expenses of $9.9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pre-funded warrants provide that the holder will not have the right to exercise any portion of its warrants if such holder, together with its affiliates, would beneficially own in excess of 24.99% of the number of shares of Common Stock outstanding immediately after giving effect to the exercise (the “Ownership Limit”). Purchasers of the pre-funded warrants may also elect to set the initial Ownership Limit at 4.99%, 9.99% or 19.99%. Upon at least 61 days’ prior notice from the holder to the Company, the holder may increase or decrease the Ownership Limit up to 24.99%, provided however that purchasers that select an Ownership Limit of 19.99% or less will only be allowed to increase the Ownership Limit above 19.99% if such increase would not result in a change of control under the rules and regulations of the Nasdaq Stock Market LLC. The pre-funded warrants meet the condition for equity classification and were therefore recorded as a component of stockholders’ equity within additional paid-in capital.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Registered Direct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2023, the Company entered into a securities purchase agreement, with certain investors. Pursuant to the securities purchase agreement, the Company sold an aggregate of 1,488,166 shares of the Company’s common stock, at a purchase price of $23.00 per share, and with respect to a certain investor, in lieu of shares of the Company’s common stock, pre-funded warrants to purchase an aggregate of 1,229,224 shares of the Company’s common stock, at a purchase price of $22.9999 per pre-funded warrant, for aggregate net proceeds of $62.4 million, after deducting offering expenses of $0.1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pre-funded warrants provide that the holder will not have the right to exercise any portion of its warrants if such holder, together with its affiliates, would beneficially own in excess of 9.99% of the number of shares of the Company’s common stock outstanding immediately after giving effect to such exercise (the “Beneficial Ownership Limitation”); provided, however, that the holder may increase or decrease the Beneficial Ownership Limitation by giving 61 days’ notice, but not to any percentage in excess of 19.99%. The investors or their affiliates are beneficial holders of more than 5% of the Company’s capital stock. The pre-funded warrants meet the condition for equity classification and were therefore recorded as a component of stockholders’ equity within additional paid-in capital at the time of their issuance. In September 2023, all of the pre-funded warrants were exercised in a cashless transaction which resulted in 1,229,221 shares of common stock being issued to the investor.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ATM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2023, the Company filed a shelf registration statement on Form S-3 with the SEC, which covered the offering, issuance and sale by the Company of up to an aggregate of $300.0 million of the Company’s common stock, preferred stock, debt securities, warrants or units (the “January 2023 Shelf”). Subsequently in January 2023, the Company entered into a Sales Agreement (the “Sales Agreement”) with SVB Securities LLC, as sales agent, to provide for the offering, issuance and sale by the Company of up to $100.0 million of the Company’s common stock from time to time in “at-the-market” (“ATM”) offerings under the January 2023 Shelf. Effective June 12, 2023, the ATM program with SVB Securities LLC was suspended. Following the date of the ATM suspension, the Company did not make any further sales of its common stock pursuant to the Sales Agreement. The Sales Agreement was terminated effective September 28, 2023. In connection with the ATM suspension, the Company recognized the remaining capitalized issuance costs of $0.3 million as general and administrative expense in the condensed consolidated statements of operations and comprehensive loss for the nine months ended September 30, 2023. As of September 30, 2023, the Company had sold an aggregate of 825,350 shares of common stock in ATM offerings under the January 2023 Shelf. Aggregate gross proceeds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the transactions were $20.0 million and the Company received $19.5 million in net proceeds, after deducting placement agent fees and offering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October 2023, the Company entered into an Open Market Sale Agreement with Jefferies LLC as sales agent (the “ATM Agreement”) to provide for the offering, issuance and sale by the Company of up to $59.7 million of the Company’s common stock from time to time in ATM offerings under the January 2023 Shelf.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2023, the Company filed a shelf registration statement on Form S-3 with the SEC, which covered the offering, issuance and sale by the Company of up to an aggregate of $400.0 million of the Company’s common stock, preferred stock, debt securities, warrants or units (the “November 2023 Shelf”). On December 5, 2023, the Company and Jefferies LLC entered into an amendment to the ATM Agreement to increase the aggregate offering price of the shares of common stock that the Company may offer under the ATM Agreement from $59.7 million to $200.0 million. The material terms and conditions of the ATM Agreement otherwise remained unchanged. As of December 31, 2023, the Company had sold an aggregate of 141,914 shares of common stock in ATM offerings under the November 2023 Shelf and pursuant to the ATM Agreement. Aggregate gross proceeds from the transactions were $7.2 million and the Company received $7.0 million in net proceeds, after deducting placement agent fees and offering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2024, the Company sold an aggregate of 234,449 shares of common stock in ATM offerings under the November 2023 Shelf and pursuant to the ATM Agreement. Aggregate gross proceeds from the transactions were $15.3 million and the Company received $14.8 million in net proceeds, after deducting placement agent fees and offering expenses. During the three months ended June 30, 2024 and September 30, 2024, respectively, the Company sold no shares in ATM offerings. As of September 30, 2024, the Company had sold an aggregate of 376,363 shares of common stock in ATM offerings under the November 2023 Shelf for aggregate gross proceeds of $22.5 million and aggregate net proceeds received of $21.8 million, after deducting placement agent fees and offering expenses.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11. 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grants stock-based awards under its 2021 Stock Option and Incentive Plan (the “2021 Plan”), which was approved by its stockholders in February 2021 and amended and restated in January 2023. The Company also has outstanding stock option awards under its 2017 Stock Option and Grant Plan (the “Private Disc Plan”), the 2017 Stock Option and Grant Plan (the “Gemini 2017 Plan”), and the 2021 Inducement Plan, but is no longer granting awards under these plans. The Company also grants awards under its 2021 Employee Stock Purchase Plan (the “2021 ESPP”), which was approved by the Company's stockholders in July 2021 and amended and restated in January 2023. In addition, subject to approval by the Company's board of directors, the Company may grant stock-based awards outside of the 2021 Plan as an inducement to its executives.</w:t>
      </w:r>
    </w:p>
    <w:p>
      <w:pPr>
        <w:pStyle w:val="TextBody"/>
        <w:bidi w:val="0"/>
        <w:spacing w:before="240" w:after="283"/>
        <w:jc w:val="both"/>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Total stock-based compensation expense recorded as research and development and general and administrative expenses, respectively, for employees, directors and non-employees is as follows (in thousands):</w:t>
      </w:r>
    </w:p>
    <w:tbl>
      <w:tblPr>
        <w:tblW w:w="7823" w:type="dxa"/>
        <w:jc w:val="left"/>
        <w:tblInd w:w="0" w:type="dxa"/>
        <w:tblLayout w:type="fixed"/>
        <w:tblCellMar>
          <w:top w:w="28" w:type="dxa"/>
          <w:left w:w="28" w:type="dxa"/>
          <w:bottom w:w="28" w:type="dxa"/>
          <w:right w:w="28" w:type="dxa"/>
        </w:tblCellMar>
      </w:tblPr>
      <w:tblGrid>
        <w:gridCol w:w="3451"/>
        <w:gridCol w:w="146"/>
        <w:gridCol w:w="211"/>
        <w:gridCol w:w="571"/>
        <w:gridCol w:w="146"/>
        <w:gridCol w:w="109"/>
        <w:gridCol w:w="211"/>
        <w:gridCol w:w="571"/>
        <w:gridCol w:w="146"/>
        <w:gridCol w:w="146"/>
        <w:gridCol w:w="211"/>
        <w:gridCol w:w="676"/>
        <w:gridCol w:w="146"/>
        <w:gridCol w:w="109"/>
        <w:gridCol w:w="211"/>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8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146" w:type="dxa"/>
            <w:tcBorders/>
            <w:shd w:fill="CFF0FC" w:val="clear"/>
            <w:vAlign w:val="center"/>
          </w:tcPr>
          <w:p>
            <w:pPr>
              <w:pStyle w:val="TableContents"/>
              <w:bidi w:val="0"/>
              <w:spacing w:before="0" w:after="283"/>
              <w:jc w:val="left"/>
              <w:rPr/>
            </w:pPr>
            <w:r>
              <w:rPr/>
              <w:t> </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146" w:type="dxa"/>
            <w:tcBorders/>
            <w:shd w:fill="CFF0FC" w:val="clear"/>
            <w:vAlign w:val="center"/>
          </w:tcPr>
          <w:p>
            <w:pPr>
              <w:pStyle w:val="TableContents"/>
              <w:bidi w:val="0"/>
              <w:spacing w:before="0" w:after="283"/>
              <w:jc w:val="left"/>
              <w:rPr/>
            </w:pPr>
            <w:r>
              <w:rPr/>
              <w:t> </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unrecognized stock-based compensation expense as of September 30, 2024.</w:t>
      </w:r>
    </w:p>
    <w:tbl>
      <w:tblPr>
        <w:tblW w:w="8745" w:type="dxa"/>
        <w:jc w:val="left"/>
        <w:tblInd w:w="0" w:type="dxa"/>
        <w:tblLayout w:type="fixed"/>
        <w:tblCellMar>
          <w:top w:w="28" w:type="dxa"/>
          <w:left w:w="28" w:type="dxa"/>
          <w:bottom w:w="28" w:type="dxa"/>
          <w:right w:w="28" w:type="dxa"/>
        </w:tblCellMar>
      </w:tblPr>
      <w:tblGrid>
        <w:gridCol w:w="4696"/>
        <w:gridCol w:w="146"/>
        <w:gridCol w:w="409"/>
        <w:gridCol w:w="1316"/>
        <w:gridCol w:w="146"/>
        <w:gridCol w:w="146"/>
        <w:gridCol w:w="403"/>
        <w:gridCol w:w="1292"/>
        <w:gridCol w:w="19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Unrecognized Expense</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Remaining</w:t>
              <w:br/>
              <w:t>Period of Recognition</w:t>
              <w:br/>
              <w:t>(In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vAlign w:val="center"/>
          </w:tcPr>
          <w:p>
            <w:pPr>
              <w:pStyle w:val="TableContents"/>
              <w:bidi w:val="0"/>
              <w:spacing w:before="0" w:after="283"/>
              <w:jc w:val="right"/>
              <w:rPr/>
            </w:pPr>
            <w:r>
              <w:rPr/>
              <w:t> </w:t>
            </w:r>
          </w:p>
        </w:tc>
        <w:tc>
          <w:tcPr>
            <w:tcW w:w="4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403"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91" w:type="dxa"/>
            <w:tcBorders/>
            <w:shd w:fill="CFF0FC" w:val="clear"/>
            <w:vAlign w:val="center"/>
          </w:tcPr>
          <w:p>
            <w:pPr>
              <w:pStyle w:val="TableContents"/>
              <w:bidi w:val="0"/>
              <w:spacing w:before="0" w:after="283"/>
              <w:jc w:val="left"/>
              <w:rPr/>
            </w:pPr>
            <w:r>
              <w:rPr/>
              <w:t> </w:t>
            </w:r>
          </w:p>
        </w:tc>
      </w:tr>
      <w:tr>
        <w:trPr/>
        <w:tc>
          <w:tcPr>
            <w:tcW w:w="4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vAlign w:val="center"/>
          </w:tcPr>
          <w:p>
            <w:pPr>
              <w:pStyle w:val="TableContents"/>
              <w:bidi w:val="0"/>
              <w:spacing w:before="0" w:after="283"/>
              <w:jc w:val="righ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91" w:type="dxa"/>
            <w:tcBorders/>
            <w:shd w:fill="FFFFFF" w:val="clear"/>
            <w:vAlign w:val="center"/>
          </w:tcPr>
          <w:p>
            <w:pPr>
              <w:pStyle w:val="TableContents"/>
              <w:bidi w:val="0"/>
              <w:spacing w:before="0" w:after="283"/>
              <w:jc w:val="left"/>
              <w:rPr/>
            </w:pPr>
            <w:r>
              <w:rPr/>
              <w:t> </w:t>
            </w:r>
          </w:p>
        </w:tc>
      </w:tr>
      <w:tr>
        <w:trPr/>
        <w:tc>
          <w:tcPr>
            <w:tcW w:w="4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unrecognized equity-based compensation expense</w:t>
            </w:r>
          </w:p>
        </w:tc>
        <w:tc>
          <w:tcPr>
            <w:tcW w:w="146" w:type="dxa"/>
            <w:tcBorders/>
            <w:shd w:fill="CFF0FC" w:val="clear"/>
            <w:vAlign w:val="center"/>
          </w:tcPr>
          <w:p>
            <w:pPr>
              <w:pStyle w:val="TableContents"/>
              <w:bidi w:val="0"/>
              <w:spacing w:before="0" w:after="283"/>
              <w:jc w:val="righ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9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For purposes of calculating stock-based compensation, the Company determines the fair value of the restricted stock units based on the fair value of the Company’s common stock at the time of grant.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On February 7, 2024, the Company granted a restricted stock unit award for 36,666 shares of common stock outside of the 2021 Plan to its newly appointed Chief Financial Officer, Jean Franchi, as an inducement for entering into employment with the Company in accordance with Nasdaq Listing Rule 5635(c)(4). The restricted stock unit award vests with respect to 25% of the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underlying shares on each of the first, second, third and fourth anniversaries of the vesting date as set by the Company policy, subject to Ms. Franchi’s continued employment with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26, 2024, the Company granted a restricted stock unit award for 36,666 shares of common stock outside of the 2021 Plan to its newly appointed Chief Commercial Officer, Pamela Stephenson, as an inducement for entering into employment with the Company in accordance with Nasdaq Listing Rule 5635(c)(4). The restricted stock unit award vests with respect to 25% of the underlying shares on each of the first, second, third and fourth anniversaries of the vesting date as set by the Company policy, subject to Ms. Stephenson’s continued employment with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September 16, 2024, the Company granted a restricted stock unit award for 36,666 shares of common stock outside of the 2021 Plan to its newly appointed Chief Regulatory Officer, Dr. Steven Caffé, as an inducement for entering into employment with the Company in accordance with Nasdaq Listing Rule 5635(c)(4). The restricted stock unit award vests with respect to 25% of the underlying shares on each of the first, second, third and fourth anniversaries of the vesting date as set by the Company policy, subject to Dr. Caffé’s continued employment with the Company.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restricted stock unit activity for the nine months ended September 30, 2024.</w:t>
      </w:r>
    </w:p>
    <w:tbl>
      <w:tblPr>
        <w:tblW w:w="7290" w:type="dxa"/>
        <w:jc w:val="left"/>
        <w:tblInd w:w="0" w:type="dxa"/>
        <w:tblLayout w:type="fixed"/>
        <w:tblCellMar>
          <w:top w:w="28" w:type="dxa"/>
          <w:left w:w="28" w:type="dxa"/>
          <w:bottom w:w="28" w:type="dxa"/>
          <w:right w:w="28" w:type="dxa"/>
        </w:tblCellMar>
      </w:tblPr>
      <w:tblGrid>
        <w:gridCol w:w="3961"/>
        <w:gridCol w:w="146"/>
        <w:gridCol w:w="205"/>
        <w:gridCol w:w="1100"/>
        <w:gridCol w:w="166"/>
        <w:gridCol w:w="146"/>
        <w:gridCol w:w="342"/>
        <w:gridCol w:w="933"/>
        <w:gridCol w:w="2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as of December 31, 2023</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110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3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9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34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9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w:t>
            </w:r>
          </w:p>
        </w:tc>
        <w:tc>
          <w:tcPr>
            <w:tcW w:w="291" w:type="dxa"/>
            <w:tcBorders/>
            <w:shd w:fill="CFF0FC" w:val="clear"/>
            <w:vAlign w:val="center"/>
          </w:tcPr>
          <w:p>
            <w:pPr>
              <w:pStyle w:val="TableContents"/>
              <w:bidi w:val="0"/>
              <w:spacing w:before="0" w:after="283"/>
              <w:jc w:val="left"/>
              <w:rPr/>
            </w:pPr>
            <w:r>
              <w:rPr/>
              <w:t> </w:t>
            </w:r>
          </w:p>
        </w:tc>
      </w:tr>
      <w:tr>
        <w:trPr/>
        <w:tc>
          <w:tcPr>
            <w:tcW w:w="39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as of September 30, 2024</w:t>
            </w:r>
          </w:p>
        </w:tc>
        <w:tc>
          <w:tcPr>
            <w:tcW w:w="146" w:type="dxa"/>
            <w:tcBorders/>
            <w:shd w:fill="FFFFFF" w:val="clear"/>
            <w:vAlign w:val="center"/>
          </w:tcPr>
          <w:p>
            <w:pPr>
              <w:pStyle w:val="TableContents"/>
              <w:bidi w:val="0"/>
              <w:spacing w:before="0" w:after="283"/>
              <w:jc w:val="righ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w:t>
            </w:r>
          </w:p>
        </w:tc>
        <w:tc>
          <w:tcPr>
            <w:tcW w:w="2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For purposes of calculating stock-based compensation, the Company estimates the fair value of stock options on the grant date using the Black-Scholes option-pricing model. This model incorporates various assumptions, including the expected volatility, expected term, and interest rates.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 February 7, 2024, the Company granted an option to purchase 55,000 shares of common stock outside of the 2021 Plan to its newly appointed Chief Financial Officer, Jean Franchi, as an inducement for entering into employment with the Company in accordance with Nasdaq Listing Rule 5635(c)(4). The option award has a ten-year term, with 25% of the underlying shares vesting and becoming exercisable on February 7, 2025, and the balance of the option award vesting in equal monthly installments over 36 months thereafter, subject to Ms. Franchi’s continued employment with the Company, and has an exercise price of $65.25.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26, 2024, the Company granted an option to purchase 55,000 shares of common stock outside of the 2021 Plan to its newly appointed Chief Commercial Officer, Pamela Stephenson, as an inducement for entering into employment with the Company in accordance with Nasdaq Listing Rule 5635(c)(4). The option award has a ten-year term, with 25% of the underlying shares vesting and becoming exercisable on February 26, 2025, and the balance of the option award vesting in equal monthly installments over 36 months thereafter, subject to Ms. Stephenson’s continued employment with the Company, and has an exercise price of $64.66.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September 16, 2024, the Company granted an option to purchase 55,000 shares of common stock outside of the 2021 Plan to its newly appointed Chief Regulatory Officer, Dr. Steven Caffé, as an inducement for entering into employment with the Company in accordance with Nasdaq Listing Rule 5635(c)(4). The option award has a ten-year term, with 25% of the underlying shares vesting and becoming exercisable on September 16, 2025, and the balance of the option award vesting in equal monthly installments over 36 months thereafter, subject to Dr. Caffé’s continued employment with the Company, and has an exercise price of $47.68.</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stock option activity for the nine months ended September 30, 2024.</w:t>
      </w:r>
    </w:p>
    <w:tbl>
      <w:tblPr>
        <w:tblW w:w="8743" w:type="dxa"/>
        <w:jc w:val="left"/>
        <w:tblInd w:w="0" w:type="dxa"/>
        <w:tblLayout w:type="fixed"/>
        <w:tblCellMar>
          <w:top w:w="28" w:type="dxa"/>
          <w:left w:w="28" w:type="dxa"/>
          <w:bottom w:w="28" w:type="dxa"/>
          <w:right w:w="28" w:type="dxa"/>
        </w:tblCellMar>
      </w:tblPr>
      <w:tblGrid>
        <w:gridCol w:w="2986"/>
        <w:gridCol w:w="146"/>
        <w:gridCol w:w="146"/>
        <w:gridCol w:w="931"/>
        <w:gridCol w:w="166"/>
        <w:gridCol w:w="146"/>
        <w:gridCol w:w="211"/>
        <w:gridCol w:w="676"/>
        <w:gridCol w:w="146"/>
        <w:gridCol w:w="146"/>
        <w:gridCol w:w="303"/>
        <w:gridCol w:w="972"/>
        <w:gridCol w:w="146"/>
        <w:gridCol w:w="146"/>
        <w:gridCol w:w="252"/>
        <w:gridCol w:w="933"/>
        <w:gridCol w:w="2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2,459,037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303"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109,078</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9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796,140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27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185"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9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27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185"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9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27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185"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9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27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185"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2024</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2,972,432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80,424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September 30, 2024</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1,571,812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57,338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aggregate intrinsic value of stock options exercised during the nine months ended September 30, 2024 and 2023 was $8.3 million and $4.5 million, respectively. The total fair value of options vested during the nine months ended September 30, 2024 and 2023 was $7.9 million and $2.9 million,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weighted-average assumptions used to estimate the fair value of stock options granted were as follows:</w:t>
      </w:r>
    </w:p>
    <w:p>
      <w:pPr>
        <w:pStyle w:val="TextBody"/>
        <w:bidi w:val="0"/>
        <w:jc w:val="both"/>
        <w:rPr/>
      </w:pPr>
      <w:r>
        <w:rPr/>
        <w:t> </w:t>
      </w:r>
    </w:p>
    <w:tbl>
      <w:tblPr>
        <w:tblW w:w="5542" w:type="dxa"/>
        <w:jc w:val="left"/>
        <w:tblInd w:w="0" w:type="dxa"/>
        <w:tblLayout w:type="fixed"/>
        <w:tblCellMar>
          <w:top w:w="28" w:type="dxa"/>
          <w:left w:w="28" w:type="dxa"/>
          <w:bottom w:w="28" w:type="dxa"/>
          <w:right w:w="28" w:type="dxa"/>
        </w:tblCellMar>
      </w:tblPr>
      <w:tblGrid>
        <w:gridCol w:w="3136"/>
        <w:gridCol w:w="146"/>
        <w:gridCol w:w="211"/>
        <w:gridCol w:w="571"/>
        <w:gridCol w:w="271"/>
        <w:gridCol w:w="109"/>
        <w:gridCol w:w="211"/>
        <w:gridCol w:w="571"/>
        <w:gridCol w:w="31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9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271"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316" w:type="dxa"/>
            <w:tcBorders/>
            <w:shd w:fill="FFFFFF" w:val="clear"/>
            <w:vAlign w:val="center"/>
          </w:tcPr>
          <w:p>
            <w:pPr>
              <w:pStyle w:val="TableContents"/>
              <w:bidi w:val="0"/>
              <w:spacing w:before="0" w:after="283"/>
              <w:jc w:val="left"/>
              <w:rPr/>
            </w:pPr>
            <w:r>
              <w:rPr/>
              <w:t> </w:t>
            </w:r>
          </w:p>
        </w:tc>
      </w:tr>
      <w:tr>
        <w:trPr/>
        <w:tc>
          <w:tcPr>
            <w:tcW w:w="31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per share of common stock</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59.76</w:t>
            </w:r>
          </w:p>
        </w:tc>
        <w:tc>
          <w:tcPr>
            <w:tcW w:w="271" w:type="dxa"/>
            <w:tcBorders/>
            <w:shd w:fill="CFF0FC" w:val="clear"/>
            <w:vAlign w:val="center"/>
          </w:tcPr>
          <w:p>
            <w:pPr>
              <w:pStyle w:val="TableContents"/>
              <w:bidi w:val="0"/>
              <w:spacing w:before="0" w:after="283"/>
              <w:jc w:val="left"/>
              <w:rPr/>
            </w:pPr>
            <w:r>
              <w:rPr/>
              <w:t> </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w:t>
            </w:r>
          </w:p>
        </w:tc>
        <w:tc>
          <w:tcPr>
            <w:tcW w:w="316"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weighted-average grant-date fair value of options granted during the nine months ended September 30, 2024 and 2023 was $35.55 and $25.68,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Shares of Restricted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September 30, 2024, the Company had issued 63,061 shares of restricted common stock to the founders of Disc Medicine, Inc. prior to the merger (now known as Disc Medicine OpCo, Inc.), pursuant to subscription agreements and to certain key employees pursuant to the Private Disc Plan at $0.0001 per share. The stock restrictions relate to the sale and transferability of the stock and lapse over the defined vesting period in the restricted stock agreement. The vesting period is generally contingent upon continued employment or consulting services being provided to the Company. In the event of termination, the Company has the right, but not the obligation to repurchase the unvested shares at the original purchase price. As of September 30, 2024, these awards of restricted common stock were fully vested.</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 summary of restricted common stock activity is as follows:</w:t>
      </w:r>
    </w:p>
    <w:tbl>
      <w:tblPr>
        <w:tblW w:w="5227" w:type="dxa"/>
        <w:jc w:val="left"/>
        <w:tblInd w:w="0" w:type="dxa"/>
        <w:tblLayout w:type="fixed"/>
        <w:tblCellMar>
          <w:top w:w="28" w:type="dxa"/>
          <w:left w:w="28" w:type="dxa"/>
          <w:bottom w:w="28" w:type="dxa"/>
          <w:right w:w="28" w:type="dxa"/>
        </w:tblCellMar>
      </w:tblPr>
      <w:tblGrid>
        <w:gridCol w:w="3166"/>
        <w:gridCol w:w="146"/>
        <w:gridCol w:w="146"/>
        <w:gridCol w:w="346"/>
        <w:gridCol w:w="146"/>
        <w:gridCol w:w="109"/>
        <w:gridCol w:w="146"/>
        <w:gridCol w:w="631"/>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5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the beginning of the year</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the end of the period</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nine months ended September 30, 2024 and 2023, 11,082 shares and zero shares of common stock were issued under the 2021 ESPP, respectively.</w:t>
      </w:r>
    </w:p>
    <w:p>
      <w:pPr>
        <w:pStyle w:val="TextBody"/>
        <w:bidi w:val="0"/>
        <w:spacing w:before="240" w:after="283"/>
        <w:jc w:val="both"/>
        <w:rPr>
          <w:rFonts w:ascii="Times New Roman" w:hAnsi="Times New Roman"/>
          <w:sz w:val="20"/>
        </w:rPr>
      </w:pPr>
      <w:r>
        <w:rPr>
          <w:rFonts w:ascii="Times New Roman" w:hAnsi="Times New Roman"/>
          <w:b/>
          <w:color w:val="000000"/>
          <w:sz w:val="20"/>
        </w:rPr>
        <w:t>12. 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did not record a provision or benefit for federal income taxes during the three and nine months ended September 30, 2024 and 2023. The Company recorded state income tax expense of $0.2 million and less than $0.1 million for the nine months ended September 30, 2024 and 2023, respectively, due to interest income. The Company continues to maintain a full valuation allowance against all of its deferred tax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evaluated the positive and negative evidence involving its ability to realize its deferred tax assets and has considered its history of cumulative net losses incurred since inception and its lack of any commercially ready products. The Company has concluded that it is more likely than not that it will not realize the benefits of its deferred tax assets. The Company reevaluates the positive and negative evidence at each reporting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never been examined by the Internal Revenue Service or any other jurisdiction for any tax years and, as such, all years within the applicable statutes of limitations are potentially subject to audit.</w:t>
      </w:r>
    </w:p>
    <w:p>
      <w:pPr>
        <w:pStyle w:val="TextBody"/>
        <w:bidi w:val="0"/>
        <w:spacing w:before="240" w:after="283"/>
        <w:jc w:val="both"/>
        <w:rPr>
          <w:rFonts w:ascii="Times New Roman" w:hAnsi="Times New Roman"/>
          <w:sz w:val="20"/>
        </w:rPr>
      </w:pPr>
      <w:r>
        <w:rPr>
          <w:rFonts w:ascii="Times New Roman" w:hAnsi="Times New Roman"/>
          <w:b/>
          <w:color w:val="000000"/>
          <w:sz w:val="20"/>
        </w:rPr>
        <w:t>13. Net Loss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and diluted net loss per share is computed by dividing net loss attributable to common stockholders by the weighted-average common shares outstanding. The weighted-average common shares outstanding used in the basic and diluted net loss per share calculation includes the pre-funded warrants issued in connection with the Company’s follow-on public offering in June 2023 of 204,081 and registered direct offering in February 2023 of 1,229,224, as the pre-funded warrants are exercisable for nominal cash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consideration. In September 2023, 1,229,224 of the pre-funded warrants were exercised in a cashless transaction which resulted in 1,229,221 shares of common stock being issued to the investor. As of September 30, 2024, 204,081 pre-funded warrants were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generated a net loss in all periods presented, so the basic and diluted net loss per share are the same, as the inclusion of the potentially dilutive securities would be anti-dilutive. The Company excluded the following from the computation of diluted net loss per share attributable to common stockholders because including them would have had an anti-dilutive effect:</w:t>
      </w:r>
    </w:p>
    <w:p>
      <w:pPr>
        <w:pStyle w:val="TextBody"/>
        <w:bidi w:val="0"/>
        <w:jc w:val="both"/>
        <w:rPr/>
      </w:pPr>
      <w:r>
        <w:rPr/>
        <w:t> </w:t>
      </w:r>
    </w:p>
    <w:tbl>
      <w:tblPr>
        <w:tblW w:w="5754" w:type="dxa"/>
        <w:jc w:val="left"/>
        <w:tblInd w:w="0" w:type="dxa"/>
        <w:tblLayout w:type="fixed"/>
        <w:tblCellMar>
          <w:top w:w="28" w:type="dxa"/>
          <w:left w:w="28" w:type="dxa"/>
          <w:bottom w:w="28" w:type="dxa"/>
          <w:right w:w="28" w:type="dxa"/>
        </w:tblCellMar>
      </w:tblPr>
      <w:tblGrid>
        <w:gridCol w:w="2971"/>
        <w:gridCol w:w="146"/>
        <w:gridCol w:w="146"/>
        <w:gridCol w:w="931"/>
        <w:gridCol w:w="146"/>
        <w:gridCol w:w="146"/>
        <w:gridCol w:w="146"/>
        <w:gridCol w:w="93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2,972,432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2,558,531</w:t>
            </w:r>
          </w:p>
        </w:tc>
        <w:tc>
          <w:tcPr>
            <w:tcW w:w="191"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program</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14. Commitments and Contingencies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Indemnification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ordinary course of business, the Company may provide indemnification of varying scope and terms to its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 </w:t>
      </w:r>
    </w:p>
    <w:p>
      <w:pPr>
        <w:pStyle w:val="TextBody"/>
        <w:bidi w:val="0"/>
        <w:spacing w:before="240" w:after="283"/>
        <w:jc w:val="both"/>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from time to time, may be party to litigation arising in the ordinary course of business. The Company was not subject to any material legal proceedings during the nine months ended September 30, 2024 and 2023 and, to the best of its knowledge, no material legal proceedings are currently pending or threatened.</w:t>
      </w:r>
    </w:p>
    <w:p>
      <w:pPr>
        <w:pStyle w:val="TextBody"/>
        <w:bidi w:val="0"/>
        <w:spacing w:before="240" w:after="283"/>
        <w:jc w:val="both"/>
        <w:rPr>
          <w:rFonts w:ascii="Times New Roman" w:hAnsi="Times New Roman"/>
          <w:sz w:val="20"/>
        </w:rPr>
      </w:pPr>
      <w:r>
        <w:rPr>
          <w:rFonts w:ascii="Times New Roman" w:hAnsi="Times New Roman"/>
          <w:b/>
          <w:i/>
          <w:color w:val="000000"/>
          <w:sz w:val="20"/>
        </w:rPr>
        <w:t>Payments Upon Termination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enters into contracts in the normal course of business with contract research organizations (“CROs”), and contract development and manufacturing organizations (“CDMOs”) and other third parties for preclinical studies, clinical trials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Company’s service providers, up to the date of cancellation and, in the case of certain arrangements with CROs and CDMOs, may include noncancelable fees. Under such agreements, the exact amounts owed by the Company in the event of termination will be based on the timing of the termination and the exact terms of the agreement. As of September 30, 2024, the Company has not recognized any amounts related to these contingencies as the amount and timing of such payments are not fixed and estimable.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15.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a tenant under a lease and sublease of office space in Watertown, Massachusetts, both operating leases.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2024, the Company amended its lease of 7,566 square feet of office space which serves as the Company’s corporate headquarters. The lease was amended to extend the term from November 30, 2026 through December 31, 2029. The Company accounted for this amendment as a modification which resulted in the application of a new incremental borrowing rate and the recognition of an additional right-of-use asset and lease liability of $0.1 million, inclusive of a tenant improvement allowance of $0.5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August 2024 amendment, the Company entered into a forward-starting lease of 9,281 square feet of office space on the second floor of its corporate headquarters, which the Company is currently subleasing through November 30, 2026. The forward-starting lease is expected to commence on December 1, 2026 immediately following the conclusion of the sublease, and has a term date of December 31, 2029. The Company expects to make undiscounted payments of $1.0 million over the term of the lease, inclusive of a tenant improvement allowance of $0.3 million. The impact of the forward-starting lease is not currently recorded on the Company’s condensed consolidated balance sheets as of the reporting date. The Company will record the impact upon lease commencement.</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2023, the Company entered into a sublease for a term of approximately three and a half years through November 2026, consisting of 9,281 square feet of office space on the second floor of its corporate headquarters. Fixed lease payments include base rent, subject to annual rent increases, and a management fee. Variable lease payments include the Company’s allocated share of costs incurred for real estate taxes, utilities, and other operating expenses applicable to the leased premises. Pursuant to the lease, the Company is also obligated to pay for certain administrative costs, taxes and operating expenses.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16. 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2024, certain existing investors participated in the Company's underwritten offering (see Note 10).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2023, an existing investor participated in the Company’s follow-on offering (see Note 10).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2023, the Company executed a promissory note for an aggregate principal amount of $0.5 million from an existing investor. The Company did not use these funds and repaid the note four days later, recording a de minimis amount of interest expense based on the then Federal funds rate for short term loans of 4.5% per annum.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2023, certain existing investors participated in the Company’s registered direct offering (see Note 10).</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17. Subsequent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6, 2024, the Company and certain of its subsidiaries (collectively, the “Borrower”) entered into a Loan and Security Agreement (the “Hercules Loan Agreement”) with the lenders party thereto (the “Lenders”) and Hercules Capital, Inc., as administrative agent and collateral agent (the “Agent”). The Hercules Loan Agreement provides for up to $200.0 million of senior secured term loans (the “Term Loan”) available to Borrower in multiple tranches consisting of: (a) an initial $30.0 million advance funded on the November 6, 2024; (b) up to $30.0 million of additional advances that may be drawn on or prior to September 15, 2026; (c) up to $50.0 million of additional advances that may be drawn on or prior to December 15, 2026; (d) subject to Borrower’s achievement of the Tranche 2 Milestone (as defined in the Hercules Loan Agreement), up to $25.0 million of additional advances that may be drawn on or prior to June 15, 2027; (e) subject to Borrower’s achievement of the Tranche 3 Milestone (as defined in the Hercules Loan Agreement), up to $40.0 million of additional advances that may be drawn on or prior to December 15, 2027; and (f) subject to approval by the Lenders’ investment committees in their discretion, up to $25.0 million of additional advances that may be drawn by Borrower.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 Loan will mature on December 1, 2029. The outstanding principal balance of the Term Loan bears cash interest at a floating annual rate equal to the greater of (a) 8.25% and (b) the prime rate plus 1.75%. Borrower may elect to reduce the cash interest rate by up to 2.00% per annum, in which case, subject to the terms and conditions of the Hercules Loan Agreement, the principal balance of the Term Loan also will bear “payment-in-kind” interest (“PIK Interest”) at a rate equal to 1.10 times such interest reduction amount, and with the PIK Interest added to the outstanding principal balance of the Term Loan. The Term Loan is payable in monthly interest-only payments through December 1, 2028, or, if Borrower achieves the Tranche 3 Milestone (as defined in the Hercules Loan Agreement), the interest-only period will be extended through December 1, 2029. At the end of the interest-only period, borrowings under the Hercules Loan Agreement are repayable in monthly payments of principal and accrued interest until the maturity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Borrower's obligations under the Hercules Loan Agreement are secured, subject to customary permitted liens and other agreed-upon exceptions, by a first-priority perfected security interest in all of the tangible and intangible assets of the Borrower, other than intellectual property. The Hercules Loan Agreement includes customary repayment and prepayment terms, affirmative and negative covenants and representations and warranties. The Hercules Loan Agreement also includes customary events of default. Additionally, the Hercules Loan Agreement contains a minimum cash covenant that requires Borrower to maintain certain levels of cash in accounts subject to a control agreement in favor of the Agent at all times beginning on the first day on or after January 1, 2027 (or January 1, 2028, if Borrower achieves a certain milestone) on which the aggregate principal amount of the Term Loan advances is then more than $50.0 million; provided, however, the minimum cash covenant will be waived during all times that Borrower’s market capitalization is greater than or equal to $1.0 billion.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sz w:val="20"/>
        </w:rPr>
      </w:pPr>
      <w:bookmarkStart w:id="11" w:name="item_2_managements_discussion"/>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appearing at the beginning of this Quarterly Report on Form 10-Q and our audited consolidated financial statements and related notes appearing at the end of our Annual Report on Form 10-K for the year ended December 31, 2023.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In April 2024, we presented topline data from AURORA, a Phase 2, randomized, double-blind, placebo-controlled clinical trial of bitopertin in EPP patients conducted at sites in the United States. In June and December 2023, we presented interim data from BEACON, a Phase 2 open-label, parallel-dose clinical trial of bitopertin in EPP and XLP patients conducted at sites in Australia. Additional analyses of the BEACON and AURORA trials were presented in June 2024 and we plan to share further analyses in December 2024. All participants in AURORA and BEACON are eligible to participate in HELIOS, an ongoing open-label, long-term extension study of bitopertin in EPP and XLP. We are also planning APOLLO, a randomized, double-blind, placebo-controlled clinical trial of bitopertin in EPP and XLP patients. As a result of our end-of-Phase 2 meeting with the U.S. Food &amp; Drug Administration, or the FDA, we agreed with the FDA on all proposed attributes of the APOLLO trial, which we plan to initiate by mid-2025. In addition, the FDA agreed with the potential for reduction of protoporphyrin IX, or PPIX, to serve as a surrogate endpoint to support a potential accelerated approval. Under the FDA's Accelerated Approval Program, we would have the potential to submit a New Drug Application, or NDA, for bitopertin in EPP and XLP based on our existing data and, subject to further discussion with the FDA, the APOLLO trial would serve as a confirmatory trial. We will be meeting with the FDA to finalize the details of APOLLO and plan to provide an update in the first quarter of 2025 on this discussion as well as timing for a potential NDA filing under an accelerated pathway. We have also entered into a collaborative research and development agreement with the National Institutes of Health, or NIH, to conduct an NIH-sponsored clinical trial of bitopertin in DBA. The FDA authorized the clinical trial to proceed and the trial began in July 2023. We are planning additional trials of bitopertin in other indications.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DISC-0974 is the lead product candidate in our iron homeostasis portfolio and was in-licensed from AbbVie Deutschland GmbH &amp; Co. KG, or AbbVie. DISC-0974 is designed to suppress hepcidin production and increase serum iron levels. We submitted an Investigational New Drug application, or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as well as additional interim data for anemia of MF in June 2024 and non-dialysis dependent CKD and anemia in October 2024, which additional interim data included safety and changes in hepcidin, iron, and hemoglobin levels for additional patients, as well as longer follow-up. We anticipate presenting additional analyses of the Phase 1b study in anemia of MF in December 2024. In addition, we are developing a preclinical anti-hemojuvelin, or HJV, monoclonal antibody, DISC-0998, which also targets hepcidin suppression and was in-licensed from AbbVie. DISC-0998 is designed to increase serum iron levels and has an extended serum half-life as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compared to DISC-0974. We believe this profile may be desirable in certain subsets of patients with anemia associated with inflammatory diseases.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was presented from the single-ascending dose ("SAD") portion of the Phase 1 clinical trial of DISC-3405 in healthy volunteers in June 2024. We anticipate presenting data from the multiple-ascending dose ("MAD") portion of the Phase 1 healthy volunteer study of DISC-3405 in December 2024. We expect to develop DISC-3405 for the treatment of PV and other hematologic disorders.</w:t>
      </w:r>
    </w:p>
    <w:p>
      <w:pPr>
        <w:pStyle w:val="TextBody"/>
        <w:bidi w:val="0"/>
        <w:spacing w:before="240" w:after="283"/>
        <w:jc w:val="both"/>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generated any revenue since our inception and do not expect to generate any revenue from the sale of products in the near future, if at all. If our development efforts are successful and result in commercialization of one or more product candidates or if we enter into collaboration or license agreements with third parties, we may generate revenue in the future from product sales, payments from such collaboration or license agreements or a combination thereof.</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consist primarily of costs incurred in connection with the research and development of our product candidates. These expenses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employee-related expenses, including salaries, benefits, and stock-based compensation expense, for personnel engaged in research and development functions;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incurred in connection with our research and development activities, including under agreements with third parties such as consultants, contractors and contract research organizations, or CROs;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related to contract development and manufacturing organizations, or CDMOs, that are primarily engaged to provide drug substance and product for our preclinical studies, clinical trials and research and development programs, as well as investigative sites and consultants that conduct our clinical trials, preclinical studies and other scientific development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acquiring and manufacturing preclinical study and clinical trial materials, including manufacturing registration and validation batches;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related to compliance with quality and regulatory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payments made under third-party licensing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expense research and development costs as incurred. Costs incurred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may be reflected in our condensed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typically use our employee and infrastructure resources across product candidates and development programs. We track external development costs by product candidate or development program, but we do not allocate personnel costs or other internal costs to specific product candidates or development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that our research and development expenses will increase substantially as we advance our programs into and through clinical development. At this time, we cannot accurately estimate or know the nature, timing and costs of the efforts that will be necessary to complete the preclinical and clinical development of any product candidates we may develop. A change in the outcome of any number of variables with respect to product candidates we may develop could significantly change the costs and timing associated with the development of that product candidate. We may never succeed in obtaining regulatory approval for any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candidates we may develop. The successful development of any product candidate is highly uncertain. This is due to the numerous risks and uncertainties associated with product development,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progress of preclinical and clinical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and scope of preclinical and clinical programs we decide to pursue;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raise additional funds necessary to complete clinical development of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new licensing or collaboration arrangements and the progress of the development efforts of third parties with whom we may enter into such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our current research and development programs and to establish new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successful initiation, enrollment and completion of clinical trials with safety, tolerability and efficacy profiles that are satisfactory to the FDA or any comparable foreign regulatory authority;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receipt and related terms of regulatory approvals from applicable regulatory authorities for any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raw materials for use in production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agreements with third-party manufacturers for supply of product candidate components for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patents, trade secret protection and regulatory exclusivity, both in the United States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protect our other rights in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commercializing product candidates, if and when approved, whether alone or in collaboration with others;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and maintaining third-party insurance coverage and adequate reimbursement for any approved products.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salaries and related costs for personnel in executive, finance, commercial, corporate and business development, and administrative functions. General and administrative expenses also include legal fees relating to patent and corporate matters, including noncapitalizable transaction costs; professional fees for accounting, auditing, tax compliance and administrative consulting services; investor and public relations expenses; commercial planning; director and officer insurance costs and other insurance costs; and facility related expenses including maintenance and allocated expenses for rent and other operating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anticipate that our general and administrative expenses will increase substantially in the future as we increase our headcount to support our continued research and development and potential commercialization of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both"/>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primarily consists of interest earned on cash equivalents, consisting of money market funds, U.S. treasury securities and certificates of deposit, and marketable securities, consisting of U.S. treasury securities and U.S. government agency securities.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Change in Fair Value of Contingent Value Right ("CVR") Liability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2022, we entered into the Contingent Value Rights Agreement (the “CVR Agreement”), described in more detail in Note 1 to our consolidated financial statements in our Annual Report on Form 10-K for the year ended December 31, 2023 and Note 3 to our unaudited condensed consolidated financial statements, which provided a CVR to pre-merger common stockholders of Gemini Therapeutics, Inc. (“Gemini”) to receive common stock from the Company upon its receipt of certain proceeds, calculated in accordance with the CVR Agreement, resulting from a disposition of Gemini’s pre-merger assets within one year after the closing of the merger. The disposition period ended December 29, 2023 and no dispositions of Gemini’s pre-merger assets were made during the disposition period. Therefore, there were no CVR payments made to the holders and there will not be any future CVR payments to the holders. Prior to December 29, 2023, the CVR liability was measured at fair value as of each reporting date and the change in the fair value for the period, if any, was recorded in the condensed consolidated statements of operations and comprehensive loss in the change in fair value of contingent value right liability. The change in fair value of the CVR liability was $1.5 million for the nine months ended September 30, 2023.</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Three Months Ended September 30,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results of operations for the three months ended September 30, 2024 and 2023 (in thousands):</w:t>
      </w:r>
    </w:p>
    <w:p>
      <w:pPr>
        <w:pStyle w:val="TextBody"/>
        <w:bidi w:val="0"/>
        <w:jc w:val="both"/>
        <w:rPr/>
      </w:pPr>
      <w:r>
        <w:rPr/>
        <w:t> </w:t>
      </w:r>
    </w:p>
    <w:tbl>
      <w:tblPr>
        <w:tblW w:w="7458" w:type="dxa"/>
        <w:jc w:val="left"/>
        <w:tblInd w:w="0" w:type="dxa"/>
        <w:tblLayout w:type="fixed"/>
        <w:tblCellMar>
          <w:top w:w="28" w:type="dxa"/>
          <w:left w:w="28" w:type="dxa"/>
          <w:bottom w:w="28" w:type="dxa"/>
          <w:right w:w="28" w:type="dxa"/>
        </w:tblCellMar>
      </w:tblPr>
      <w:tblGrid>
        <w:gridCol w:w="3236"/>
        <w:gridCol w:w="146"/>
        <w:gridCol w:w="211"/>
        <w:gridCol w:w="736"/>
        <w:gridCol w:w="166"/>
        <w:gridCol w:w="146"/>
        <w:gridCol w:w="211"/>
        <w:gridCol w:w="736"/>
        <w:gridCol w:w="166"/>
        <w:gridCol w:w="146"/>
        <w:gridCol w:w="211"/>
        <w:gridCol w:w="736"/>
        <w:gridCol w:w="611"/>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color w:val="000000"/>
              </w:rPr>
            </w:pPr>
            <w:r>
              <w:rPr>
                <w:color w:val="000000"/>
              </w:rPr>
              <w:t>​</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color w:val="000000"/>
              </w:rPr>
            </w:pPr>
            <w:r>
              <w:rPr>
                <w:color w:val="000000"/>
              </w:rPr>
              <w:t>​</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(13,898</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3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three months ended September 30, 2024 and 2023 (in thousands):</w:t>
      </w:r>
    </w:p>
    <w:p>
      <w:pPr>
        <w:pStyle w:val="TextBody"/>
        <w:bidi w:val="0"/>
        <w:jc w:val="both"/>
        <w:rPr/>
      </w:pPr>
      <w:r>
        <w:rPr/>
        <w:t> </w:t>
      </w:r>
    </w:p>
    <w:tbl>
      <w:tblPr>
        <w:tblW w:w="8479" w:type="dxa"/>
        <w:jc w:val="left"/>
        <w:tblInd w:w="0" w:type="dxa"/>
        <w:tblLayout w:type="fixed"/>
        <w:tblCellMar>
          <w:top w:w="28" w:type="dxa"/>
          <w:left w:w="28" w:type="dxa"/>
          <w:bottom w:w="28" w:type="dxa"/>
          <w:right w:w="28" w:type="dxa"/>
        </w:tblCellMar>
      </w:tblPr>
      <w:tblGrid>
        <w:gridCol w:w="4771"/>
        <w:gridCol w:w="109"/>
        <w:gridCol w:w="211"/>
        <w:gridCol w:w="676"/>
        <w:gridCol w:w="146"/>
        <w:gridCol w:w="146"/>
        <w:gridCol w:w="211"/>
        <w:gridCol w:w="676"/>
        <w:gridCol w:w="146"/>
        <w:gridCol w:w="109"/>
        <w:gridCol w:w="211"/>
        <w:gridCol w:w="676"/>
        <w:gridCol w:w="391"/>
      </w:tblGrid>
      <w:tr>
        <w:trPr/>
        <w:tc>
          <w:tcPr>
            <w:tcW w:w="4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center"/>
              <w:rPr>
                <w:color w:val="000000"/>
              </w:rPr>
            </w:pPr>
            <w:r>
              <w:rPr>
                <w:color w:val="000000"/>
              </w:rPr>
              <w:t>​</w:t>
            </w:r>
          </w:p>
        </w:tc>
        <w:tc>
          <w:tcPr>
            <w:tcW w:w="320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center"/>
              <w:rPr>
                <w:color w:val="000000"/>
              </w:rPr>
            </w:pPr>
            <w:r>
              <w:rPr>
                <w:color w:val="000000"/>
              </w:rPr>
              <w:t>​</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Bitopertin</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5,018</w:t>
            </w:r>
          </w:p>
        </w:tc>
        <w:tc>
          <w:tcPr>
            <w:tcW w:w="146" w:type="dxa"/>
            <w:tcBorders/>
            <w:shd w:fill="CFF0FC" w:val="clear"/>
            <w:vAlign w:val="center"/>
          </w:tcPr>
          <w:p>
            <w:pPr>
              <w:pStyle w:val="TableContents"/>
              <w:bidi w:val="0"/>
              <w:spacing w:before="0" w:after="283"/>
              <w:jc w:val="left"/>
              <w:rPr/>
            </w:pPr>
            <w:r>
              <w:rPr/>
              <w:t> </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391" w:type="dxa"/>
            <w:tcBorders/>
            <w:shd w:fill="CFF0FC"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DISC-3405</w:t>
            </w:r>
          </w:p>
        </w:tc>
        <w:tc>
          <w:tcPr>
            <w:tcW w:w="10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391" w:type="dxa"/>
            <w:tcBorders/>
            <w:shd w:fill="FFFFFF" w:val="clear"/>
            <w:vAlign w:val="center"/>
          </w:tcPr>
          <w:p>
            <w:pPr>
              <w:pStyle w:val="TableContents"/>
              <w:bidi w:val="0"/>
              <w:spacing w:before="0" w:after="283"/>
              <w:jc w:val="left"/>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DISC-0974</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46" w:type="dxa"/>
            <w:tcBorders/>
            <w:shd w:fill="CFF0FC" w:val="clear"/>
            <w:vAlign w:val="center"/>
          </w:tcPr>
          <w:p>
            <w:pPr>
              <w:pStyle w:val="TableContents"/>
              <w:bidi w:val="0"/>
              <w:spacing w:before="0" w:after="283"/>
              <w:jc w:val="left"/>
              <w:rPr/>
            </w:pPr>
            <w:r>
              <w:rPr/>
              <w:t> </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w:t>
            </w:r>
          </w:p>
        </w:tc>
        <w:tc>
          <w:tcPr>
            <w:tcW w:w="391" w:type="dxa"/>
            <w:tcBorders/>
            <w:shd w:fill="CFF0FC"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programs and expenses</w:t>
            </w:r>
          </w:p>
        </w:tc>
        <w:tc>
          <w:tcPr>
            <w:tcW w:w="10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91" w:type="dxa"/>
            <w:tcBorders/>
            <w:shd w:fill="FFFFFF" w:val="clear"/>
            <w:vAlign w:val="center"/>
          </w:tcPr>
          <w:p>
            <w:pPr>
              <w:pStyle w:val="TableContents"/>
              <w:bidi w:val="0"/>
              <w:spacing w:before="0" w:after="283"/>
              <w:jc w:val="left"/>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(including equity-based compensation)</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0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were $24.7 million for the three months ended September 30, 2024, compared to $14.4 million for the three months ended September 30, 2023. The increase of $10.3 million in research and development expenses was primarily due to a $3.6 million, $2.2 million, and $1.4 million increase in development expense for DISC-0974, bitopertin, and DISC-3405, respectively, each related to increased clinical study and drug manufacturing activity. Personnel-related costs also increased $2.9 million related to higher research and development headcount, including an increase of $1.2 million in stock-based compensation driven by the Company's annual grant to employees in January 2024.</w:t>
      </w:r>
    </w:p>
    <w:p>
      <w:pPr>
        <w:pStyle w:val="TextBody"/>
        <w:bidi w:val="0"/>
        <w:spacing w:before="24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general and administrative expenses for the three months ended September 30, 2024 and 2023 (in thousands):</w:t>
      </w:r>
    </w:p>
    <w:p>
      <w:pPr>
        <w:pStyle w:val="TextBody"/>
        <w:bidi w:val="0"/>
        <w:jc w:val="both"/>
        <w:rPr/>
      </w:pPr>
      <w:r>
        <w:rPr/>
        <w:t> </w:t>
      </w:r>
    </w:p>
    <w:tbl>
      <w:tblPr>
        <w:tblW w:w="8184" w:type="dxa"/>
        <w:jc w:val="left"/>
        <w:tblInd w:w="0" w:type="dxa"/>
        <w:tblLayout w:type="fixed"/>
        <w:tblCellMar>
          <w:top w:w="28" w:type="dxa"/>
          <w:left w:w="28" w:type="dxa"/>
          <w:bottom w:w="28" w:type="dxa"/>
          <w:right w:w="28" w:type="dxa"/>
        </w:tblCellMar>
      </w:tblPr>
      <w:tblGrid>
        <w:gridCol w:w="4771"/>
        <w:gridCol w:w="109"/>
        <w:gridCol w:w="211"/>
        <w:gridCol w:w="571"/>
        <w:gridCol w:w="146"/>
        <w:gridCol w:w="146"/>
        <w:gridCol w:w="211"/>
        <w:gridCol w:w="571"/>
        <w:gridCol w:w="146"/>
        <w:gridCol w:w="109"/>
        <w:gridCol w:w="211"/>
        <w:gridCol w:w="571"/>
        <w:gridCol w:w="411"/>
      </w:tblGrid>
      <w:tr>
        <w:trPr/>
        <w:tc>
          <w:tcPr>
            <w:tcW w:w="4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center"/>
              <w:rPr>
                <w:color w:val="000000"/>
              </w:rPr>
            </w:pPr>
            <w:r>
              <w:rPr>
                <w:color w:val="000000"/>
              </w:rPr>
              <w:t>​</w:t>
            </w:r>
          </w:p>
        </w:tc>
        <w:tc>
          <w:tcPr>
            <w:tcW w:w="28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center"/>
              <w:rPr>
                <w:color w:val="000000"/>
              </w:rPr>
            </w:pPr>
            <w:r>
              <w:rPr>
                <w:color w:val="000000"/>
              </w:rPr>
              <w:t>​</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(including equity-based compensation)</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w:t>
            </w:r>
          </w:p>
        </w:tc>
        <w:tc>
          <w:tcPr>
            <w:tcW w:w="146" w:type="dxa"/>
            <w:tcBorders/>
            <w:shd w:fill="CFF0FC" w:val="clear"/>
            <w:vAlign w:val="center"/>
          </w:tcPr>
          <w:p>
            <w:pPr>
              <w:pStyle w:val="TableContents"/>
              <w:bidi w:val="0"/>
              <w:spacing w:before="0" w:after="283"/>
              <w:jc w:val="left"/>
              <w:rPr/>
            </w:pPr>
            <w:r>
              <w:rPr/>
              <w:t> </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411" w:type="dxa"/>
            <w:tcBorders/>
            <w:shd w:fill="CFF0FC"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consulting and professional fees</w:t>
            </w:r>
          </w:p>
        </w:tc>
        <w:tc>
          <w:tcPr>
            <w:tcW w:w="10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411" w:type="dxa"/>
            <w:tcBorders/>
            <w:shd w:fill="FFFFFF" w:val="clear"/>
            <w:vAlign w:val="center"/>
          </w:tcPr>
          <w:p>
            <w:pPr>
              <w:pStyle w:val="TableContents"/>
              <w:bidi w:val="0"/>
              <w:spacing w:before="0" w:after="283"/>
              <w:jc w:val="left"/>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0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General and administrative expenses were $8.2 million for the three months ended September 30, 2024, compared to $4.5 million for the three months ended September 30, 2023. The increase of $3.6 million in general and administrative expenses was primarily due to a $2.8 million increase in personnel-related costs due to higher general and administrative headcount, including an increase of $1.8 million in stock-based compensation driven by the Company's annual grant to employees in January 2024.</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(expense), net was $6.4 million for the three months ended September 30, 2024, compared to other income (expense), net of $4.9 million for the three months ended September 30, 2023. The change of $1.5 million in other income (expense), net was primarily due to an increase in interest income based on larger cash, cash equivalents, and marketable securities balances.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Income tax expense was $0.1 million for the three months ended September 30, 2024, compared to less than $0.1 million for the three months ended September 30, 2023. This expense relates to state income tax resulting from interest income.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Nine Months Ended September 30,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results of operations for the nine months ended September 30, 2024 and 2023 (in thousands):</w:t>
      </w:r>
    </w:p>
    <w:p>
      <w:pPr>
        <w:pStyle w:val="TextBody"/>
        <w:bidi w:val="0"/>
        <w:jc w:val="both"/>
        <w:rPr/>
      </w:pPr>
      <w:r>
        <w:rPr/>
        <w:t> </w:t>
      </w:r>
    </w:p>
    <w:tbl>
      <w:tblPr>
        <w:tblW w:w="8968" w:type="dxa"/>
        <w:jc w:val="left"/>
        <w:tblInd w:w="0" w:type="dxa"/>
        <w:tblLayout w:type="fixed"/>
        <w:tblCellMar>
          <w:top w:w="28" w:type="dxa"/>
          <w:left w:w="28" w:type="dxa"/>
          <w:bottom w:w="28" w:type="dxa"/>
          <w:right w:w="28" w:type="dxa"/>
        </w:tblCellMar>
      </w:tblPr>
      <w:tblGrid>
        <w:gridCol w:w="4746"/>
        <w:gridCol w:w="146"/>
        <w:gridCol w:w="211"/>
        <w:gridCol w:w="736"/>
        <w:gridCol w:w="166"/>
        <w:gridCol w:w="146"/>
        <w:gridCol w:w="211"/>
        <w:gridCol w:w="736"/>
        <w:gridCol w:w="166"/>
        <w:gridCol w:w="146"/>
        <w:gridCol w:w="211"/>
        <w:gridCol w:w="736"/>
        <w:gridCol w:w="611"/>
      </w:tblGrid>
      <w:tr>
        <w:trPr/>
        <w:tc>
          <w:tcPr>
            <w:tcW w:w="4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7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color w:val="000000"/>
              </w:rPr>
            </w:pPr>
            <w:r>
              <w:rPr>
                <w:color w:val="000000"/>
              </w:rPr>
              <w:t>​</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color w:val="000000"/>
              </w:rPr>
            </w:pPr>
            <w:r>
              <w:rPr>
                <w:color w:val="000000"/>
              </w:rPr>
              <w:t>​</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7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(33,759</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7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contingent value right liability</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nine months ended September 30, 2024 and 2023 (in thousands):</w:t>
      </w:r>
    </w:p>
    <w:p>
      <w:pPr>
        <w:pStyle w:val="TextBody"/>
        <w:bidi w:val="0"/>
        <w:jc w:val="both"/>
        <w:rPr/>
      </w:pPr>
      <w:r>
        <w:rPr/>
        <w:t> </w:t>
      </w:r>
    </w:p>
    <w:tbl>
      <w:tblPr>
        <w:tblW w:w="8479" w:type="dxa"/>
        <w:jc w:val="left"/>
        <w:tblInd w:w="0" w:type="dxa"/>
        <w:tblLayout w:type="fixed"/>
        <w:tblCellMar>
          <w:top w:w="28" w:type="dxa"/>
          <w:left w:w="28" w:type="dxa"/>
          <w:bottom w:w="28" w:type="dxa"/>
          <w:right w:w="28" w:type="dxa"/>
        </w:tblCellMar>
      </w:tblPr>
      <w:tblGrid>
        <w:gridCol w:w="4771"/>
        <w:gridCol w:w="109"/>
        <w:gridCol w:w="211"/>
        <w:gridCol w:w="676"/>
        <w:gridCol w:w="146"/>
        <w:gridCol w:w="146"/>
        <w:gridCol w:w="211"/>
        <w:gridCol w:w="676"/>
        <w:gridCol w:w="146"/>
        <w:gridCol w:w="109"/>
        <w:gridCol w:w="211"/>
        <w:gridCol w:w="676"/>
        <w:gridCol w:w="391"/>
      </w:tblGrid>
      <w:tr>
        <w:trPr/>
        <w:tc>
          <w:tcPr>
            <w:tcW w:w="4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center"/>
              <w:rPr>
                <w:color w:val="000000"/>
              </w:rPr>
            </w:pPr>
            <w:r>
              <w:rPr>
                <w:color w:val="000000"/>
              </w:rPr>
              <w:t>​</w:t>
            </w:r>
          </w:p>
        </w:tc>
        <w:tc>
          <w:tcPr>
            <w:tcW w:w="320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center"/>
              <w:rPr>
                <w:color w:val="000000"/>
              </w:rPr>
            </w:pPr>
            <w:r>
              <w:rPr>
                <w:color w:val="000000"/>
              </w:rPr>
              <w:t>​</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Bitopertin</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11,780</w:t>
            </w:r>
          </w:p>
        </w:tc>
        <w:tc>
          <w:tcPr>
            <w:tcW w:w="146" w:type="dxa"/>
            <w:tcBorders/>
            <w:shd w:fill="CFF0FC" w:val="clear"/>
            <w:vAlign w:val="center"/>
          </w:tcPr>
          <w:p>
            <w:pPr>
              <w:pStyle w:val="TableContents"/>
              <w:bidi w:val="0"/>
              <w:spacing w:before="0" w:after="283"/>
              <w:jc w:val="left"/>
              <w:rPr/>
            </w:pPr>
            <w:r>
              <w:rPr/>
              <w:t> </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8,962</w:t>
            </w:r>
          </w:p>
        </w:tc>
        <w:tc>
          <w:tcPr>
            <w:tcW w:w="391" w:type="dxa"/>
            <w:tcBorders/>
            <w:shd w:fill="CFF0FC"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DISC-3405</w:t>
            </w:r>
          </w:p>
        </w:tc>
        <w:tc>
          <w:tcPr>
            <w:tcW w:w="10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12,373</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DISC-0974</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6,730</w:t>
            </w:r>
          </w:p>
        </w:tc>
        <w:tc>
          <w:tcPr>
            <w:tcW w:w="146" w:type="dxa"/>
            <w:tcBorders/>
            <w:shd w:fill="CFF0FC" w:val="clear"/>
            <w:vAlign w:val="center"/>
          </w:tcPr>
          <w:p>
            <w:pPr>
              <w:pStyle w:val="TableContents"/>
              <w:bidi w:val="0"/>
              <w:spacing w:before="0" w:after="283"/>
              <w:jc w:val="left"/>
              <w:rPr/>
            </w:pPr>
            <w:r>
              <w:rPr/>
              <w:t> </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w:t>
            </w:r>
          </w:p>
        </w:tc>
        <w:tc>
          <w:tcPr>
            <w:tcW w:w="391" w:type="dxa"/>
            <w:tcBorders/>
            <w:shd w:fill="CFF0FC"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programs and expenses</w:t>
            </w:r>
          </w:p>
        </w:tc>
        <w:tc>
          <w:tcPr>
            <w:tcW w:w="10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5,349</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391" w:type="dxa"/>
            <w:tcBorders/>
            <w:shd w:fill="FFFFFF" w:val="clear"/>
            <w:vAlign w:val="center"/>
          </w:tcPr>
          <w:p>
            <w:pPr>
              <w:pStyle w:val="TableContents"/>
              <w:bidi w:val="0"/>
              <w:spacing w:before="0" w:after="283"/>
              <w:jc w:val="left"/>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(including equity-based compensation)</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0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were $71.9 million for the nine months ended September 30, 2024, compared to $46.7 million for the nine months ended September 30, 2023. The increase of $25.2 million in research and development expenses was primarily due to a $9.0 million increase in personnel-related costs related to higher research and development headcount, including an increase of $3.7 million in stock-based compensation driven by the Company's annual grant to employees in January 2024 and a $9.0 million and $6.0 million increase in development expense related to increased clinical study and drug manufacturing activity for bitopertin and DISC-0974, respectively; partially offset by a $0.6 million decrease related to the DISC-3405 program which incurred $10.0 million in an upfront license fee in the nine months ended September 30, 2023, offset by the increase in development expense in the nine months ended September 30, 2024 related to increased clinical study and drug manufacturing activity.</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general and administrative expenses for the nine months ended September 30, 2024 and 2023 (in thousands):</w:t>
      </w:r>
    </w:p>
    <w:p>
      <w:pPr>
        <w:pStyle w:val="TextBody"/>
        <w:bidi w:val="0"/>
        <w:jc w:val="both"/>
        <w:rPr/>
      </w:pPr>
      <w:r>
        <w:rPr/>
        <w:t> </w:t>
      </w:r>
    </w:p>
    <w:tbl>
      <w:tblPr>
        <w:tblW w:w="8394" w:type="dxa"/>
        <w:jc w:val="left"/>
        <w:tblInd w:w="0" w:type="dxa"/>
        <w:tblLayout w:type="fixed"/>
        <w:tblCellMar>
          <w:top w:w="28" w:type="dxa"/>
          <w:left w:w="28" w:type="dxa"/>
          <w:bottom w:w="28" w:type="dxa"/>
          <w:right w:w="28" w:type="dxa"/>
        </w:tblCellMar>
      </w:tblPr>
      <w:tblGrid>
        <w:gridCol w:w="4771"/>
        <w:gridCol w:w="109"/>
        <w:gridCol w:w="211"/>
        <w:gridCol w:w="676"/>
        <w:gridCol w:w="146"/>
        <w:gridCol w:w="146"/>
        <w:gridCol w:w="211"/>
        <w:gridCol w:w="676"/>
        <w:gridCol w:w="146"/>
        <w:gridCol w:w="109"/>
        <w:gridCol w:w="211"/>
        <w:gridCol w:w="571"/>
        <w:gridCol w:w="411"/>
      </w:tblGrid>
      <w:tr>
        <w:trPr/>
        <w:tc>
          <w:tcPr>
            <w:tcW w:w="4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center"/>
              <w:rPr>
                <w:color w:val="000000"/>
              </w:rPr>
            </w:pPr>
            <w:r>
              <w:rPr>
                <w:color w:val="000000"/>
              </w:rPr>
              <w:t>​</w:t>
            </w:r>
          </w:p>
        </w:tc>
        <w:tc>
          <w:tcPr>
            <w:tcW w:w="310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center"/>
              <w:rPr>
                <w:color w:val="000000"/>
              </w:rPr>
            </w:pPr>
            <w:r>
              <w:rPr>
                <w:color w:val="000000"/>
              </w:rPr>
              <w:t>​</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(including equity-based compensation)</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6,772</w:t>
            </w:r>
          </w:p>
        </w:tc>
        <w:tc>
          <w:tcPr>
            <w:tcW w:w="146" w:type="dxa"/>
            <w:tcBorders/>
            <w:shd w:fill="CFF0FC" w:val="clear"/>
            <w:vAlign w:val="center"/>
          </w:tcPr>
          <w:p>
            <w:pPr>
              <w:pStyle w:val="TableContents"/>
              <w:bidi w:val="0"/>
              <w:spacing w:before="0" w:after="283"/>
              <w:jc w:val="left"/>
              <w:rPr/>
            </w:pPr>
            <w:r>
              <w:rPr/>
              <w:t> </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7,734</w:t>
            </w:r>
          </w:p>
        </w:tc>
        <w:tc>
          <w:tcPr>
            <w:tcW w:w="411" w:type="dxa"/>
            <w:tcBorders/>
            <w:shd w:fill="CFF0FC"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consulting and professional fees</w:t>
            </w:r>
          </w:p>
        </w:tc>
        <w:tc>
          <w:tcPr>
            <w:tcW w:w="10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411" w:type="dxa"/>
            <w:tcBorders/>
            <w:shd w:fill="FFFFFF" w:val="clear"/>
            <w:vAlign w:val="center"/>
          </w:tcPr>
          <w:p>
            <w:pPr>
              <w:pStyle w:val="TableContents"/>
              <w:bidi w:val="0"/>
              <w:spacing w:before="0" w:after="283"/>
              <w:jc w:val="left"/>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0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General and administrative expenses were $23.3 million for the nine months ended September 30, 2024, compared to $14.7 million for the nine months ended September 30, 2023. The increase of $8.6 million in general and administrative expenses was primarily due to an increase of $7.7 million in personnel-related costs due to higher general and administrative headcount, including an increase of $5.1 million in stock-based compensation driven by the Company's annual grant to employees in January 2024.</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(expense), net was $15.4 million for the nine months ended September 30, 2024, compared to other income (expense), net of $8.6 million for the nine months ended September 30, 2023. The change of $6.8 million in other income (expense), net was primarily due to an increase in interest income based on larger cash, cash equivalents, and marketable securities balances and a decrease in expense of $1.5 million due to the disposition period of the CVR liability ending in December 2023.</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Income tax expense was $0.2 million for the nine months ended September 30, 2024, compared to $0.1 million for the nine months ended September 30, 2023. This expense relates to state income tax resulting from interest income.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our inception, we have not generated any revenue from product sales and have incurred significant operating losses. We expect to continue to incur significant expenses and operating losses in the foreseeable future as we advance the clinical development of our product candidates. We expect that our research and development and general and administrative costs will continue to increase significantly, including in connection with conducting clinical trials and manufacturing for our product candidates to support commercialization and providing general and administrative support for our operations, including the costs associated with operating as a public company. As a result, we will need additional capital to fund our operations, which we may obtain from additional equity or debt financings, collaborations, licensing arrangements or other sources. See “Risk Factors” for additional risks associated with our substantial capital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funded our operations primarily with proceeds from the sale of our convertible preferred stock and common stock, the proceeds from the merger with Gemini, proceeds from at-the-market offerings, proceeds from a registered direct offering, proceeds from a follow-on public offering, proceeds from an underwritten offering, and proceeds from borrowing under the Hercules Loan Agreement described below. Through September 30, 2024, we have received net proceeds of $144.5 million from sales of our Series Seed, Series A and Series B convertible preferred stock, $89.5 million from the merger with Gemini, $53.5 million from sales of common stock in a pre-closing private financing, $62.4 million from sales of common stock and pre-funded warrants in a registered direct offering, $147.9 million from sales of common stock and pre-funded warrants in a public follow-on offering, $172.5 million from sales of common stock in an underwritten offering and $41.3 million from at-the-market offerings. As of September 30, 2024, we had cash, cash equivalents, and marketable securities of $487.4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in November 2024, we and certain of our subsidiaries, collectively referred to as the Borrower, entered into a Loan and Security Agreement, or the Hercules Loan Agreement, with the lenders party thereto and Hercules Capital, Inc., as administrative agent and collateral agent, providing for up to $200.0 million of senior secured term loans available to Borrower in multiple tranches, including an initial $30.0 million advance funded on November 6, 2024. The Hercules Loan Agreement is described in more detail in Note 17 to our unaudited condensed consolidated financial statements contained in Part I, Item I of this Quarterly Report on Form 10-Q.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incurred significant operating losses since inception and, as of September 30, 2024, had an accumulated deficit of $268.5 million. In addition, we expect to continue to incur significant and increasing expenses and operating losses for the foreseeable future. We believe that our current cash resources, including our borrowing of $30.0 million under the Hercules Loan Agreement as of November 6, 2024, will enable us to fund our current planned operating expense and capital expenditure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requirements well into 2027. We may also pursue additional cash resources through public or private equity offerings, collaborations or additional debt financings.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provides information regarding our cash flows for each period presented (in thousands):</w:t>
      </w:r>
    </w:p>
    <w:p>
      <w:pPr>
        <w:pStyle w:val="TextBody"/>
        <w:bidi w:val="0"/>
        <w:jc w:val="both"/>
        <w:rPr/>
      </w:pPr>
      <w:r>
        <w:rPr/>
        <w:t> </w:t>
      </w:r>
    </w:p>
    <w:tbl>
      <w:tblPr>
        <w:tblW w:w="8205" w:type="dxa"/>
        <w:jc w:val="left"/>
        <w:tblInd w:w="0" w:type="dxa"/>
        <w:tblLayout w:type="fixed"/>
        <w:tblCellMar>
          <w:top w:w="28" w:type="dxa"/>
          <w:left w:w="28" w:type="dxa"/>
          <w:bottom w:w="28" w:type="dxa"/>
          <w:right w:w="28" w:type="dxa"/>
        </w:tblCellMar>
      </w:tblPr>
      <w:tblGrid>
        <w:gridCol w:w="5566"/>
        <w:gridCol w:w="109"/>
        <w:gridCol w:w="211"/>
        <w:gridCol w:w="841"/>
        <w:gridCol w:w="166"/>
        <w:gridCol w:w="109"/>
        <w:gridCol w:w="211"/>
        <w:gridCol w:w="781"/>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center"/>
              <w:rPr>
                <w:color w:val="000000"/>
              </w:rPr>
            </w:pPr>
            <w:r>
              <w:rPr>
                <w:color w:val="000000"/>
              </w:rPr>
              <w:t>​</w:t>
            </w:r>
          </w:p>
        </w:tc>
        <w:tc>
          <w:tcPr>
            <w:tcW w:w="23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center"/>
              <w:rPr>
                <w:color w:val="000000"/>
              </w:rPr>
            </w:pPr>
            <w:r>
              <w:rPr>
                <w:color w:val="000000"/>
              </w:rPr>
              <w:t>​</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99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0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(66,353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(55,666</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(290,906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0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cash flows from operating activities are greatly influenced by our use of cash for operating expenses and working capital requirements to support our business. We have historically experienced negative cash flows from operating activities as we invested in developing our portfolio, drug discovery efforts, conducting clinical trials and manufacturing, and related infrastructure. The cash used in operating activities resulted primarily from our net losses adjusted for non-cash charges and changes in components of operating assets and liabilities, which are primarily the result of increased expenses and timing of vendor payments.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nine months ended September 30, 2024, net cash used in operating activities of $66.4 million was primarily due to our net loss of $79.9 million, which includes interest income of $15.5 million; partially offset by non-cash expenses of $9.8 million primarily related to stock-based compensation expense of $12.5 million offset by amortization/accretion of investment securities of $3.1 million and changes in operating assets and liabilities of $3.7 million, including a reduction in accounts payable for the payment of a milestone payment of $5.0 million to Mabwell.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nine months ended September 30, 2023, net cash used in operating activities of $55.7 million was primarily due to our net loss of $52.9 million and a decrease in operating liabilities of $8.5 million primarily related to the payment of merger-related costs which were included in accounts payable at December 31, 2022, partially offset by non-cash expenses of $5.4 million primarily related to stock-based compensation expense of $3.6 million and the change in fair value of the contingent value right liability of $1.5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nine months ended September 30, 2024, net cash used in investing activities was primarily due to purchases of marketable securities of $313.9 million, partially offset by maturities of marketable securities of $23.0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nine months ended September 30, 2023, net cash used in investing activities was due to purchases of property and equipment.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nine months ended September 30, 2024, net cash provided by financing activities of $189.5 million consisted primarily of cash net proceeds of $172.5 million from the underwritten offering and aggregate net proceeds of $14.8 million from at-the-market offerings.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nine months ended September 30, 2023, net cash provided by financing activities of $231.6 million consisted primarily of aggregate net proceeds of $147.9 million from sales of common stock and pre-funded warrants in a public follow-on offering, aggregate net proceeds of $62.4 million from sales of common stock and pre-funded warrants in a registered direct offering and aggregate net proceeds of $19.5 million from at-the-market offerings.</w:t>
      </w:r>
    </w:p>
    <w:p>
      <w:pPr>
        <w:pStyle w:val="TextBody"/>
        <w:bidi w:val="0"/>
        <w:spacing w:before="240" w:after="283"/>
        <w:jc w:val="both"/>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expenses to increase substantially in connection with our ongoing activities, particularly as we advance our product candidates into and through clinical development and operate as a public company. Our funding requirements and the timing and amount of our operating expenditures will depend largely 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progress, timing, costs and results of preclinical studies and clinical trials for our product candidates or any future product candidates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or regulations applicable to any product candidates we may develop, including but not limited to clinical trial requirements for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obtaining materials to produce adequate product supply for any preclinical or clinical development of any product candidate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strategic collaborations, licensing or other arrangements and the financial terms of such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payment or receipt of milestones, royalties and other collaboration-based revenues,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product candidate we may develop for which we obtain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 and timing of revenue, if any, received from commercial sales of our product candidates for which we receive marketing approval;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legal costs involved in prosecuting patent applications and enforcing patent claims and other intellectual property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Until such time, if ever, as we can generate substantial revenue from product sales,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To the extent that we raise additional capital through the sale of equity or convertible debt securities, the ownership interest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pStyle w:val="TextBody"/>
        <w:bidi w:val="0"/>
        <w:spacing w:before="240" w:after="283"/>
        <w:jc w:val="both"/>
        <w:rPr>
          <w:rFonts w:ascii="Times New Roman" w:hAnsi="Times New Roman"/>
          <w:sz w:val="20"/>
        </w:rPr>
      </w:pPr>
      <w:r>
        <w:rPr>
          <w:rFonts w:ascii="Times New Roman" w:hAnsi="Times New Roman"/>
          <w:b/>
          <w:color w:val="000000"/>
          <w:sz w:val="20"/>
        </w:rPr>
        <w:t>Contractual Obligations and Other Commitments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contractual obligations as of September 30, 2024 and the effects that such obligations are expected to have on our liquidity and cash flows in future periods (in thousands):</w:t>
      </w:r>
    </w:p>
    <w:p>
      <w:pPr>
        <w:pStyle w:val="TextBody"/>
        <w:bidi w:val="0"/>
        <w:jc w:val="both"/>
        <w:rPr/>
      </w:pPr>
      <w:r>
        <w:rPr/>
        <w:t> </w:t>
      </w:r>
    </w:p>
    <w:tbl>
      <w:tblPr>
        <w:tblW w:w="8347" w:type="dxa"/>
        <w:jc w:val="left"/>
        <w:tblInd w:w="0" w:type="dxa"/>
        <w:tblLayout w:type="fixed"/>
        <w:tblCellMar>
          <w:top w:w="28" w:type="dxa"/>
          <w:left w:w="28" w:type="dxa"/>
          <w:bottom w:w="28" w:type="dxa"/>
          <w:right w:w="28" w:type="dxa"/>
        </w:tblCellMar>
      </w:tblPr>
      <w:tblGrid>
        <w:gridCol w:w="2851"/>
        <w:gridCol w:w="109"/>
        <w:gridCol w:w="211"/>
        <w:gridCol w:w="571"/>
        <w:gridCol w:w="146"/>
        <w:gridCol w:w="109"/>
        <w:gridCol w:w="290"/>
        <w:gridCol w:w="580"/>
        <w:gridCol w:w="146"/>
        <w:gridCol w:w="109"/>
        <w:gridCol w:w="211"/>
        <w:gridCol w:w="571"/>
        <w:gridCol w:w="146"/>
        <w:gridCol w:w="109"/>
        <w:gridCol w:w="211"/>
        <w:gridCol w:w="571"/>
        <w:gridCol w:w="146"/>
        <w:gridCol w:w="109"/>
        <w:gridCol w:w="320"/>
        <w:gridCol w:w="640"/>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center"/>
              <w:rPr>
                <w:color w:val="000000"/>
              </w:rPr>
            </w:pPr>
            <w:r>
              <w:rPr>
                <w:color w:val="000000"/>
              </w:rPr>
              <w:t>​</w:t>
            </w:r>
          </w:p>
        </w:tc>
        <w:tc>
          <w:tcPr>
            <w:tcW w:w="519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center"/>
              <w:rPr>
                <w:color w:val="000000"/>
              </w:rPr>
            </w:pPr>
            <w:r>
              <w:rPr>
                <w:color w:val="000000"/>
              </w:rPr>
              <w:t>​</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Less Than </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1 to 3 </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3 to 5 </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More Than </w:t>
              <w:br/>
              <w:t>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commitments</w:t>
            </w:r>
            <w:r>
              <w:rPr>
                <w:rFonts w:ascii="Times New Roman" w:hAnsi="Times New Roman"/>
                <w:color w:val="000000"/>
                <w:sz w:val="13"/>
              </w:rPr>
              <w:t>(1)(2)</w:t>
            </w:r>
          </w:p>
        </w:tc>
        <w:tc>
          <w:tcPr>
            <w:tcW w:w="10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0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16"/>
        </w:rPr>
      </w:pPr>
      <w:r>
        <w:rPr>
          <w:rFonts w:ascii="Times New Roman" w:hAnsi="Times New Roman"/>
          <w:color w:val="000000"/>
          <w:sz w:val="16"/>
        </w:rPr>
        <w:t>(1) Amounts reflect contractual rent payments due for our leased and subleased office spaces in Watertown, Massachusetts as of September 30, 2024 and include contractual payments due under our forward-starting lease which is expected to commence in December 2026. The term date for our existing lease is December 31, 2029 and the term date for our existing sublease is November 30, 2026.</w:t>
      </w:r>
    </w:p>
    <w:p>
      <w:pPr>
        <w:pStyle w:val="TextBody"/>
        <w:bidi w:val="0"/>
        <w:jc w:val="both"/>
        <w:rPr>
          <w:rFonts w:ascii="Times New Roman" w:hAnsi="Times New Roman"/>
          <w:color w:val="000000"/>
          <w:sz w:val="16"/>
        </w:rPr>
      </w:pPr>
      <w:r>
        <w:rPr>
          <w:rFonts w:ascii="Times New Roman" w:hAnsi="Times New Roman"/>
          <w:color w:val="000000"/>
          <w:sz w:val="16"/>
        </w:rPr>
        <w:t>(2) Table excludes the impact of tenant improvement allowance reimbursements of $0.8 million which are expected to be received in less than one year. Of this total, $0.5 million relates to our existing leased office space and $0.3 million relates to our forward-starting 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 into contracts in the normal course of business with CROs, CDMOs and other third parties for preclinical studies, clinical trials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CDMOs, may include non-cancelable fees. These payments are not included in the table above as the amount and timing of such payments are not fixed and estimable.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also entered into license agreements under which we are obligated to make specified milestone and royalty payments. We have not included future payments under these agreements in the table of contractual obligations above since the payment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obligations under these agreements are contingent upon future events such as regulatory milestones or generating product sales. We are unable to estimate the timing or likelihood of achieving these milestones or generating future product sales. For additional information about our license agreements and amounts that could become payable in the future under such agreements, see our condensed consolidated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management’s discussion and analysis of our financial condition and results of operations is based on our condensed consolidated financial statements, which have been prepared in accordance with U.S. generally accepted accounting principles, or GAAP. The preparation of our condensed consolidated financial statements and related disclosures requires us to make estimates and judgments that affect the reported amounts of assets,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See our Annual Report on Form 10-K for the year ended December 31, 2023 for more </w:t>
      </w:r>
      <w:r>
        <w:rPr>
          <w:rFonts w:ascii="Times New Roman" w:hAnsi="Times New Roman"/>
          <w:color w:val="212529"/>
          <w:sz w:val="20"/>
        </w:rPr>
        <w:t>information about critical accounting policies as well as a description of our other significant accounting policies</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material changes to our critical accounting estimates from those described in Part II, Item 7. “Management’s Discussion and Analysis of Financial Condition and Results of Operations” included in our Annual Report on Form 10-K for the year ended December 31, 2023.</w:t>
      </w:r>
    </w:p>
    <w:p>
      <w:pPr>
        <w:pStyle w:val="TextBody"/>
        <w:bidi w:val="0"/>
        <w:spacing w:before="240" w:after="283"/>
        <w:jc w:val="both"/>
        <w:rPr>
          <w:rFonts w:ascii="Times New Roman" w:hAnsi="Times New Roman"/>
          <w:sz w:val="20"/>
        </w:rPr>
      </w:pPr>
      <w:r>
        <w:rPr>
          <w:rFonts w:ascii="Times New Roman" w:hAnsi="Times New Roman"/>
          <w:b/>
          <w:color w:val="000000"/>
          <w:sz w:val="20"/>
        </w:rPr>
        <w:t>Recently Issued and Adopted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description of recently issued and certain recently adopted accounting pronouncements that have or may potentially impact our financial position and results of operations is included in Note 2 to our consolidated financial statements in our Annual Report on Form 10-K for the year ended December 31, 2023.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We will remain an emerging growth company until the earlier of (1) the last day of the fiscal year (a) following the fifth anniversary of the closing of our initial public offering which occurred in August 2020, (b) in which we have total annual gross revenue of at least $1.235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2" w:name="item_3_quantitative_and_qualitative"/>
      <w:bookmarkEnd w:id="12"/>
      <w:r>
        <w:rPr>
          <w:rFonts w:ascii="Times New Roman" w:hAnsi="Times New Roman"/>
          <w:b/>
          <w:color w:val="000000"/>
          <w:sz w:val="20"/>
        </w:rPr>
        <w:t>ITEM 3. QUANTITATIVE AND QUALITATIVE DISCLOSURES ABOUT MARKET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September 30, 2024, we had cash, cash equivalents, and marketable securities of $487.4 million, which consisted of cash, money market funds, U.S. treasury securities and U.S. government agency securities, which are classified as available-for-sale securities. As of December 31, 2023, we had cash and cash equivalents of $360.4 million, which consisted of cash, money market funds and U.S. treasury securities. Our primary investment objectives are the preservation of capital and the maintenance of liquidity, and our investment policy defines allowable investments based on quality of the institutions and financial instruments designed to minimize risk exposure. Our exposure to interest rate sensitivity is affected by changes in the general level of U.S. interest rates. Our marketable securities are subject to interest rate risk and will fall in value if market interest rates increase. Due to the short-term maturities and low risk profiles of our investments, we do not anticipate a significant exposure to interest rate risk. If market interest rates were to increase immediately and uniformly by one percentage point from levels as of September 30, 2024, the net fair value of our marketable securities would decrease by approximately $1.4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Inflation generally affects us by increasing our cost of labor and contract research. We do not believe that inflation had a material effect on our business, financial condition or results of operations during the nine months ended September 30, 2024 and 2023.</w:t>
      </w:r>
    </w:p>
    <w:p>
      <w:pPr>
        <w:pStyle w:val="TextBody"/>
        <w:bidi w:val="0"/>
        <w:spacing w:before="240" w:after="283"/>
        <w:jc w:val="both"/>
        <w:rPr>
          <w:rFonts w:ascii="Times New Roman" w:hAnsi="Times New Roman"/>
          <w:b/>
          <w:color w:val="000000"/>
          <w:sz w:val="20"/>
        </w:rPr>
      </w:pPr>
      <w:bookmarkStart w:id="13" w:name="item_4_controls_and_procedures"/>
      <w:bookmarkEnd w:id="13"/>
      <w:r>
        <w:rPr>
          <w:rFonts w:ascii="Times New Roman" w:hAnsi="Times New Roman"/>
          <w:b/>
          <w:color w:val="000000"/>
          <w:sz w:val="20"/>
        </w:rPr>
        <w:t>ITEM 4. CONTROLS AND PROCEDURES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under the supervision and with the participation of our Principal Executive Officer (our Chief Executive Officer) and Principal Financial Officer (our Chief Financial Officer), has evaluated the effectiveness of our disclosure controls and procedures as of September 30,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2024, our Principal Executive Officer and Principal Financial Officer concluded that, as of such date, our disclosure controls and procedures were effective at the reasonable assurance level.</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change in our internal control over financial reporting (as defined in Rules 13a-15(f) and 15d-15(f) under the Exchange Act) occurred during the nine months ended September 30, 2024 that has materially affected, or is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part_ii"/>
      <w:bookmarkEnd w:id="14"/>
      <w:r>
        <w:rPr>
          <w:rFonts w:ascii="Times New Roman" w:hAnsi="Times New Roman"/>
          <w:b/>
          <w:color w:val="000000"/>
          <w:sz w:val="20"/>
        </w:rPr>
        <w:t>PART II</w:t>
      </w:r>
      <w:r>
        <w:rPr>
          <w:rFonts w:ascii="Times New Roman" w:hAnsi="Times New Roman"/>
          <w:color w:val="000000"/>
          <w:sz w:val="20"/>
        </w:rPr>
        <w:t>—</w:t>
      </w:r>
      <w:r>
        <w:rPr>
          <w:rFonts w:ascii="Times New Roman" w:hAnsi="Times New Roman"/>
          <w:b/>
          <w:color w:val="000000"/>
          <w:sz w:val="20"/>
        </w:rPr>
        <w:t>OTHER INFORMATION</w:t>
      </w:r>
    </w:p>
    <w:p>
      <w:pPr>
        <w:pStyle w:val="TextBody"/>
        <w:bidi w:val="0"/>
        <w:spacing w:before="240" w:after="283"/>
        <w:jc w:val="both"/>
        <w:rPr>
          <w:rFonts w:ascii="Times New Roman" w:hAnsi="Times New Roman"/>
          <w:b/>
          <w:color w:val="000000"/>
          <w:sz w:val="20"/>
        </w:rPr>
      </w:pPr>
      <w:bookmarkStart w:id="15" w:name="item_1_legal_proceedings"/>
      <w:bookmarkEnd w:id="15"/>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pStyle w:val="TextBody"/>
        <w:bidi w:val="0"/>
        <w:spacing w:before="240" w:after="283"/>
        <w:jc w:val="both"/>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Set forth below are the risks that we believe are material to our investors and they should be carefully considered. If any of the following risks and uncertainties actually occurs, our business, prospects, financial condition and results of operations could be materially and adversely affected. The risks described below are not intended to be exhaustive and other factors not presently known to us or that we currently believe are immaterial may affect our business, prospects, financial condition and results of operations if they occur. This section contains forward-looking statements. You should refer to the explanation of the qualifications and limitations on forward-looking statements beginning on page 1 of this Quarterly Report on Form 10-Q.</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Our Limited Operating History, Financial Position and Capital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Our limited operating history may make it difficult for you to evaluate the success of our business to date and to assess our future viability.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commenced operations in 2017 and are a clinical-stage biopharmaceutical company with a limited operating history. Biopharmaceutical product development is a highly speculative undertaking and involves a substantial degree of risk. Since our inception in October 2017, we have devoted substantially all of our efforts to organizing and staffing our company, business planning, capital raising, establishing and maintaining our intellectual property portfolio, building our pipeline of product candidates, conducting drug discovery activities, undertaking preclinical studies, conducting early-stage clinical trials, and providing general and administrative support for these operations.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 </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incurred significant net losses since our inception and anticipate that we will continue to incur losses for the foreseeable future.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net losses were $79.9 million and $52.9 million for the nine months ended September 30, 2024 and 2023, respectively. We had an accumulated deficit of $268.5 million as of September 30, 2024.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We also will continue to incur additional costs associated with operating as a public company and expect to continue to incur significant and increasing operating losses over the next several years and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amount of our future losses is uncertain and our quarterly and annual operating results may fluctuate significantly in the future due to a variety of factors, many of which are outside of our control and may be difficult to predict, including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success or failure of preclinical studies and clinical trials for our product candidates or competing product candidates, or any other change in the competitive landscape of our industry, including consolidation among our competitors or partners;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successfully open clinical trial sites and recruit and retain subjects for clinical trials and any delays caused by difficulties in such efforts;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obtain regulatory approval for our product candidates, and the timing and scope of any such approvals we may receive;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cost of, and level of investment in, research and development activities relating to our product candidates, which may change from time to time;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manufacturing our product candidates and products, should they receive regulatory approval, which may vary depending on the quantity of production and the terms of our agreements with manufacturers;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attract, hire and retain qualified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expenditures that we will or may incur to develop additional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level of demand for our products should they receive regulatory approval, which may vary significantly;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risk/benefit profile, cost and reimbursement policies with respect to our product candidates, if approved, and existing and potential future therapeutics that compete with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changing and volatile U.S. and global economic environments, including as a result of public health crises;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future accounting pronouncements or changes in our accounting policies.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guidance we may provide. </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no products approved for commercial sale and have not generated any revenue from product sales.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become profitable depends upon our ability to generate revenue. To date, we have not generated collaborative revenue from our product candidates and have not generated revenue from product sales, and do not expect to generate any revenue from the sale of products in the near future. We do not expect to generate significant revenue unless and until we obtain regulatory approval of, and begin to sell, one or more of our product candidates. Our ability to generate revenue depends on a number of factors, including, but not limited to, our ability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successfully complete our ongoing and planned preclinical studies for our current and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timely file and receive acceptance of our Investigational New Drug applications, or INDs, in order to commence our planned clinical trials or future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successfully enroll subjects in and complete, our ongoing and planned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initiate and successfully complete all safety and efficacy studies necessary to obtain U.S. and foreign regulatory approval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successfully address the prevalence, duration and severity of potential side effects or other safety issues experienced with our product candidates, if any;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timely file New Drug Applications, or NDAs, and Biologic License Applications, or BLAs, and receive regulatory approvals for our product candidates from the U.S. Food and Drug Administration, or the FDA, and comparable foreign regulatory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 and maintain clinical and commercial manufacturing capabilities or make arrangements with third-party manufacturers for clinical supply and commercial manufacturing;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 and maintain patent and trade secret protection or regulatory exclusivity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launch commercial sales of our products, if and when approved, whether alone or in collaboration with others;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 and maintain acceptance of our products, if and when approved, by patients, the medical community and third-party payors;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position our product candidates to effectively compete with other therapies;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 and maintain healthcare coverage and adequate reimbursement;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enforce and defend intellectual property rights and claims;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maintain a continued acceptable safety profile of our products following approval.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existing and any future indebtedness could adversely affect our ability to operate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November 2024, we entered into a Loan and Security Agreement, or the Hercules Loan Agreement, with the lenders party thereto, or the Lenders, and Hercules Capital, Inc., as administrative agent and collateral agent, or the Agent. The Hercules Loan Agreement provides for up to $200.0 million of senior secured term loans, or the Term Loan, available to us in multiple tranches. The Term Loan will mature on December 1, 2029. Our obligations under the Hercules Loan Agreement are secured, subject to customary permitted liens and other agreed-upon exceptions, by a first-priority perfected security interest in all of our tangible and intangible assets, other than intellectual property.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Hercules Loan Agreement contains customary affirmative and negative covenants that could prevent us from taking certain actions without the consent of the Lenders. These covenants may limit our flexibility in operating our business and our ability to take actions that might be advantageous to us and our stockholders. Affirmative covenants include, among others, a financial covenant requiring us to maintain a minimum amount of qualified cash. Negative covenants include, among others: restrictions on transferring any part of our business or intellectual property; incurring additional indebtedness; engaging in mergers or acquisitions; paying dividends or making other distributions; making investments; and creating other liens on our assets, in each case subject to customary exceptions.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Hercules Loan Agreement also contains customary events of default, including the occurrence of a Material Adverse Effect (as defined in the Hercules Loan Agreement), and failure to make payments when due or comply with other covenants therein. We intend to satisfy our current and future debt service obligations with our then-existing cash and cash equivalents. However, we may not have sufficient funds, and may be unable to arrange for additional financing, to pay the amounts due under Hercules Loan Agreement or any other debt instruments. Upon the occurrence and continuance of an event of default, the Lenders may accelerate all of our repayment obligations and take control of our pledged assets, potentially requiring us to renegotiate our agreement on terms less favorable to us or to immediately cease operations. Any declaration by the Lenders of an event of default would therefore significantly harm our business and prospects and could cause the price of our common stock to decline.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raise any additional debt financing, the terms of such additional debt could further restrict our operating and financial flexibility.</w:t>
      </w:r>
    </w:p>
    <w:p>
      <w:pPr>
        <w:pStyle w:val="TextBody"/>
        <w:bidi w:val="0"/>
        <w:spacing w:before="240" w:after="283"/>
        <w:jc w:val="both"/>
        <w:rPr>
          <w:rFonts w:ascii="Times New Roman" w:hAnsi="Times New Roman"/>
          <w:sz w:val="20"/>
        </w:rPr>
      </w:pPr>
      <w:r>
        <w:rPr>
          <w:rFonts w:ascii="Times New Roman" w:hAnsi="Times New Roman"/>
          <w:b/>
          <w:i/>
          <w:color w:val="000000"/>
          <w:sz w:val="20"/>
        </w:rPr>
        <w:t>We will need to raise substantial additional funding. If we are unable to raise capital when needed or on terms acceptable to us, we may be forced to delay, reduce or eliminate some of our product development programs or commercialization efforts.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development of pharmaceutical products is capital-intensive. We are currently advancing our hematologic disease programs through preclinical and clinical development. We expect our expenses to significantly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continue to incur costs associated with operating as a public company. Accordingly, we will need to obtain substantial additional funding in connection with our continuing operations. If we are unable to raise capital when needed or on attractive terms, we may be forced to delay, reduce or eliminate certain of our research and development programs or future commercialization efforts.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that we have cash, cash equivalents, and marketable securities that will enable us to fund operating expenses and capital expenditure requirements well into 2027. However, we have based this estimate on assumptions that may prove to be wrong, and we could exhaust our available capital resources sooner than expected. Our future capital requirements will depend on and could increase significantly as a result of many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progress of preclinical and clinical development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and scope of preclinical and clinical programs we decide to pursue;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raise additional funds necessary to complete clinical development of and commercialize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establish new and maintain existing licensing or collaboration arrangements and the progress of the development efforts of third parties with whom we may enter into such arrangements;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maintain our current research and development programs and to establish new programs;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successful initiation, enrollment and completion of clinical trials with safety, tolerability and efficacy profiles that are satisfactory to the FDA or any comparable foreign regulatory authority;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receipt and related terms of regulatory approvals from applicable regulatory authorities for any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availability of raw materials for use in production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establishing agreements with third-party manufacturers for supply of product candidate components for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obtain and maintain patents, trade secret protection and regulatory exclusivity, both in the United States and internationally;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protect our other rights in our intellectual property portfolio;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commercializing product candidates, if and when approved, whether alone or in collaboration with others;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and maintaining third-party insurance coverage and adequate reimbursement for any approved products;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potential additional expenses attributable to adjusting our development plans (including any supply related matters) to any public health crises.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several years, if at all. Accordingly, we will need to continue to rely on additional financing to achieve our business objectives.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additional fundraising efforts may divert our management from their day-to-day activities, which may adversely affect our ability to develop and commercialize our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acceptable to us, if at all.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Until such time, if ever, we can generate substantial product revenue, we expect to finance our cash needs through a combination of private and public equity offerings,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Additional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could be required to seek funds through arrangements with collaborators or otherwise at an earlier stage than otherwise would be desirable. If we raise funds through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product candidates that we would otherwise prefer to develop and market ourself, any of which may have a material adverse effect on our business, operating results and prospects.</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the Discovery and Development of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We have not yet progressed any product candidates into a Phase 3 clinical trial and may be unable to successfully complete any additional clinical trials for any product candidates we develop. Certain of our programs are still in preclinical development and may never advance to clinical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only have three product candidates in clinical development, none of which has yet progressed into a Phase 3 clinical trial. As such, we have not yet demonstrated our ability to successfully complete large-scale, pivotal clinical trials, obtain regulatory approvals, manufacture a commercial scale product or arrange for a third party to do so on our behalf or conduct sales and marketing activities necessary for successful commercialization. Our programs are still in preclinical and early to mid-stage clinical development. Our clinical programs may not advance to the next stage of clinical development, and our preclinical programs may never advance to clinical development or through clinical development, as applicable. We may not initiate any clinical trial of our product candidates until we have submitted an IND to the FDA or comparable submissions with equivalent regulatory authorities and received regulatory clearance. We may not be able to submit INDs or other regulatory filings for bitopertin or any of our other product candidates on the timelines we expect, if at all. For example, we may experience manufacturing delays or other delays with IND-enabling studies. Moreover, we cannot be sure that submission of regulatory filings with the FDA or other regulatory authorities will result in such regulatory authorities allowing clinical trials to begin on a timely basis or at all, or that, once begun, such trials will be completed on schedule, if at all, or that issues will not arise that require us to revise, postpone, suspend or terminate our clinical trials.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we initiated the study in October 2022. Commencing any of our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composition of stricter approval conditions than currently expected. For a further example, we relied on the data package generated by F. Hoffmann-La Roche Ltd. and Hoffmann-La Roche Inc., or collectively, Roche, to support our IND submission for bitopertin to initiate our AURORA Phase 2 clinical trial in patients with EPP, as well as our submission of an application with the Australian Therapeutic Goods Administration, or TGA, for our BEACON Phase 2 clinical trial in patients with EPP or XLP, and it is possible that the FDA or TGA, as applicable, may require us to conduct additional preclinical studies to support a future marketing application of bitopertin. Successful completion of our clinical trials is a prerequisite to submitting an NDA or a BLA to the FDA, a Marketing Authorisation Application, or MAA, to the European Medicines Agency, or EMA, or other marketing applications to regulatory authorities in other jurisdictions, for each product candidate and, consequently, the regulatory approval of each product candidate.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single well-controlled clinical trial may not be sufficient for approval. In general, the FDA requires two well-controlled clinical trials to support registration of a new drug or biologic. Exceptions may be made in cases of a severe disease with few treatment options, and in principle this exception may appear applicable to many of the diseases that we seek to treat, such as EPP, XLP, anemia of MF, DBA and others. Nonetheless, the FDA and other regulators may always require additional clinical trials to support regulatory approval.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required to conduct additional preclinical studies or clinical trials or other testing of our product candidates beyond those that are currently contemplated, if we are unable to successfully complete clinical trials of our product candidates or other testing, if the results of these trials or tests are not positive or are only modestly positive or if there are safety concerns, we may: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delayed in obtaining regulatory approval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obtain regulatory approval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 regulatory approval for indications or patient populations that are not as broad as intended or desired;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continue to be subject to post-marketing testing requirements;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experience having the product removed from the market after obtaining regulatory approval. </w:t>
      </w:r>
    </w:p>
    <w:p>
      <w:pPr>
        <w:pStyle w:val="TextBody"/>
        <w:bidi w:val="0"/>
        <w:spacing w:before="240" w:after="283"/>
        <w:jc w:val="both"/>
        <w:rPr>
          <w:rFonts w:ascii="Times New Roman" w:hAnsi="Times New Roman"/>
          <w:sz w:val="20"/>
        </w:rPr>
      </w:pPr>
      <w:r>
        <w:rPr>
          <w:rFonts w:ascii="Times New Roman" w:hAnsi="Times New Roman"/>
          <w:b/>
          <w:i/>
          <w:color w:val="000000"/>
          <w:sz w:val="20"/>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discovery and development of therapeutics for patients with hematologic diseases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that our programs have the potential to provide disease-modifying therapies, clinical results in patients may not confirm this hypothesis or may only confirm it for certain alterations or certain indications. The patient populations for our product candidates are limited to those with specific hematologic diseases. We cannot be certain that the patient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populations for each specific disease will be large enough to allow us to successfully obtain approval and commercialize our product candidates and achieve profitability. </w:t>
      </w:r>
    </w:p>
    <w:p>
      <w:pPr>
        <w:pStyle w:val="TextBody"/>
        <w:bidi w:val="0"/>
        <w:spacing w:before="240" w:after="283"/>
        <w:jc w:val="both"/>
        <w:rPr>
          <w:rFonts w:ascii="Times New Roman" w:hAnsi="Times New Roman"/>
          <w:sz w:val="20"/>
        </w:rPr>
      </w:pPr>
      <w:r>
        <w:rPr>
          <w:rFonts w:ascii="Times New Roman" w:hAnsi="Times New Roman"/>
          <w:b/>
          <w:i/>
          <w:color w:val="000000"/>
          <w:sz w:val="20"/>
        </w:rPr>
        <w:t>Clinical product development involves a lengthy and expensive process, with an uncertain outcome.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preclinical studies and future and ongoing clinical trials may not be successful. Currently, all of our programs are in preclinical and early clinical development.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or the safety, purity and potency of our biological product candidates in humans. There is no guarantee that our product candidates will advance in accordance with the timelines we anticipate, if at all.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top-line, initial or preliminary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some of the clinical trials we conduct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clinical trial may not be predictive of future clinical trial results when studied in a controlled environment with a placebo or active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2021, we entered into a license agreement with Roche, or the Roche Agreement, pursuant to which, among other things, Roche granted us an exclusive and sublicensable (subject to Roche’s consent, except with respect to affiliates) worldwide license under certain of Roche’s patent rights and know-how to develop and commercialize bitopertin. Although bitopertin was originally evaluated by Roche in over 4,000 individuals, Roche did not evaluate bitopertin in EPP or XLP, so the safety data generated from Roche’s clinical trials of bitopertin may not be predictive or indicative of the results of our clinical trials. Regulatory authorities may also raise questions regarding the transition in the future from Roche-manufactured drug substance to drug substance manufactured by us or another party, and we may be required to conduct comparability assessments, which could result in delays in development and additional costs. We may face similar challenges with respect to our other product candidates, for which preclinical results may not be indicative or predictive of future clinical trial results.</w:t>
      </w:r>
    </w:p>
    <w:p>
      <w:pPr>
        <w:pStyle w:val="TextBody"/>
        <w:bidi w:val="0"/>
        <w:spacing w:before="240" w:after="283"/>
        <w:jc w:val="both"/>
        <w:rPr>
          <w:rFonts w:ascii="Times New Roman" w:hAnsi="Times New Roman"/>
          <w:sz w:val="20"/>
        </w:rPr>
      </w:pPr>
      <w:r>
        <w:rPr>
          <w:rFonts w:ascii="Times New Roman" w:hAnsi="Times New Roman"/>
          <w:b/>
          <w:i/>
          <w:color w:val="000000"/>
          <w:sz w:val="20"/>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Many of our product candidates are designed to treat diseases for which there are few available therapeutic options. For example, in the United States there are currently no therapies approved to treat anemia of MF and there is only one approved therapy to treat EPP.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The FDA or other regulatory authorities may not consider the endpoints of our clinical trials to be validated or clinically meaningful and we may need to conduct proof-of-concept studies or additional work to refine our endpoints and inform the design of future studies before initiating pivotal studies of our product candidates. Even if applicable regulatory authorities do not object to our proposed endpoints in an earlier stage clinical trial, such regulatory authorities may require evaluation of additional or different clinical endpoints in later-stage clinical trials.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the FDA does find our clinical trial success criteria to be sufficiently supported and clinically meaningful at the time,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change its view or give overriding weight to other efficacy endpoints over a primary endpoint, even if we achieve statistically significant results on that primary endpoint, if for example we do not do so on our secondary efficacy endpoints. The FDA also weighs the benefits of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product candidate against its risks and the FDA may view the efficacy results in the context of safety as not being supportive of approval. Other regulatory authorities in Europe and other countries may make similar findings with respect to these endpoints. </w:t>
      </w:r>
    </w:p>
    <w:p>
      <w:pPr>
        <w:pStyle w:val="TextBody"/>
        <w:bidi w:val="0"/>
        <w:spacing w:before="240" w:after="283"/>
        <w:jc w:val="both"/>
        <w:rPr>
          <w:rFonts w:ascii="Times New Roman" w:hAnsi="Times New Roman"/>
          <w:sz w:val="20"/>
        </w:rPr>
      </w:pPr>
      <w:r>
        <w:rPr>
          <w:rFonts w:ascii="Times New Roman" w:hAnsi="Times New Roman"/>
          <w:b/>
          <w:i/>
          <w:color w:val="000000"/>
          <w:sz w:val="20"/>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publicly disclose interim, top-line, initial or preliminary data from our clinical trials, which is based on a preliminary analysis of then-available data, and the results and related findings and conclusions are subject to change following a more comprehensive review of the data. For example, we announced initial data from our Phase 1b/2 DISC-0974 trials in patients with anemia of MF in December 2023 and in June 2024, and in patients with anemia and NDD-CKD in December 2023 and October 2024. We also announced initial data from the SAD portion of the Phase 1 clinical trial of DISC-3405 in healthy volunteers in June 2024. We also may make assumptions, estimations, calculations and conclusions as part of our analyses of data, and may not have received or had the opportunity to fully and carefully evaluate all data. As a result, the interim, top-line, initial or preliminary results that we report may differ from future results of the same trials, or different conclusions or considerations may qualify such results, once additional data have been received and fully evaluated. Interim, top-line, initial and preliminary data from clinical trials are subject to the risk that one or more of the clinical outcomes may materially change as patient enrollment continues and more patient data become available. Interim, top-line, initial and preliminary data also remain subject to audit and verification procedures that may result in the final data being materially different from the interim, top-line, initial or preliminary data we previously published. As a result, interim, top-line, initial and preliminary data should be viewed with caution until the final data are available. Adverse differences between interim, top-line, initial or preliminary data and final data could significantly harm our business prospects and may cause the price of our common stock to fluctuate or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the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interim, top-line, initial or preliminary data that we report differs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incur additional costs or experience delays in initiating or completing, or ultimately be unable to complete, the development and commercialization of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experience delays in initiating or completing our preclinical studies or clinical trials, including as a result of delays in obtaining, or failure to obtain, the FDA’s authorization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authorizations, regulatory approval or commercialize our product candidates,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receive feedback from regulatory authorities that requires us to modify the design or implementation of our preclinical studies or clinical trials or to delay or terminate a clinical trial;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regulators or institutional review boards, or IRBs, or ethics committees may delay or may not authorize us or our investigators to commence a clinical trial or conduct a clinical trial at a prospective trial site;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preclinical studies or clinical trials of our product candidates may not produce differentiated or clinically significant results across indications;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of patients required for clinical trials of our product candidates may be larger than anticipated, enrollment in these clinical trials may be slower than anticipated or participants may drop out of these clinical trials or fail to return for post-treatment follow-up at a higher rate than anticipated;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clinical trials of our product candidates may be greater than anticipated;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supply or quality of our product candidates or other materials necessary to conduct clinical trials of our product candidates may be insufficient or inadequate, and any transfer of manufacturing activities may require unforeseen manufacturing or formulation changes;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 candidates may have undesirable side effects or other unexpected characteristics, causing us, regulators or IRBs or ethics committees to suspend or terminate the trials, or reports may arise from preclinical or clinical testing of other hematologic disease therapies that raise safety or efficacy concerns about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future collaborators may conduct clinical trials in ways they view as advantageous to them but that are suboptimal for us;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regulators may revise the requirements for approving our product candidates, or such requirements may not be as anticipated.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could encounter delays if a clinical trial is suspended or terminated by us, by the IRBs or ethics committees of the institutions at which such trials are being conducted or by the FDA or other regulatory authorities, or if the Data Safety Monitoring Board, or DSMB, for such trial recommends suspension or termination of the trial. Such authorities may impose or recommend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initiated the study in October 2022.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experience delays or difficulties in the enrollment of patients in clinical trials, our receipt of necessary regulatory approvals could be delayed or prevented.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able to initiate or continue clinical trials for our product candidates if we are unable to locate and enroll a sufficient number of eligible patients to participate in these trials as required by the FDA or comparable foreign regulatory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authorities, or as needed to provide appropriate statistical power for a given trial. In particular, because we are focused on patients with specific rare hematologic diseases for the development of our product candidates, our ability to enroll eligible patients may be limited or may result in slower enrollment than we anticipate.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experience difficulties with identifying specific patient populations for any defined trial cohorts. The patient eligibility criteria defined in our trial protocols may limit the patient populations eligible for our clinical trials. We will also rely on the willingness and ability of clinicians to screen their patients, such as for specific genetic hematologic conditions, to indicate which patients may be eligible for enrollment in our clinical trials.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some of our competitors have ongoing clinical trials for product candidates that are intended to treat the same indications as our product candidates, and patients who would otherwise be eligible for our clinical trials may choose instead to enroll in clinical trials of our competitors’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Additionally, the process of finding patients may prove costly. We also may not be able to identify, recruit or enroll a sufficient number of patients to complete our clinical trials because of the small patient populations with rare hematologic diseases,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 enrollment may be affected by other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severity of the disease under investigation;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efforts to obtain and maintain patient consents and facilitate timely enrollment in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to monitor patients adequately during and after treatment;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risk that patients enrolled in clinical trials will drop out of the clinical trials before clinical trial completion;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to recruit clinical trial investigators with the appropriate competencies and experience;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reporting of the preliminary results of any of our clinical trials;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factors we may not be able to control, including the impacts of any public health crises, that may limit patients, principal investigators or staff or clinical site availability. </w:t>
      </w:r>
    </w:p>
    <w:p>
      <w:pPr>
        <w:pStyle w:val="TextBody"/>
        <w:bidi w:val="0"/>
        <w:spacing w:before="240" w:after="283"/>
        <w:jc w:val="both"/>
        <w:rPr>
          <w:rFonts w:ascii="Times New Roman" w:hAnsi="Times New Roman"/>
          <w:sz w:val="20"/>
        </w:rPr>
      </w:pPr>
      <w:r>
        <w:rPr>
          <w:rFonts w:ascii="Times New Roman" w:hAnsi="Times New Roman"/>
          <w:b/>
          <w:i/>
          <w:color w:val="000000"/>
          <w:sz w:val="20"/>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results from early preclinical studies and clinical trials of bitopertin, DISC-0974, DISC-0998, DISC-3405 or our other product candidates or programs may not necessarily be predictive of the results from later preclinical studies and clinical trials. For example, we have announced positive initial data from a Phase 1b/2 clinical trial of DISC-0974 in patients with anemia of MF and from a separate Phase 1b/2 clinical trial of DISC-0974 in patients with non-dialysis dependent CKD and anemia. However, there can be no assurance that DISC-0974 will achieve the desired effects in these indications. Additionally, we initiated a Phase 1 clinical trial of DISC-3405 in healthy adult volunteers in October 2023, which may not be indicative or predictive of future clinical trial results.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Before obtaining regulatory approvals for the commercial sale of any products, we must demonstrate through lengthy, complex and expensive preclinical studies and clinical trials that our product candidates regulated as drugs are safe and effective and our product candidates regulated as biologics are safe, pure and potent for use in each target indication. Clinical testing is expensive and can take many years to complete, and outcomes are inherently uncertain. Failure can occur at any time during the clinical trial process. Because our programs and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studies and initial clinical trials. For example, Roche had previously developed bitopertin as a potential therapy for certain symptoms of schizophrenia and obsessive-compulsive disorder, but discontinued the program for lack of efficacy in those indications after completing over 30 clinical trials in over 4,000 individuals. If the results of our ongoing or future preclinical studies and clinical trials are inconclusive with respect to the safety and efficacy of our programs and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have not yet been observed. For example, bitopertin may demonstrate toxicities in patients with hematologic diseases not previously observed by Roche when it was studied in different indications. Many compounds that initially showed promise in early-stage testing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is the case with many treatments for hematologic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trials, or we may be required to abandon the trials or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 </w:t>
      </w:r>
    </w:p>
    <w:p>
      <w:pPr>
        <w:pStyle w:val="TextBody"/>
        <w:bidi w:val="0"/>
        <w:spacing w:before="240" w:after="283"/>
        <w:jc w:val="both"/>
        <w:rPr>
          <w:rFonts w:ascii="Times New Roman" w:hAnsi="Times New Roman"/>
          <w:sz w:val="20"/>
        </w:rPr>
      </w:pPr>
      <w:r>
        <w:rPr>
          <w:rFonts w:ascii="Times New Roman" w:hAnsi="Times New Roman"/>
          <w:b/>
          <w:i/>
          <w:color w:val="000000"/>
          <w:sz w:val="20"/>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Some of our product candidates modulate pathways for which there are currently no approved or effective therapies, which may result in uncertainty. We select programs for targets based on compelling biological rationale, including evidence of expected biological effects in humans. We explore new programs based on extensive preclinical data analysis which sometimes cannot predict efficacy or safety in humans.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product candidates utilize a novel mechanism of action that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has not been the subject of extensive study compared to more well-known product candidates, there is also an increased risk that we may discover previously unknown or unanticipated adverse effects during our preclinical studies and clinical trials. Our product candidates may achieve lower efficacy in patients than expected. Any such events could adversely impact our business prospects, operating results and financial condition. </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currently conducting clinical trials for bitopertin in Australia and may in the future conduct additional clinical trials of our product candidates outside the United States, and the FDA and comparable foreign regulatory authorities may not accept data from such trials.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July 2022, we initiated BEACON, a Phase 2 open-label, parallel-dose clinical trial of bitopertin in EPP and XLP patients conducted at sites in Australia. All participants in BEACON are eligible to participate in HELIOS, an ongoing open-label, long-term extension study of bitopertin in EPP and XLP that we are also conducting in Australia. We may in the future choose to conduct additional clinical trials of our product candidates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will be subject to the applicable local laws of the foreign jurisdictions where the trials are conducted. There can be no assurance that the FDA or any comparable foreign regulatory authority, including the TGA,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 </w:t>
      </w:r>
    </w:p>
    <w:p>
      <w:pPr>
        <w:pStyle w:val="TextBody"/>
        <w:bidi w:val="0"/>
        <w:spacing w:before="240" w:after="283"/>
        <w:jc w:val="both"/>
        <w:rPr>
          <w:rFonts w:ascii="Times New Roman" w:hAnsi="Times New Roman"/>
          <w:sz w:val="20"/>
        </w:rPr>
      </w:pPr>
      <w:r>
        <w:rPr>
          <w:rFonts w:ascii="Times New Roman" w:hAnsi="Times New Roman"/>
          <w:b/>
          <w:i/>
          <w:color w:val="000000"/>
          <w:sz w:val="20"/>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research methodology used may not be successful in identifying potential indications and/or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potential product candidates may, after further study, be shown to have harmful adverse effects or other characteristics that indicate they are unlikely to be effective products;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Currently, all of our product candidates are in discovery, preclinical or 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us from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BLA, or equivalent application types, may cause delays in the approval or rejection of an application. The FDA and comparable foreign regulatory authorities have substantial discretion in the approval process and may refuse to accept any application or may decide that our data is insufficient for approval and require additional preclinical, clinical or other studies. Our product candidates could be delayed in receiving, or fail to receive, regulatory approval for many reasons, including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able to enroll a sufficient number of patients in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is safe and effective for its proposed indication;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or comparable foreign regulatory authorities for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preclinical studies or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an NDA, BLA or other submission or to obtain regulatory approval in the United States or elsewhere;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approval policies or regulations of the FDA or comparable foreign regulatory authorities may significantly change such that our clinical data are insufficient for approval.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experience delays in obtaining, or if we fail to obtain, approval of our product candidates, the commercial prospects for our product candidates may be harmed and our ability to generate revenue will be materially impaired.</w:t>
      </w:r>
    </w:p>
    <w:p>
      <w:pPr>
        <w:pStyle w:val="TextBody"/>
        <w:bidi w:val="0"/>
        <w:spacing w:before="240" w:after="283"/>
        <w:jc w:val="both"/>
        <w:rPr>
          <w:rFonts w:ascii="Times New Roman" w:hAnsi="Times New Roman"/>
          <w:sz w:val="20"/>
        </w:rPr>
      </w:pPr>
      <w:r>
        <w:rPr>
          <w:rFonts w:ascii="Times New Roman" w:hAnsi="Times New Roman"/>
          <w:b/>
          <w:i/>
          <w:color w:val="000000"/>
          <w:sz w:val="20"/>
        </w:rPr>
        <w:t>A public health crisis, pandemic, epidemic, or outbreak of an infectious or highly contagious disease, may materially and adversely affect our business and financial results and could cause a disruption to the development of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Public health crises such as pandemics or similar outbreaks could adversely impact our business. The extent to which an outbreak of highly infectious or contagious diseases impacts our operations or those of our third-party partners, including our preclinical studies or clinical trial operations, will depend on future developments, which are highly uncertain and cannot be predicted with confidence, including the scope, severity and duration of the outbreak, actions taken to contain the outbreak or mitigate its impact, and the direct and indirect economic effects of the outbreak and containment measures, among others.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patient populations that our product candidates target may be particularly susceptible to highly infectious or contagious diseases, which may make it more difficult for us to identify patients able to enroll in our current and future clinical trials and may impact the ability of enrolled patients to complete any such trials.</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Commercialization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development and commercialization of new products in the biopharmaceutical and related industries is highly competitive. We compete in the segments of the pharmaceutical, biotechnology, and other related markets that develop therapies in the field of hematologic diseases. There are other companies focusing on developing therapies in the field of hematologic diseases. We also compete more broadly across the market for cost-effective and reimbursable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See “Business—Competition” of our Annual Report on Form 10-K for the year ended December 31, 2023 for examples of the competition that our product candidates face.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successfully transition research programs into clinical development, ability to raise capital and the scalability of the platform, pipeline and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 product candidates,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 </w:t>
      </w:r>
    </w:p>
    <w:p>
      <w:pPr>
        <w:pStyle w:val="TextBody"/>
        <w:bidi w:val="0"/>
        <w:spacing w:before="240" w:after="283"/>
        <w:jc w:val="both"/>
        <w:rPr>
          <w:rFonts w:ascii="Times New Roman" w:hAnsi="Times New Roman"/>
          <w:sz w:val="20"/>
        </w:rPr>
      </w:pPr>
      <w:r>
        <w:rPr>
          <w:rFonts w:ascii="Times New Roman" w:hAnsi="Times New Roman"/>
          <w:b/>
          <w:i/>
          <w:color w:val="000000"/>
          <w:sz w:val="20"/>
        </w:rPr>
        <w:t>If the market opportunities for our programs and product candidates are smaller than we estimate or if any regulatory approval that we obtain is based on a narrower definition of the patient population, our revenue and ability to achieve profitability could be materially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incidence and prevalence for the target patient populations of our programs and product candidates have not been established with precision. Our lead heme biosynthesis modulation product candidate, bitopertin, is an oral, selective inhibitor of GlyT1. We are initially focused on developing bitopertin for the treatment of EPP and XLP, which are both diseases marked by severe photosensitivity and damage to the hepatobiliary system caused by the accumulation of PPIX. We are initially focused on developing DISC-0974 for anemia of MF and anemia of non-dialysis dependent CKD. We are initially focused on developing DISC-3405 for the treatment of PV. Our projections of both the number of people who have these diseases, as well as the subset of people with these diseases who have the potential to benefit from treatment with our programs and product candidates, are based on our estimates.</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erythropoietic porphyria and anemias of inflammation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 </w:t>
      </w:r>
    </w:p>
    <w:p>
      <w:pPr>
        <w:pStyle w:val="TextBody"/>
        <w:bidi w:val="0"/>
        <w:spacing w:before="240" w:after="283"/>
        <w:jc w:val="both"/>
        <w:rPr>
          <w:rFonts w:ascii="Times New Roman" w:hAnsi="Times New Roman"/>
          <w:sz w:val="20"/>
        </w:rPr>
      </w:pPr>
      <w:r>
        <w:rPr>
          <w:rFonts w:ascii="Times New Roman" w:hAnsi="Times New Roman"/>
          <w:b/>
          <w:i/>
          <w:color w:val="000000"/>
          <w:sz w:val="20"/>
        </w:rPr>
        <w:t>If our current product candidates or any future product candidates do not achieve broad market acceptance, the revenue that we generate from our sales may be limited, and we may never become profitable.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may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heme biosynthesis modulation therapies or hepcidin-targeted agents is unsafe, whether related to our or our competitors’ products, our products may not be accepted by the general public or the medical community. Future adverse events in the hematologic diseases or the biopharmaceutical industry could also result in greater governmental regulation, stricter labeling requirements and potential regulatory delays in the testing or approvals of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efficacy of our current product candidates and any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prevalence and severity of adverse events associated with our current product candidates and any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clinical indications for which our product candidates are approved and the approved claims that we may make for the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relative convenience and ease of administration of our current product candidates and any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treatment compared with the economic and clinical benefit of alternative treatments or therapies;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availability of adequate coverage or reimbursement by third-party payors, including government healthcare programs such as Medicare and Medicaid and other healthcare payors;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price concessions required by third-party payors to obtain coverage;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willingness of patients to pay out-of-pocket in the absence of adequate coverage and reimbursement;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extent and strength of our marketing and distribution of our current product candidates and any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safety, efficacy, and other potential advantages over, and availability of, alternative treatments already used or that may later be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of market introduction of our current product candidates and any future product candidates, as well as competitive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offer our current product candidates and any future product candidates for sale at competitive prices;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and of physicians to prescribe these therapies;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extent and strength of our third-party manufacturer and supplier support;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approval of other new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adverse publicity about our current product candidates and any future product candidates or favorable publicity about competitive products;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potential product liability claims.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successful in addressing these or other factors that might affect the market acceptance of our product candidates. Failure to achieve widespread market acceptance of our product candidates would materially harm our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For certain commercial prescription drug and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Later discovery of previously unknown problems with a product, including adverse events of unanticipated severity or frequency, or with our third-party manufacturers or manufacturing processes, or failure to comply with regulatory requirements, may result in, among other things: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restrictions on the marketing or manufacturing of the product, withdrawal of the product from the market or voluntary or mandatory product recalls;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manufacturing delays and supply disruptions where regulatory inspections identify observations of noncompliance requiring remediation;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revisions to the labeling, including limitation on approved uses or the addition of additional warnings, contraindications or other safety information, including boxed warnings;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imposition of a REMS which may include distribution or use restrictions;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requirements to conduct additional post-market clinical trials to assess the safety of the product;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trial holds;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fines, warning letters or other regulatory enforcement action;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refusal by the FDA to approve pending applications or supplements to approved applications filed by us or suspension or revocation of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products;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FDA’s and other regulatory authorities’ policies may change and additional government regulations may be enacted that could prevent, limit or delay regulatory approval of our product candidates.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 </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We rely on third parties to conduct our Phase 2 clinical trials of bitopertin, Phase 1b/2 clinical trials of DISC-0974 and Phase 1 clinical trial of DISC-3405 and expect to rely on third parties to conduct our planned APOLLO clinical trial of bitopertin and other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have the ability to independently conduct clinical trials. We rely and expect to continue to rely on medical institutions, clinical investigators, contract laboratories and other third parties, such as CROs, to conduct or otherwise support clinical trials for our product candidates, including our Phase 2 clinical trials of bitopertin, our Phase 1b/2 clinical trials of DISC-0974 in patients with anemia of MF or non-dialysis dependent CKD and anemia, our Phase 1 trial of DISC-3405, our planned APOLLO clinical trial of bitopertin in EPP, as well as any other product candidates that we develop. We may also rely on academic and private non-academic institutions to conduct and sponsor clinical trials relating to our product candidates, such as the ongoing clinical trial of bitopertin in DBA, which is being conducted by NIH under a collaborative research and development agreement. We will not control the design or conduct of any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ourself may be adversely affected.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and expect to continue to rely heavily on these parties for execution of clinical trials for our product candidates and control only certain aspects of our activities. Nevertheless, we are responsible for ensuring that each of our clinical trials is conducted in accordance with the applicable protocol, legal and regulatory requirements and scientific standards, and our reliance on CROs or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third parties will not relieve us of our regulatory responsibilities. For any violations of laws and regulations during the conduct of our clinical trials, we could be subject to warning letters or enforcement action that may include civil penalties up to and including criminal prosecution.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or the EEA,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designed our ongoing Phase 1b/2 clinical trials of DISC-0974, ongoing Phase 2 clinical trials of bitopertin, and ongoing Phase 1 clinical trial of DISC-3405, and intend to design our planned APOLLO clinical trial of bitopertin and other future clinical trials for our product candidates, these trials are or will be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have staffing difficulties;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fail to comply with contractual obligations;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experience regulatory compliance issues;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undergo changes in priorities or become financially distressed;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form relationships with other entities, some of which may be our competitors.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 </w:t>
      </w:r>
    </w:p>
    <w:p>
      <w:pPr>
        <w:pStyle w:val="TextBody"/>
        <w:bidi w:val="0"/>
        <w:spacing w:before="240" w:after="283"/>
        <w:jc w:val="both"/>
        <w:rPr>
          <w:rFonts w:ascii="Times New Roman" w:hAnsi="Times New Roman"/>
          <w:sz w:val="20"/>
        </w:rPr>
      </w:pPr>
      <w:r>
        <w:rPr>
          <w:rFonts w:ascii="Times New Roman" w:hAnsi="Times New Roman"/>
          <w:b/>
          <w:i/>
          <w:color w:val="000000"/>
          <w:sz w:val="20"/>
        </w:rPr>
        <w:t>We might not realize the anticipated benefits of our current collaborations with Mabwell or NIH, or any other collaborations we enter into in the future.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development, commercialization and/or strategic collaborations, including those that we have with Mabwell and NIH, are subject to numerous risks, which include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may have significant control or discretion in determining the efforts and resources that they will apply to a collaboration, and might not commit sufficient efforts and resources or might misapply those efforts and resources;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have limited influence or control over the approaches to research, development and/or commercialization of product candidates in the territories in which our collaboration partners lead research, development and/or commercialization;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might not pursue research, development and/or commercialization of collaboration product candidates or might elect not to continue or renew research, development and/or commercialization programs based on preclinical studies and/or clinical trial results, changes in their strategic focus, availability of funding or other factors, such as a business combination that diverts resources or creates competing priorities;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might delay, provide insufficient resources to, or modify or stop research or clinical development for collaboration product candidates or require a new formulation of a product candidate for clinical testing;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with sales, marketing and distribution rights to one or more product candidates might not commit sufficient resources to sales, marketing and distribution or might otherwise fail to successfully commercialize those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might not properly maintain or defend our intellectual property rights or might use our intellectual property improperly or in a way that jeopardizes our intellectual property or exposes us to potential liability;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collaboration activities might result in the collaborator having intellectual property covering our activities or product candidates, which could limit our rights or ability to research, develop and/or commercialize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might not be in compliance with laws applicable to their activities under the collaboration, which could impact the collaboration and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disputes might arise between a collaborator and us that could cause a delay or termination of the collaboration or result in costly litigation that diverts management attention and resources;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collaborations might be terminated, which could result in a need for additional capital to pursue further research, development and/or commercialization of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funding provided by a collaborator might not be sufficient to advance product candidates under the collaboration. 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one or more of these risks, if realized, could reduce or eliminate future revenue from product candidates under our collaborations, and could have a material adverse effect on our business, financial condition, results of operations and/or growth prospects. </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established collaborations with Mabwell and NIH and may seek to establish additional collaborations, and, if we are not able to establish them on commercially reasonable terms, or at all, we may have to alter our development and commercialization plans.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 development programs and the potential commercialization of our product candidates will require substantial additional cash to fund expenses. For some of our product candidates, we may decide to collaborate with pharmaceutical and biotechnology companies, such as our collaborations with Mabwell and NIH, for the development and potential commercialization of those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Such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also restricted by Roche’s right of first negotiation under our current license agreement with them and may in the future be restricted under other license or collaboration agreements from entering into future agreements on certain terms with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 </w:t>
      </w:r>
    </w:p>
    <w:p>
      <w:pPr>
        <w:pStyle w:val="TextBody"/>
        <w:bidi w:val="0"/>
        <w:spacing w:before="240" w:after="283"/>
        <w:jc w:val="both"/>
        <w:rPr>
          <w:rFonts w:ascii="Times New Roman" w:hAnsi="Times New Roman"/>
          <w:sz w:val="20"/>
        </w:rPr>
      </w:pPr>
      <w:r>
        <w:rPr>
          <w:rFonts w:ascii="Times New Roman" w:hAnsi="Times New Roman"/>
          <w:b/>
          <w:i/>
          <w:color w:val="000000"/>
          <w:sz w:val="20"/>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do not currently own or operate, nor do we have any plans to establish in the future, any manufacturing facilities. Although we believe we have obtained sufficient material to produce bitopertin tablets to complete our ongoing Phase 2 clinical trials, DISC-0974 vials to complete our ongoing Phase 1b/2 clinical trials, and vials to complete our Phase 1 trial of DISC-3405, we cannot be sure we have correctly estimated our drug product and API requirements or that such drug product or API will not expire before we want to use it. While we have identified a contract development and manufacturing organization, or CDMO, to produce our own GMP material, we are in the early stages of manufacturing such material. We rely, and expect to continue to rely, on third parties for the manufacture of our product candidates for preclinical development and clinical testing, including Mabwell for the supply of vials to complete our Phase 1 trial of DISC-3405. We also expect to rely on third parties for the commercial manufacture of our products if any of our product candidates receive regulatory approval. This reliance on third parties increases the risk that we will not have sufficient quantities of our product candidates or products or such quantities at an acceptable cost or quality, which could delay, prevent or impair our development or commercialization efforts.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facilities used by our CDMOs to manufacture our product candidates must be inspected by the FDA pursuant to pre-approval inspections that will be conducted after we submit our marketing applications to the FDA. We do not control the manufacturing process of, and will be completely dependent on, our CDMOs for compliance with cGMPs in connection with the manufacture of our product candidates. If our CDMOs cannot successfully manufacture material that conforms to our specifications and the strict regulatory requirements of the FDA or others, they will not be able to pass regulatory inspections and/or maintain regulatory compliance for our manufacturing facilities. In addition, we have no control over the ability of our CDMOs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any CDMO with whom we contract fails to perform its obligations, we may be forced to enter into an agreement with a different CDMO, which we may not be able to do on reasonable terms, if at all. In such a scenario, our clinical trials supply could be delayed significantly as we established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 our failure, or the failure of our CDMOs, to comply with applicable regulations could result in sanctions being imposed on it,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unable to establish any additional agreements with CDMOs or do so on acceptable terms. Reliance on CDMOs entails additional risks,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reliance on the third party for regulatory compliance and quality assurance;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 candidates and any products that we may develop may compete with other product candidates and approved products for access to manufacturing facilities. There are a limited number of CDMOs that operate under cGMP regulations and that might be capable of manufacturing for us.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performance failure on the part of our existing or future manufacturers could delay clinical development or regulatory approval. If our current CDMOs cannot perform as agreed, we may be required to replace such CDMOs. In addition, there has been increased governmental focus in the U.S. on contracting with Chinese companies for the development or manufacturing of pharmaceutical products. For example, there have been Congressional legislative proposals, such as the bill titled the BIOSECURE Act, which would, among other things, prohibit U.S. federal funding in connection with biotechnology equipment or services produced or provided by certain named Chinese “biotechnology companies of concern” (which includes WuXi AppTech (Hong Kong) Limited, or WuXi) and loans and grants to, and federal contracts with any entity that uses biotechnology equipment or services from one of these entities. The legislation also gives the federal government the authority to name additional “biotechnology companies of concern” that are engaged in research activities with the Chinese government and that pose a risk of U.S. national security. The most recent version of the BIOSECURE Act would delay the application of the BIOSECURE Act’s provisions (i) until January 1, 2032, with respect to biotechnology equipment and services provided or produced by WuXi and other named biotechnology companies of concern under a contract or agreement entered before the effective date of the legislation; and (ii) for a period of five years after the identification of new biotechnology companies of concern, with respect to biotechnology equipment and services provided or produced by an entity that the government identifies in the future as a biotechnology company of concern. We currently rely on certain foreign or foreign-owned third-party vendors, including WuXi and its affiliates, to manufacture certain materials used in clinical trials of our product candidates or to provide services in connection with certain clinical trials or certain discovery activities. Our engagement with these foreign and foreign-owned vendors may be subject to new U.S. legislation or investigations, such as the proposed BIOSECURE Act, sanctions, trade restrictions and other foreign regulatory requirements, which could cause us to need to identify alternate service providers, increase the cost or reduce the supply of materials available to us, delay the procurement or supply of these materials, delay or impact clinical trials, or have an adverse effect on our ability to secure significant commitments from governments to purchase our potential therapies, any of which could adversely affect our financial condition and business prospects. We continue to assess the legislation as it develops to determine the effect, if any, on our contractual relationships.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current and anticipated future dependence upon others for the manufacture of our product candidates or products may adversely affect our future profit margins and our ability to commercialize any products that receive regulatory approval on a timely and competitive basis. </w:t>
      </w:r>
    </w:p>
    <w:p>
      <w:pPr>
        <w:pStyle w:val="TextBody"/>
        <w:bidi w:val="0"/>
        <w:spacing w:before="240" w:after="283"/>
        <w:jc w:val="both"/>
        <w:rPr>
          <w:rFonts w:ascii="Times New Roman" w:hAnsi="Times New Roman"/>
          <w:sz w:val="20"/>
        </w:rPr>
      </w:pPr>
      <w:r>
        <w:rPr>
          <w:rFonts w:ascii="Times New Roman" w:hAnsi="Times New Roman"/>
          <w:b/>
          <w:i/>
          <w:color w:val="000000"/>
          <w:sz w:val="20"/>
        </w:rPr>
        <w:t>The third parties upon whom we rely for the supply of the active pharmaceutical ingredients used in our product candidates are our sole sources of supply, and the loss of any of these suppliers could significantly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active pharmaceutical ingredients, or API, used in certain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or crises will affect our third-party suppliers and manufacturers. Any negative impact of such matters on our third-party suppliers and manufacturers may also have an adverse impact on our results of operations or financial condition.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all of our product candidates, we intend to identify and qualify additional manufacturers to provide such API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our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ability to timely meet our demand in the future based on past performance. While our suppliers have generally met our demand for their products on a timely basis in the past, they may subordinate our needs in the future to their other customers.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efforts, which could harm our business, results of operations, financial condition and prospects. </w:t>
      </w:r>
    </w:p>
    <w:p>
      <w:pPr>
        <w:pStyle w:val="TextBody"/>
        <w:bidi w:val="0"/>
        <w:spacing w:before="240" w:after="283"/>
        <w:jc w:val="both"/>
        <w:rPr>
          <w:rFonts w:ascii="Times New Roman" w:hAnsi="Times New Roman"/>
          <w:sz w:val="20"/>
        </w:rPr>
      </w:pPr>
      <w:r>
        <w:rPr>
          <w:rFonts w:ascii="Times New Roman" w:hAnsi="Times New Roman"/>
          <w:b/>
          <w:i/>
          <w:color w:val="000000"/>
          <w:sz w:val="20"/>
        </w:rPr>
        <w:t>The manufacture of biologics is complex and our third-party manufacturers may encounter difficulties in production. If any of our third-party manufacturers encounter such difficulties, our ability to provide supply of product candidates for clinical trials or products for patients, if approved, could be delayed or prevented.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DISC-0974, DISC-0998, and DISC-3405 are monoclonal antibodies. Manufacturing biologics, like monoclonal antibodies, especially in large quantities, is often complex and may require the use of innovative technologies to handle living cells. Each lot of an approved biologic must undergo thorough testing for identity, strength, quality, purity and potency. Manufacturing biologics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regulatory approval for any of our current product candidates or any future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 </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commercial success depends in part on our ability to obtain and maintain proprietary or intellectual property protection in the U.S. and other countries for our current or future product candidates, including our current lead product candidates, bitopertin, DISC-0974 and DISC-3405, and our other current or future programs, including DISC-0998,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in-licensed, and may in the future in-license, a portion of our intellectual property, and, if we fail to comply with our obligations under these license arrangements, we could lose such intellectual property rights or owe damages to the licensor of such intellectual property. In particular, we have exclusively licensed intellectual property rights from Roche to develop and commercialize bitopertin, including certain back-up compounds and derivatives, for all prophylactic and therapeutic uses. The Roche license covers know-how, and certain specified Roche patent rights, including a composition of matter patent for bitopertin that expires in 2025. We also have exclusively licensed intellectual property rights from AbbVie Deutschland GmbH &amp; Co. KG, or AbbVie, to develop and commercialize DISC-0974 and DISC-0998. The AbbVie license covers know-how, and certain specified AbbVie patent rights, including composition of matter and methods of use patents and patent applications for DISC-0974 and DISC-0998. We also have exclusively licensed intellectual property rights from Mabwell to develop and commercialize antibody products containing Mabwell’s MWTX-001, MWTX-002, and MWTX-003 antibodies. The Mabwell license covers know-how and certain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specified Mabwell patent rights, including composition of matter and methods of use patents and patent applications for MWTX-001, MWTX-002 and MWTX-003.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bitopertin, DISC-0974, DISC-3405 or our other current or future product candidates. In addition, if the breadth or strength of protection provided by our patent applications or any patents we may own or in-license is threatened, we could dissuade companies from collaborating with us to license, develop or commercialize current or future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Additionally, our product candidates may or may not be eligible for such extensions or we may not be able to obtain such protections due to procedural or other reasons.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Prosecution could require that claim scope narrow such that a clinical or product candidate or program is not adequately protected by the patent.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post-grant proceedings such as opposition, derivation,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invalidation,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clarity, and/or support; in litigation, a competitor could claim that our patents, if issued, are not valid or are unenforceable for a number of reasons. If a court or administrative patent authority agrees, we would lose our protection of those challenged patents. </w:t>
      </w:r>
    </w:p>
    <w:p>
      <w:pPr>
        <w:pStyle w:val="TextBody"/>
        <w:bidi w:val="0"/>
        <w:spacing w:before="135" w:after="283"/>
        <w:jc w:val="both"/>
        <w:rPr>
          <w:rFonts w:ascii="Times New Roman" w:hAnsi="Times New Roman"/>
          <w:color w:val="000000"/>
          <w:sz w:val="20"/>
        </w:rPr>
      </w:pPr>
      <w:r>
        <w:rPr>
          <w:rFonts w:ascii="Times New Roman" w:hAnsi="Times New Roman"/>
          <w:color w:val="000000"/>
          <w:sz w:val="20"/>
        </w:rPr>
        <w:t xml:space="preserve">In addition, we may in the future be subject to claims by our former employees or consultants asserting an ownership right in our patents or patent applications, as a result of the work they performed on our behalf. Although we generally require all of our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5" w:after="283"/>
        <w:jc w:val="both"/>
        <w:rPr>
          <w:rFonts w:ascii="Times New Roman" w:hAnsi="Times New Roman"/>
          <w:color w:val="000000"/>
          <w:sz w:val="20"/>
        </w:rPr>
      </w:pPr>
      <w:r>
        <w:rPr>
          <w:rFonts w:ascii="Times New Roman" w:hAnsi="Times New Roman"/>
          <w:color w:val="000000"/>
          <w:sz w:val="20"/>
        </w:rPr>
        <w:t xml:space="preserve">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it,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products in a non-infringing manner. For example, a third-party may develop a competitive product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 Furthermore, generic manufacturers may develop, seek approval for and launch generic versions of our products, and may challenge the scope, validity or enforceability of our patents, requiring us to engage in complex, lengthy and costly litigation or other proceedings.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also intend to rely on regulatory exclusivity for protection of our product candidates, if approved for commercial sale. Implementation and enforcement of regulatory exclusivity, which may consist of regulatory data protection and market protection, varies widely from country to country. Failure to qualify for regulatory exclusivity or failure to obtain or to maintain the extent or duration of such protections that we expect for our product candidates, if approved, could affect our decision on whether to market the products in a particular country or countries or could otherwise have an adverse impact on our revenue or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 </w:t>
      </w:r>
    </w:p>
    <w:p>
      <w:pPr>
        <w:pStyle w:val="TextBody"/>
        <w:bidi w:val="0"/>
        <w:spacing w:before="240" w:after="283"/>
        <w:jc w:val="both"/>
        <w:rPr>
          <w:rFonts w:ascii="Times New Roman" w:hAnsi="Times New Roman"/>
          <w:sz w:val="20"/>
        </w:rPr>
      </w:pPr>
      <w:r>
        <w:rPr>
          <w:rFonts w:ascii="Times New Roman" w:hAnsi="Times New Roman"/>
          <w:b/>
          <w:i/>
          <w:color w:val="000000"/>
          <w:sz w:val="20"/>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such proceedings. If we are unable to obtain a registered trademark or establish name recognition based on our trademarks and trade names, we may not be able to compete effectively and our business may be adversely affected.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are unable to adequately protect and enforce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ineffective or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initiate, become a defendant in or otherwise become party to lawsuits to protect or enforce our intellectual property rights, which could be expensive, time-consuming, and unsuccessful.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its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Post-grant proceedings provoked by third parties or brought by or before the USPTO or other patent granting authority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 </w:t>
      </w:r>
    </w:p>
    <w:p>
      <w:pPr>
        <w:pStyle w:val="TextBody"/>
        <w:bidi w:val="0"/>
        <w:spacing w:before="240" w:after="283"/>
        <w:jc w:val="both"/>
        <w:rPr>
          <w:rFonts w:ascii="Times New Roman" w:hAnsi="Times New Roman"/>
          <w:sz w:val="20"/>
        </w:rPr>
      </w:pPr>
      <w:r>
        <w:rPr>
          <w:rFonts w:ascii="Times New Roman" w:hAnsi="Times New Roman"/>
          <w:b/>
          <w:i/>
          <w:color w:val="000000"/>
          <w:sz w:val="20"/>
        </w:rPr>
        <w:t>Intellectual property litigation and administrative patent office patent validity challenges in one or more countries could cause us to spend substantial resources and distract our personnel from their normal responsibilities.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hAnsi="Times New Roman"/>
          <w:i/>
          <w:color w:val="000000"/>
          <w:sz w:val="20"/>
        </w:rPr>
        <w:t>inter partes</w:t>
      </w:r>
      <w:r>
        <w:rPr>
          <w:rFonts w:ascii="Times New Roman" w:hAnsi="Times New Roman"/>
          <w:color w:val="000000"/>
          <w:sz w:val="20"/>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valid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While certain activities related to development and clinical testing of our current or future product candidates may be subject to safe harbor of patent infringement, such as under 35 U.S.C. §271(e)(1), upon receiving regulatory approval for such candidates we or any of our current or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 third party claims that we infringe, misappropriate or otherwise violate its intellectual property rights, we may face a number of issues, including, but not limited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infringement, misappropriation and other intellectual property claims which, regardless of merit, may be expensive and time-consuming to litigate and may divert our management’s attention from our core business and may impact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court prohibiting us from developing, manufacturing, marketing or selling our current product candidates, including bitopertin, DISC-0974 and DISC-3405, or future product candidates, or from using our proprietary technologies, unless the third-party licenses its product rights to us, which we are not required to do, on commercially reasonable terms or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redesigning our current or future product candidates or processes so they do not infringe, misappropriate or violate third-party intellectual property rights, which may not be possible or may require substantial monetary expenditures and time;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could be public announcements of the results of hearings, motions or other interim proceedings or developments, and, if securities analysts or investors perceive these results to be negative, it could have a substantial adverse effect on the price of our common stock.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may choose to challenge the patentability of claims in a third party’s U.S. patent by requesting that the USPTO review the patent claims in an ex-parte re-exam, </w:t>
      </w:r>
      <w:r>
        <w:rPr>
          <w:rFonts w:ascii="Times New Roman" w:hAnsi="Times New Roman"/>
          <w:i/>
          <w:color w:val="000000"/>
          <w:sz w:val="20"/>
        </w:rPr>
        <w:t>inter partes</w:t>
      </w:r>
      <w:r>
        <w:rPr>
          <w:rFonts w:ascii="Times New Roman" w:hAnsi="Times New Roman"/>
          <w:color w:val="000000"/>
          <w:sz w:val="20"/>
        </w:rPr>
        <w:t xml:space="preserve"> review or post-grant review proceedings. These proceedings are expensive and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competing. Much of our patent portfolio is at the very early stage. We will need to decide whether and in which jurisdictions to pursue protection for the various inventions in our portfolio prior to applicable deadlines.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using biopharmaceutical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not obtain or grant licenses or sublicenses to intellectual property rights in all markets on equally or sufficiently favorable terms with third parties.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party to license agreements with Roche, AbbVie and Mabwell and we may from time to time in the future be party to other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See “Business-Collaborations and License Agreement” of our Annual Report on Form 10-K for the year ended December 31, 2023 for more information regarding our license agreements with Roche, AbbVie and Mabwell.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 </w:t>
      </w:r>
    </w:p>
    <w:p>
      <w:pPr>
        <w:pStyle w:val="TextBody"/>
        <w:bidi w:val="0"/>
        <w:spacing w:before="135" w:after="283"/>
        <w:jc w:val="both"/>
        <w:rPr>
          <w:rFonts w:ascii="Times New Roman" w:hAnsi="Times New Roman"/>
          <w:color w:val="000000"/>
          <w:sz w:val="20"/>
        </w:rPr>
      </w:pPr>
      <w:r>
        <w:rPr>
          <w:rFonts w:ascii="Times New Roman" w:hAnsi="Times New Roman"/>
          <w:color w:val="000000"/>
          <w:sz w:val="20"/>
        </w:rPr>
        <w:t xml:space="preserve">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Disputes may also arise between us and our licensors regarding intellectual property subject to a license agreement,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and the extent to which our technology and processes infringe, misappropriate or otherwise violate intellectual property rights of the licensor that is not subject to the licensing agreement;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right to sublicense patent and other rights to third parties under collaborative development relationships;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diligence obligations with respect to the use of the licensed technology in relation to our development and commercialization of our current or future product candidates, and what activities satisfy those diligence obligations;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priority of invention of any patented technology;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ownership of inventions and know-how resulting from the joint creation or use of intellectual property by our current or future licensors and us and our partners.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 </w:t>
      </w:r>
    </w:p>
    <w:p>
      <w:pPr>
        <w:pStyle w:val="TextBody"/>
        <w:bidi w:val="0"/>
        <w:spacing w:before="240" w:after="283"/>
        <w:jc w:val="both"/>
        <w:rPr>
          <w:rFonts w:ascii="Times New Roman" w:hAnsi="Times New Roman"/>
          <w:sz w:val="20"/>
        </w:rPr>
      </w:pPr>
      <w:r>
        <w:rPr>
          <w:rFonts w:ascii="Times New Roman" w:hAnsi="Times New Roman"/>
          <w:b/>
          <w:i/>
          <w:color w:val="000000"/>
          <w:sz w:val="20"/>
        </w:rPr>
        <w:t>Any granted patents we may own or in-license covering our current or future product candidates or other valuable technology could be narrowed or found invalid or unenforceable if challenged in court or before administrative bodies in the U.S.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that was material to patentability, or made a misleading statement, in the process of obtaining the patent during patent prosecution. Third parties may also raise similar claims before administrative bodies in the U.S. or abroad, even outside the context of litigation. Such mechanisms include re-examination, </w:t>
      </w:r>
      <w:r>
        <w:rPr>
          <w:rFonts w:ascii="Times New Roman" w:hAnsi="Times New Roman"/>
          <w:i/>
          <w:color w:val="000000"/>
          <w:sz w:val="20"/>
        </w:rPr>
        <w:t>inter partes</w:t>
      </w:r>
      <w:r>
        <w:rPr>
          <w:rFonts w:ascii="Times New Roman" w:hAnsi="Times New Roman"/>
          <w:color w:val="000000"/>
          <w:sz w:val="20"/>
        </w:rPr>
        <w:t xml:space="preserve"> review, post grant review and equivalent proceedings in foreign jurisdictions (such as opposition proceedings). Such proceedings could result 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current or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current or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 </w:t>
      </w:r>
    </w:p>
    <w:p>
      <w:pPr>
        <w:pStyle w:val="TextBody"/>
        <w:bidi w:val="0"/>
        <w:spacing w:before="240" w:after="283"/>
        <w:jc w:val="both"/>
        <w:rPr>
          <w:rFonts w:ascii="Times New Roman" w:hAnsi="Times New Roman"/>
          <w:sz w:val="20"/>
        </w:rPr>
      </w:pPr>
      <w:r>
        <w:rPr>
          <w:rFonts w:ascii="Times New Roman" w:hAnsi="Times New Roman"/>
          <w:b/>
          <w:i/>
          <w:color w:val="000000"/>
          <w:sz w:val="20"/>
        </w:rPr>
        <w:t>Changes in patent law could diminish the value of patents in general, thereby impairing our ability to protect our current or future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and/or validity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infringes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Intellectual property rights do not guarantee commercial success of current or future product candidates or other business activities. Numerous factors may limit any potential competitive advantage provided by our intellectual property rights.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patent applications that we own or may in-license may not lead to issued patents;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patents, should they issue, that we may own or in-license, may not provide us with any competitive advantages, may be narrowed in scope, or may be challenged and held invalid or unenforceable;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third parties may compete with us in jurisdictions where we do not pursue and obtain patent protection;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make the inventions covered by a patent application that we own or may in-license;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file patent applications covering a particular invention;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others may independently develop similar or alternative technologies without infringing, misappropriating or otherwise violating our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able to obtain and/or maintain necessary licenses on reasonable terms or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third parties may assert an ownership interest in our intellectual property and, if successful, such disputes may preclude us from exercising exclusive rights, or any rights at all, over that intellectual property;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third-party may subsequently file a patent covering such trade secrets or know-how;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able to maintain the confidentiality of our trade secrets or other proprietary information;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develop or in-license additional proprietary technologies that are patentable;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patents of others may have an adverse effect on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Should any of these events occur, they could significantly harm our business, financial condition, results of operations and prospects. </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seek priority review designation for one or more of our product candidates, but we might not receive such designation, and even if we do, such designation may not lead to a faster regulatory review or approval process.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seek orphan drug designation for certain of our product candidates,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received orphan drug designation from the FDA for bitopertin for the treatment of EPP and for DISC-3405 for the treatment of PV. As part of our business strategy, we may seek orphan drug designation for certain of our product candidates and indications, as appropriate. Regulatory authorities in some jurisdictions, including the United States and Europe, may designate drugs for relatively small patient populations as orphan drugs. Under the Orphan Drug Act, the FDA may designate a drug or biologic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Similarly, in the European Union, the European Commission, upon the recommendation of the EMA’s Committee for Orphan Medicinal Products, grants orphan designation in respect of products that are intended for the diagnosis, prevention or treatment of life-threatening or chronically debilitating conditions affecting no more than 5 in 10,000 persons in the European Union. Additionally, designation may be granted for products intended for the diagnosis, prevention, or treatment of a life-threatening, seriously debilitating or serious and chronic condition when, without incentives, it is unlikely that sales of the product in the European Union would generate sufficient return to justify the necessary investment in developing the product. In each case, there must be no satisfactory method of diagnosis, prevention, or treatment of the applicable condition which is authorized for marketing in the European Union (or, if such a method exists, the applicable product would be of significant benefit to those affected by the condition). In the European Union, orphan designation entitles a party to financial incentives such as reduction of fees or fee waivers. The European Committee for Orphan Medical Products adopted a positive opinion on Orphan Designation for bitopertin for treatment of EPP.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Generally, if a product with an orphan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European Union market exclusivity period can be reduced to six years if, at the end of the fifth year, it is determined that a product no longer meets the criteria for orphan designation, including if the product is sufficiently profitable so that market exclusivity is no longer justified.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we obtain orphan drug exclusivity for one of our product candidates, that exclusivity may not effectively protect our product candidate from competition because different products can be approved for the same condition.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process. While we may seek orphan drug designation for our product candidates, we may never receive such designations. Even if we do receive such designations, there is no guarantee that we will enjoy the benefits of those designations.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may further reevaluate its regulations and policies under the Orphan Drug Act. We do not know if, when or how the FDA may change its orphan drug regulations and policies in the future, and it is uncertain how any changes might affect our business. Depending on what changes the FDA may make to its orphan drug regulations and policies, our business could be adversely impacted.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seek rare pediatric disease designation for bitopertin. However, a marketing application for bitopertin, if approved, may not meet the eligibility criteria for a rare pediatric disease priority review voucher.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seek rare pediatric disease designation for bitopertin in patients with EPP and XLP. The FDA defines “rare pediatric disease” as a (i) serious or life-threatening disease in which the serious or life-threatening manifestations primarily affect ages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at the time the application is approved. Under the Federal Food, Drug, and Cosmetic Act, we will need to request a rare pediatric disease priority review voucher in our original marketing application for our product candidates for which we have received rare pediatric disease designation. The FDA may determine that a marketing application for bitopertin, if approved, does not meet the eligibility criteria for a priority review voucher.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current statutory sunset provisions, after December 20, 2024, the FDA may only award a priority review voucher for an approved rare pediatric disease product application if the sponsor has rare pediatric disease designation for the drug or biologic that is the subject of such application, and that designation was granted by December 20, 2024. After September 30, 2026, the FDA may not award any rare pediatric disease priority review vouchers. However, it is possible the authority for FDA to award rare pediatric disease priority review vouchers will be further extended by Congress. As such, if we do not obtain approval of a marketing application for bitopertin in patients with EPP and XLP on or before September 30, 2026, and if the priority review voucher program is not extended by Congressional action, we may not receive a priority review voucher. </w:t>
      </w:r>
    </w:p>
    <w:p>
      <w:pPr>
        <w:pStyle w:val="TextBody"/>
        <w:bidi w:val="0"/>
        <w:spacing w:before="240" w:after="283"/>
        <w:jc w:val="both"/>
        <w:rPr>
          <w:rFonts w:ascii="Times New Roman" w:hAnsi="Times New Roman"/>
          <w:sz w:val="20"/>
        </w:rPr>
      </w:pPr>
      <w:r>
        <w:rPr>
          <w:rFonts w:ascii="Times New Roman" w:hAnsi="Times New Roman"/>
          <w:b/>
          <w:i/>
          <w:color w:val="000000"/>
          <w:sz w:val="20"/>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seek a breakthrough therapy designation for certain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are designated as breakthrough therapies, the FDA may later withdraw the designation if it determines that such product candidates no longer meet the conditions for such designation.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were granted fast track designation by the FDA for DISC-3405 for the treatment of PV in September 2023 and for DISC-0974 for the treatment of anemia in non-dialysis dependent chronic kidney disease in February 2024, and we may seek fast track designation for certain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the FDA may disagree and instead decide not to grant it. Even if we do receive fast track designation, we may not experience a faster development process, review or approval compared to conventional FDA procedures. The FDA may withdraw fast track designation if it believes that the designation no longer meets the conditions for such designation. Fast track designation alone does not guarantee qualification for the FDA’s priority review procedures.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seek approval from the FDA for bitopertin or any of our other current or future product candidates through the use of the Accelerated Approval Program. If we are not able to use such program, we may be required to conduct additional clinical trials beyond those that are contemplated, which would increase the expense of obtaining, and delay the receipt of, necessary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marketing approvals, if we receive them at all. In addition, even if the Accelerated Approval Program is available to us, it may not lead to expedited approval of our product candidates, or approval at all.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seek accelerated approval of bitopertin or any of our other current or future product candidates using the FDA’s Accelerated Approval Program.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It is possible that at the time of submission of a marketing application, the FDA may determine that our product candidate is not eligible for accelerated approval or that accelerated approval is not warranted. Moreover, FDA may revise how it implements accelerated approval, which could negatively affect the development of our current or future product candidates. </w:t>
      </w:r>
    </w:p>
    <w:p>
      <w:pPr>
        <w:pStyle w:val="TextBody"/>
        <w:bidi w:val="0"/>
        <w:spacing w:before="135" w:after="283"/>
        <w:jc w:val="both"/>
        <w:rPr>
          <w:rFonts w:ascii="Times New Roman" w:hAnsi="Times New Roman"/>
          <w:color w:val="000000"/>
          <w:sz w:val="20"/>
        </w:rPr>
      </w:pPr>
      <w:r>
        <w:rPr>
          <w:rFonts w:ascii="Times New Roman" w:hAnsi="Times New Roman"/>
          <w:color w:val="000000"/>
          <w:sz w:val="20"/>
        </w:rPr>
        <w:t xml:space="preserve">As a condition of approval, the FDA generally requires that a sponsor of a drug or biologic receiving accelerated approval perform adequate and well-controlled post-marketing clinical trials. These confirmatory trials must be completed with due diligence. Under FDORA, the FDA is permitted to require, as appropriate, that a post-approval confirmatory trial or trials be underway prior to approval or within a specified time period after the date accelerated approval is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confirmatory studies in a timely manner, send the necessary updates to the FDA, or if such post-approval trials fail to verify the product’s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being considered for accelerated approval, which could adversely impact the timing of the commercial launch of the product. </w:t>
      </w:r>
    </w:p>
    <w:p>
      <w:pPr>
        <w:pStyle w:val="TextBody"/>
        <w:bidi w:val="0"/>
        <w:spacing w:before="135" w:after="283"/>
        <w:jc w:val="both"/>
        <w:rPr>
          <w:rFonts w:ascii="Times New Roman" w:hAnsi="Times New Roman"/>
          <w:color w:val="000000"/>
          <w:sz w:val="20"/>
        </w:rPr>
      </w:pPr>
      <w:r>
        <w:rPr>
          <w:rFonts w:ascii="Times New Roman" w:hAnsi="Times New Roman"/>
          <w:color w:val="000000"/>
          <w:sz w:val="20"/>
        </w:rPr>
        <w:t xml:space="preserve">If we are not able to use, and obtain approval through, the Accelerated Approval Program for a product candidate, or if a product is withdrawn after accelerated approval has been granted, we may be required to conduct additional clinical trials beyond those that are contemplated, which would increase the expense of obtaining, and delay the receipt of, full FDA approval, if received at all. </w:t>
      </w:r>
    </w:p>
    <w:p>
      <w:pPr>
        <w:pStyle w:val="TextBody"/>
        <w:bidi w:val="0"/>
        <w:spacing w:before="135" w:after="283"/>
        <w:jc w:val="both"/>
        <w:rPr>
          <w:rFonts w:ascii="Times New Roman" w:hAnsi="Times New Roman"/>
          <w:color w:val="000000"/>
          <w:sz w:val="20"/>
        </w:rPr>
      </w:pPr>
      <w:r>
        <w:rPr>
          <w:rFonts w:ascii="Times New Roman" w:hAnsi="Times New Roman"/>
          <w:color w:val="000000"/>
          <w:sz w:val="20"/>
        </w:rPr>
        <w:t xml:space="preserve">In November 2024, we announced that, based on discussions with the FDA, reduction in protoporphyrin IX, or PPIX, may be sufficient to serve as a surrogate endpoint supportive of submitting an NDA for bitopertin in EPP and XLP under the FDA’s Accelerated Approval Program based on our existing data, subject to further discussion regarding the design of our planned APOLLO clinical trial as a confirmatory trial. The FDA may not agree with us on the design of any such confirmatory trial, in which case we would need to conduct the APOLLO trial as a Phase 3 clinical trial in order to support an NDA submission under the traditional registrational pathway. Even if the FDA agrees with the design of a confirmatory trial, the FDA may not accept any application we make for accelerated approval for bitopertin, may not grant this approval on a timely basis, or may not grant approval at all. Even if we do receive accelerated approval, we may not experience a faster development or regulatory review or approval process, and receiving accelerated approval does not provide assurance of ultimate full FDA approval. Even if the Accelerated Approval Program does result in a faster approval process, there is no guaranty that we will be able to begin commercialization of our product at the time of such approval. </w:t>
      </w:r>
    </w:p>
    <w:p>
      <w:pPr>
        <w:pStyle w:val="TextBody"/>
        <w:bidi w:val="0"/>
        <w:spacing w:before="240" w:after="283"/>
        <w:jc w:val="both"/>
        <w:rPr>
          <w:rFonts w:ascii="Times New Roman" w:hAnsi="Times New Roman"/>
          <w:sz w:val="20"/>
        </w:rPr>
      </w:pPr>
      <w:r>
        <w:rPr>
          <w:rFonts w:ascii="Times New Roman" w:hAnsi="Times New Roman"/>
          <w:b/>
          <w:i/>
          <w:color w:val="000000"/>
          <w:sz w:val="20"/>
        </w:rPr>
        <w:t>If our drug product candidates or any of our future drug product candidates obtain regulatory approval, additional competitors could enter the market with generic versions of such products, which may result in a material decline in sales of our competing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or preclinical studies and/or clinical trials that were not conducted by, or for, the applicant and for which the applicant has not obtained a right of reference.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the applicable, approved innovator product, a generic or 505(b)(2) applicant that seeks to market our product before expiration of the patents must include in their applications what is known as a “Paragraph IV” certification, challenging the validity or enforceability, or claiming non-infringement, of the listed patent or patents. Notice of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certification must be given to the patent owner and NDA holder and if, within 45 days of receiving notice, either the patent owner or NDA holder sues for patent infringement, approval of the ANDA or 505(b)(2) NDA is stayed for up to 30 months.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Accordingly, if any of our product candidates that are regulated as drugs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successful in securing or maintaining proprietary patent protection for products and technologies we develop or licenses,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our sales would likely decline rapidly and materially. </w:t>
      </w:r>
    </w:p>
    <w:p>
      <w:pPr>
        <w:pStyle w:val="TextBody"/>
        <w:bidi w:val="0"/>
        <w:spacing w:before="240" w:after="283"/>
        <w:jc w:val="both"/>
        <w:rPr>
          <w:rFonts w:ascii="Times New Roman" w:hAnsi="Times New Roman"/>
          <w:sz w:val="20"/>
        </w:rPr>
      </w:pPr>
      <w:r>
        <w:rPr>
          <w:rFonts w:ascii="Times New Roman" w:hAnsi="Times New Roman"/>
          <w:b/>
          <w:i/>
          <w:color w:val="000000"/>
          <w:sz w:val="20"/>
        </w:rPr>
        <w:t>If approved, our investigational products regulated as biologics may face competition from biosimilars or interchangeable products approved through an abbreviated regulatory pathway.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Biologics Price Competition and Innovation Act of 2009, or BPCIA, created an abbreviated approval pathway for biologic products that are biosimilar to or interchangeable with an FDA-licensed reference biologic product. Under the BPCIA, an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t>
      </w:r>
    </w:p>
    <w:p>
      <w:pPr>
        <w:pStyle w:val="TextBody"/>
        <w:bidi w:val="0"/>
        <w:spacing w:before="135" w:after="283"/>
        <w:jc w:val="both"/>
        <w:rPr>
          <w:rFonts w:ascii="Times New Roman" w:hAnsi="Times New Roman"/>
          <w:color w:val="000000"/>
          <w:sz w:val="20"/>
        </w:rPr>
      </w:pPr>
      <w:r>
        <w:rPr>
          <w:rFonts w:ascii="Times New Roman" w:hAnsi="Times New Roman"/>
          <w:color w:val="000000"/>
          <w:sz w:val="20"/>
        </w:rPr>
        <w:t xml:space="preserve">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potentially creating the opportunity for biosimilar competition sooner than anticipated. Other aspects of the BPCIA, some of which may impact the BPCIA exclusivity provisions, have also been the subject of litigation. Moreover, the extent to which a biosimilar or interchangeable product, once licensed, will be substituted for any one of our reference products in a way that is similar to traditional generic substitution for non-biologic products is not yet clear, and will depend on a number of marketplace and regulatory factors that are still developing. If competitors are able to obtain regulatory approval for biosimilars or interchangeable products referencing our products, our products may become subject to competition from such biosimilars or interchangeable products, with the attendant competitive pressure and consequences. </w:t>
      </w:r>
    </w:p>
    <w:p>
      <w:pPr>
        <w:pStyle w:val="TextBody"/>
        <w:bidi w:val="0"/>
        <w:spacing w:before="240" w:after="283"/>
        <w:jc w:val="both"/>
        <w:rPr>
          <w:rFonts w:ascii="Times New Roman" w:hAnsi="Times New Roman"/>
          <w:sz w:val="20"/>
        </w:rPr>
      </w:pPr>
      <w:r>
        <w:rPr>
          <w:rFonts w:ascii="Times New Roman" w:hAnsi="Times New Roman"/>
          <w:b/>
          <w:i/>
          <w:color w:val="000000"/>
          <w:sz w:val="20"/>
        </w:rPr>
        <w:t>The FDA, the EMA and other regulatory authorities may implement additional regulations or restrictions on the development and commercialization of our product candidates, and such changes can be difficult to predict.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 </w:t>
      </w:r>
    </w:p>
    <w:p>
      <w:pPr>
        <w:pStyle w:val="TextBody"/>
        <w:bidi w:val="0"/>
        <w:spacing w:before="240" w:after="283"/>
        <w:jc w:val="both"/>
        <w:rPr>
          <w:rFonts w:ascii="Times New Roman" w:hAnsi="Times New Roman"/>
          <w:sz w:val="20"/>
        </w:rPr>
      </w:pPr>
      <w:r>
        <w:rPr>
          <w:rFonts w:ascii="Times New Roman" w:hAnsi="Times New Roman"/>
          <w:b/>
          <w:i/>
          <w:color w:val="000000"/>
          <w:sz w:val="20"/>
        </w:rPr>
        <w:t>The FDA and other regulatory agencies actively enforce the laws and regulations prohibiting the promotion of off-label uses.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non-misleading information about an approved product, a manufacturer may not promote a product for uses that are not approved by the FDA or such other regulatory agencies as reflected in the product’s approved labeling.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 </w:t>
      </w:r>
    </w:p>
    <w:p>
      <w:pPr>
        <w:pStyle w:val="TextBody"/>
        <w:bidi w:val="0"/>
        <w:spacing w:before="240" w:after="283"/>
        <w:jc w:val="both"/>
        <w:rPr>
          <w:rFonts w:ascii="Times New Roman" w:hAnsi="Times New Roman"/>
          <w:sz w:val="20"/>
        </w:rPr>
      </w:pPr>
      <w:r>
        <w:rPr>
          <w:rFonts w:ascii="Times New Roman" w:hAnsi="Times New Roman"/>
          <w:b/>
          <w:i/>
          <w:color w:val="000000"/>
          <w:sz w:val="20"/>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Healthcare legislative reform measures may have a material adverse effect on our business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 and many foreign jurisdictions have enacted or proposed legislative and regulatory changes affecting the U.S. and global healthcare systems that could prevent or delay regulatory approval of our current or future product candidates or any future product candidates, restrict or regulate post-approval activities and affect our ability to profitably sell a product for which we obtain regulatory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on-going legislative initiatives to contain healthcare costs. For example, in March 2010, the Patient Protection and Affordable Care Act, or the ACA, was passed, as amended by the Health Care and Education Reconciliation Act of 2010, which substantially changed the way healthcare is financed by both governmental and private insurers, and significantly impacted the U.S. pharmaceutical industry. The ACA, among other things, subjects biological products to potential competition by lower-cost biosimilars,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 Since then, the ACA risk adjustment program payment parameters have been updated annually.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the ACA’s enactment, there have been numerous judicial, administrative, executive and legislative challenges to certain aspects of the ACA and we expect that there will be additional challenges and amendments to the ACA in the future. On June 17, 2021, for example, the U.S. Supreme Court dismissed the most recent judicial challenge to the ACA brought by several states without specifically ruling on the constitutionality of the ACA. In addition, President Biden has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 It is unclear how other healthcare reform measures of the Biden administrations or other efforts, if any, to challenge repeal or replace the ACA, will impact our business.</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other legislative and regulatory changes have been proposed and adopted in the United States since the ACA was enacted: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Budget Control Act of 2011, for example, included aggregate reductions of Medicare payments to providers of 2% per fiscal year that will remain in effect through 2032.</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American Taxpayer Relief Act of 2012 further reduced Medicare payments to several types of providers and increased the statute of limitations period for the government to recover overpayments to providers from three to five years.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Right to Try Act (2018)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CMS published a final rule that allows Medicare Advantage Plans the option of using step therapy for Part B drugs, which began January 1, 2020.</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American Rescue Plan Act of 2021, which eliminates the statutory Medicaid drug rebate cap, previously set at 100% of a drug’s average manufacturer price, for single source and innovator multiple source drugs, effective January 1, 2024. Due to the Statutory Pay-As-You-Go Act of 2010, estimated budget deficit increases resulting from the American Rescue Plan Act of 2021, and subsequent legislation, Medicare payments to providers will be further reduced starting in 2025 absent further legislation.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has been increasing legislative and enforcement interest in the U.S.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Inflation Reduction Act of 2022, or 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On August 15, 2024, CMS announced the results of the first round of negotiated prices between CMS and participating drug manufacturers for the ten selected drugs under the IRA’s Medicare drug price negotiation program. The negotiated prices go into effect in 2026 unless any ongoing litigation is successful in challenging the constitutionality of the IRA’s Medicare drug price negotiation program and provides a mechanism to block the implementation of the program. The effects of the IRA on our business and the healthcare industry in general is not yet known.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that additional state and federal healthcare reform measures will be adopted in the future, any of which could limit the amounts that federal and state governments will pay for healthcare products and services, or the frequency with which any such product candidate is prescribed or used, which could result in reduced demand for our current or future product candidates or additional pricing pressures. In particular any policy changes through CMS as well as local state Medicaid programs could have a significant impact on our business.</w:t>
      </w:r>
    </w:p>
    <w:p>
      <w:pPr>
        <w:pStyle w:val="TextBody"/>
        <w:bidi w:val="0"/>
        <w:spacing w:before="135" w:after="283"/>
        <w:jc w:val="both"/>
        <w:rPr>
          <w:rFonts w:ascii="Times New Roman" w:hAnsi="Times New Roman"/>
          <w:color w:val="000000"/>
          <w:sz w:val="20"/>
        </w:rPr>
      </w:pPr>
      <w:r>
        <w:rPr>
          <w:rFonts w:ascii="Times New Roman" w:hAnsi="Times New Roman"/>
          <w:color w:val="000000"/>
          <w:sz w:val="20"/>
        </w:rPr>
        <w:t xml:space="preserve">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demand for our current or future product candidates, if we obtain regulatory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set a price that we believe is fair for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obtain coverage and reimbursement approval for a product;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reduction in reimbursement from Medicare or other government programs may result in a similar reduction in payments from private payors, which may adversely affect our future profitability. </w:t>
      </w:r>
    </w:p>
    <w:p>
      <w:pPr>
        <w:pStyle w:val="TextBody"/>
        <w:bidi w:val="0"/>
        <w:spacing w:before="240" w:after="283"/>
        <w:jc w:val="both"/>
        <w:rPr>
          <w:rFonts w:ascii="Times New Roman" w:hAnsi="Times New Roman"/>
          <w:sz w:val="20"/>
        </w:rPr>
      </w:pPr>
      <w:r>
        <w:rPr>
          <w:rFonts w:ascii="Times New Roman" w:hAnsi="Times New Roman"/>
          <w:b/>
          <w:i/>
          <w:color w:val="000000"/>
          <w:sz w:val="20"/>
        </w:rPr>
        <w:t>Our relationships with customers, healthcare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will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 pharmaceutical manufacturers, on the one hand, and 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 number of statutory exceptions and regulatory safe harbors protecting some common activities from prosecution;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 actions on behalf of the federal government alleging violations of the federal False Claims Act and to share in any monetary recovery;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Times New Roman" w:hAnsi="Times New Roman"/>
          <w:color w:val="000000"/>
          <w:sz w:val="20"/>
        </w:rPr>
        <w:t>the delivery of or payment for healthcare benefits, items or services; similar to the federal Anti-Kickback Statute, a person or entity does not need to have actual knowledge of the statute or specific intent to violate it in order to have committed a violation;</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federal consumer protection and unfair competition laws, which broadly regulate marketplace activities and activities that potentially harm consumers;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federal price reporting laws, which require manufacturers to calculate and report complex pricing metrics to government programs, where such reported prices may be used in the calculation of reimbursement and/or discounts on approved products.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also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U.S., to help patients afford our approved product, we may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imprisonment,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 corporate integrity agreement, deferred prosecution agreement, or other agreement to resolve allegations of non-compliance with these laws. If any of the physicians or other providers or entities with whom we expect to do business is found not to be in compliance with applicable laws, they may be subject to similar criminal, civil or administrative sanctions, including exclusions from government funded healthcare programs.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Compliance with U.S. and global privacy and data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regulatory framework for the collection, use, safeguarding, sharing, transfer and other processing of information worldwide is rapidly evolving and is likely to remain uncertain for the foreseeable future. We possess and process sensitive information, including patient health information. In the U.S., there are numerous federal and state privacy and data security laws and regulations governing the collection, use, disclosure and protection of personal information, including health information privacy laws, security breach notification laws and consumer protection laws. These federal and state laws, in many cases, are not preempted by HIPAA and may be subject to varying interpretations by the courts and government agencies. These varying interpretations can create complex compliance issues for us and our partners and potentially expose us to additional expense, adverse publicity and liability, any of which could adversely affect our business. There is ongoing concern from privacy advocates, regulators and others regarding data privacy and security issues, and the number of jurisdictions with data privacy and security laws has been increasing. Also, there are ongoing public policy discussions regarding whether the standards for de-identification, anonymization or pseudonymization of health information are sufficient, and the risk of re-identification sufficiently small, to adequately protect patient privacy. We expect that there will continue to be new proposed and amended laws, regulations and industry standards concerning privacy, data protection and information security in the United States. For example, California enacted the California Consumer Privacy Act, or CCPA, which took effect on January 1, 2020, and became enforceable by the California Attorney General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1, 2020. This law broadly defines personal information, gives California residents expanded rights to access and delete their personal information, and places stringent privacy and security obligations on businesses covered by the law, including obligations to provide detailed disclosures to California consumers about their data collection, use and sharing practices, and to provide such consumers with ways to opt out of certain sales or transfers of personal information. It also provides for civil penalties for violations, and allows for a private right of action for data breaches that is expected to increase data breach litigation. In addition, the California Privacy Rights Act, or CPRA, which became effective on January 1, 2023, significantly modified the CCPA by expanding consumer rights with respect to certain sensitive information, and creating a new state agency that is vested with authority to implement and enforce the CCPA.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Comprehensive laws similar to the CCPA have been passed in numerous other states outside of California and proposed in others. These laws are substantially similar in scope and contain many of the same requirements and exceptions as the CCPA, including a general exemption for clinical trial data and limited obligations for entities regulated by HIPAA. However, we cannot yet determine the full impact these laws or other such future laws, regulations and standards may have on our current or future business. Any of these laws may broaden their scope in the future, and similar laws have been proposed on both a federal level and in more than half of the states in the U.S. In addition, 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Furthermore, in addition to comprehensive privacy laws, certain states have enacted laws to focus on particular more limited privacy laws. For example, the state of Washington has passed a law to protect medical and health information not subject to HIPAA. This law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information. The existence of comprehensive privacy laws in different states in the country would make our compliance obligations more complex and costly and may increase the likelihood that we may be subject to enforcement actions or otherwise incur liability for noncompliance. These various privacy and security laws may impact our business activities, including our identification of research subjects, relationships with business partners and ultimately the marketing and distribution of our products. State laws are changing rapidly and there have been proposals for a new comprehensive federal data privacy law to which we may likely become subject, if enacted.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collection, use, storage, disclosure, transfer or other processing of personal data regarding individuals in the EEA and UK, including personal health data, is subject to the EU General Data Protection Regulation 2016/679, or EU GDPR, with respect to individuals in the EEA and the UK General Data Protection Regulation (following the incorporation of the EU GDPR into UK law), or UK GDPR, with respect to individuals in the UK, and together with the EU GDPR, GDPR. The GDPR is wide-ranging in scope and imposes numerous requirements on companies that process personal data, including requirements relating to having a legal basis for processing personal data, stricter requirements relating to processing sensitive data (such as health data), where required by GDPR obtaining consent of the individuals to whom the personal data relates, providing information to individuals regarding data processing activities, implementing safeguards to protect the security and confidentiality of personal data, providing notification of data breaches, requiring data protection impact assessments for high risk processing and taking certain measures when engaging third-party processors. The GDPR permits data protection authorities to impose large penalties for violations of the GDPR, including potential fines of up to €20 million (17.5 million for the UK)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GDPR provides that EEA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GDPR also imposes strict rules on the transfer of personal data to countries outside the EEA and UK not deemed adequate for the transfer of such personal data by competent data protection authorities, or third countries, including the United States in certain circumstances unless a derogation exists or we may need to incorporate a GDPR transfer mechanism (such as the European Commission approved standard contractual clauses, or SCCs or the UK International Data Transfer Addendum, or IDTA) into our agreements with third parties to govern such transfers of personal data and carry out transfer impact assessments. Further, the European Union and United States have adopted its adequacy decision for the EU-U.S. Data Privacy Framework, or the Framework, which entered into force on July 11, 2023. This Framework provides that the protection of personal data transferred between the European Union and the United States is comparable to that offered in the European Union. This provides a further avenue to ensuring transfers to the United States are carried out in line with GDPR. There has been an extension to the Framework to cover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UK transfers to the United States. The Framework could be challenged like its predecessor frameworks. The international transfer obligations under the EEA and UK data protection regimes will require effort and cost and may result in us needing to make strategic considerations around where EEA/UK personal data is located and which service providers we can utilize for the processing of EEA/UK personal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the UK is regarded as a third country under the EU GDPR, the European Commission has issued an “Adequacy Decision” recognizing the UK as providing adequate protection under the EU GDPR and, therefore, transfers of personal data subject to the EU GDPR to the UK remain unrestricted. The UK government has confirmed that personal data transfers from the UK to the EEA remain free flowing. The UK Government has also now introduced a Data Protection and Digital Information Bill, or the UK Bill, into the UK legislative process with the intention for this bill to reform the UK’s data protection regime following Brexit. If passed, the final version of the UK Bill may have the effect of further altering the similarities between the UK and EU data protection regime and threaten the UK Adequacy Decision from the EU Commission. This may lead to additional compliance costs and could increase our overall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these evolving compliance and operational requirements impose potentially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If we or third-party CDMOs,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financial condition, results of operations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use and integrate artificial intelligence, or AI, into our business processes, and this innovation presents risks and challenges that could affect its adoption, and therefore our business. If we enable or offer solutions that draw controversy due to perceived or actual negative societal impact, we may experience brand or reputational harm, competitive harm or legal liability. The use of certain AI technology can give rise to intellectual property risks, including compromises to proprietary intellectual property and intellectual property infringement. To the extent we develop our own AI systems, then the risk of intellectual property infringement could arise from third party data sources being used to train our AI models, and from the output of AI systems reproducing or incorporating third party intellectual property rights, in each case without the right to do so. Further, a risk of our proprietary intellectual property rights being compromised through the use of AI could arise through third party vendors using our data to train their models and/or to generate output for other users of their systems. If our third party vendors use our data (which includes personal data) to train their AI models and/or to generate output for other users of their systems, this could also give rise to regulatory risks. Additionally, we expect to see increasing government and supranational regulation related to AI use and ethics, which may also significantly increase the burden and cost of research, development and compliance in this area. For example, the European Union’s Artificial Intelligence Act, or the AI Act, the world’s first comprehensive AI law, entered into force in August 2024 and, with some exceptions, becomes effective in August 2025. This legislation imposes significant obligations on providers and deployers of high risk AI systems, and encourages providers and deployers of AI systems to account for European Union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 </w:t>
      </w:r>
    </w:p>
    <w:p>
      <w:pPr>
        <w:pStyle w:val="TextBody"/>
        <w:bidi w:val="0"/>
        <w:spacing w:before="240" w:after="283"/>
        <w:jc w:val="both"/>
        <w:rPr>
          <w:rFonts w:ascii="Times New Roman" w:hAnsi="Times New Roman"/>
          <w:sz w:val="20"/>
        </w:rPr>
      </w:pPr>
      <w:r>
        <w:rPr>
          <w:rFonts w:ascii="Times New Roman" w:hAnsi="Times New Roman"/>
          <w:b/>
          <w:i/>
          <w:color w:val="000000"/>
          <w:sz w:val="20"/>
        </w:rPr>
        <w:t>Laws and regulations governing any international operations we may have in the future may preclude us from developing, manufacturing and selling certain products outside of the United States and require us to develop and implement costly compliance programs.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Relating to Employee Matters and Managing Growth</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Our future success depends on our ability to retain key executives and experienced scientists and to attract, retain, and motivate qualified personnel.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highly dependent on many of our key employees and members of our executive management team as well as the other principal members of our management, scientific and clinical teams.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particular, we have experienced a very competitive hiring environment in the greater Boston area of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be unable to adequately protect our information systems and infrastructure from cyberattacks or security compromises, incidents or breaches, which could result in the disclosure of confidential or proprietary information, including personal data, damage our reputation, and subject us to significant financial and legal exposure.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on information technology systems and infrastructure that we or our third-party providers operate to process, transmit and store electronic information in our day-to-day operations. In connection with our product discovery efforts, we may collect and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use a variety of personal data and other confidential and/or proprietary data, such as names, mailing addresses, email addresses, phone numbers and clinical trial information. A successful cyberattack could result in the theft, destruction or misuse of intellectual property, data, or other misappropriation of assets, or otherwise compromise our confidential or proprietary information and disrupt our operations. Cyberattacks generally are increasing in their frequency, sophistication and intensity, and have become increasingly difficult to detect. Cyberattacks could include wrongful conduct by hostile foreign governments, employees, contractors or other third-parties and industrial espionage, wire fraud and other forms of cyber fraud, the deployment of harmful malware, denial-of-service, social engineering fraud or other means to threaten or compromise the security, confidentiality, integrity and availability of systems and information. A successful cyberattack could cause serious negative consequences for us, including, without limitation, the disruption of operations, the misappropriation of protected information or confidential business information, including personal data, financial information, trade secrets, financial loss and the disclosure of corporate strategic plans. Although we devote resources designed to protect our information systems and infrastructure, we realize that cyberattacks are a threat, and there can be no assurance that our efforts will prevent or adequately address information security compromises, incidents or breaches that would result in business, legal, financial or reputational harm to it, or would have a material adverse effect on our results of operations and financial condition. Any failure to prevent or mitigate security breaches, compromises or incidents or improper access to, use of, or disclosure of protected information, including our clinical data or patients’ personal data could result in significant liability through litigation and regulatory investigations and enforcement actions, including under state (e.g., state breach notification and consumer protection laws), federal (e.g., HIPAA, as amended by the Health Information Technology for Economic and Clinical Health Act of 2009 (HITECH)), and international law (e.g., the GDPR), and may cause a material adverse impact to our reputation, affect our ability to conduct new studies and potentially disrupt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on our third-party providers to implement effective security measures and identify and correct for any such failures, deficiencies, vulnerabilities, compromises, incidents or breaches. We also rely on our employees and consultants to safeguard their security credentials and follow our policies and procedures regarding use and access of computers and other devices that may contain protected information and our sensitive information. If we or our third-party providers fail to maintain or protect our information technology systems, infrastructure and data integrity effectively or fail to anticipate, plan for or manage significant disruptions to our information technology systems and infrastructure,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adequately mitigate security breaches, compromises or incidents or improper access to or disclosure of such information could have similarly adverse consequences for us. If we are unable to prevent or adequately mitigate the impact of such security or data privacy incidents, compromises or breaches, we could be exposed to litigation and governmental investigations, inquiries, orders, penalties or fines, which could lead to a potential disruption to our business and financial penalties or losses. By way of example, the CCPA, which was modified by the CPRA, creates individual privacy rights for California consumers and increases the privacy and security obligations of entities handling certain personal data. The CCPA provides for civil penalties of up to $7,500 per violation, as well as a private right of action for data breaches that has, and is expected to continue to, increase the volume of data breach related litigation filed in California. </w:t>
      </w:r>
    </w:p>
    <w:p>
      <w:pPr>
        <w:pStyle w:val="TextBody"/>
        <w:bidi w:val="0"/>
        <w:spacing w:before="240" w:after="283"/>
        <w:jc w:val="both"/>
        <w:rPr>
          <w:rFonts w:ascii="Times New Roman" w:hAnsi="Times New Roman"/>
          <w:sz w:val="20"/>
        </w:rPr>
      </w:pPr>
      <w:r>
        <w:rPr>
          <w:rFonts w:ascii="Times New Roman" w:hAnsi="Times New Roman"/>
          <w:b/>
          <w:i/>
          <w:color w:val="000000"/>
          <w:sz w:val="20"/>
        </w:rPr>
        <w:t>We expect to expand our development and regulatory capabilities and potentially implement sales, marketing and distribution capabilities,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October 31, 2024, we had 82 full-time employees and no part-time employees. We expect to experience significant growth in the number of our employees and the scope of our operations, particularly as we mature as a public company and in the areas of product development, regulatory affairs and, if any of our product candidates receives regulatory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placed into receivership. Although a statement by the Department of the Treasury, the Federal Reserve and the FDIC indicated that all depositors of SVB (such as our Company)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Subsequent to these events, additional financial institutions have experienced similar failures and have been placed into receivership. It is possible that other banks will face similar difficulty in the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such as Hercules Capital,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Changes in tax law may adversely affect us or our investors.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For example, under Section 174 of the Code, in taxable years beginning after December 31, 2021, expenses that are incurred for research and development in the U.S. will be capitalized and amortized, which may have an adverse effect on our cash flow.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 Prospective investors should consult their tax advisors regarding the potential consequences of changes in tax law on our business and on the ownership and disposition of our common stock. </w:t>
      </w:r>
    </w:p>
    <w:p>
      <w:pPr>
        <w:pStyle w:val="TextBody"/>
        <w:bidi w:val="0"/>
        <w:spacing w:before="240" w:after="283"/>
        <w:jc w:val="both"/>
        <w:rPr>
          <w:rFonts w:ascii="Times New Roman" w:hAnsi="Times New Roman"/>
          <w:sz w:val="20"/>
        </w:rPr>
      </w:pPr>
      <w:r>
        <w:rPr>
          <w:rFonts w:ascii="Times New Roman" w:hAnsi="Times New Roman"/>
          <w:b/>
          <w:i/>
          <w:color w:val="000000"/>
          <w:sz w:val="20"/>
        </w:rPr>
        <w:t>Our future taxable income may be subject to certain limitations.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2023, we had federal and state net operating loss carryforwards of $88.1 million and $91.7 million, respectively. Substantially all of the federal NOLs are not subject to expiration and the state NOLs begin to expire in 2037. As of December 31, 2023, we also had federal and state research and development tax credit carryforwards of $5.8 million and $1.8 million, respectively, which begin to expire in 2032. These net operating loss and tax credit carryforwards could expire unused and be unavailable to offset future income tax liabilities. Under current law, unused U.S. federal and certain state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2019, 2020 and 2021 may be carried back to each of the five tax years preceding the tax years of such losses. For taxable years beginning after December 31, 2020, the deductibility of U.S. federal net operating losses generated for tax years beginning after December 31, 2017 is limited to 80% of our taxable income in any future taxable year. In addition, in general, under Sections 382 and 383 of the Internal Revenue Code of 1986, as amended, or the Code, a corporation that undergoes an “ownership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 is subject to limitations on its ability to utilize its pre-change net operating losses or tax credits, or NOLs or credits, to offset future taxable income or taxes. For these purposes, an ownership change generally occurs when one or more stockholders or groups of stockholders who each owns at least 5% of a corporation’s stock increase their aggregate stock ownership by more than 50 percentage points over their lowest ownership percentage within a specified testing period. Our existing NOLs or credits may be subject to limitations arising from previous ownership changes, and if we undergo an ownership change after the merger,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 </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currently engage, and expect to continue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w:t>
      </w:r>
    </w:p>
    <w:p>
      <w:pPr>
        <w:pStyle w:val="TextBody"/>
        <w:bidi w:val="0"/>
        <w:spacing w:before="240" w:after="283"/>
        <w:jc w:val="both"/>
        <w:rPr>
          <w:rFonts w:ascii="Times New Roman" w:hAnsi="Times New Roman"/>
          <w:sz w:val="20"/>
        </w:rPr>
      </w:pPr>
      <w:r>
        <w:rPr>
          <w:rFonts w:ascii="Times New Roman" w:hAnsi="Times New Roman"/>
          <w:b/>
          <w:i/>
          <w:color w:val="000000"/>
          <w:sz w:val="20"/>
        </w:rPr>
        <w:t>Unfavorable global economic conditions could adversely affect our business, financial condition or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caused significant volatility and uncertainty in U.S. and international markets. See “Risks Related to the Discovery and Development of Our Product Candidates-A pandemic, epidemic, or outbreak of an infectious or highly contagious disease may materially and adversely affect our business and financial results and could cause a disruption to the development of our product candidates.” Interest rates in the U.S. have recently increased to levels not seen in decades. In addition, the impact of geopolitical tension, such as a deterioration in the bilateral relationship between the United States and China or an escalation in conflict between Russia and Ukraine and between Israel and Hamas, including any resulting sanctions, export controls or other restrictive actions, also could lead to disruption, instability and volatility in the global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Any of the foregoing could harm our business and we cannot anticipate all of the ways in which the current economic climate and financial market conditions could adversely impact our business.</w:t>
      </w:r>
    </w:p>
    <w:p>
      <w:pPr>
        <w:pStyle w:val="TextBody"/>
        <w:bidi w:val="0"/>
        <w:spacing w:before="240" w:after="283"/>
        <w:jc w:val="both"/>
        <w:rPr>
          <w:rFonts w:ascii="Times New Roman" w:hAnsi="Times New Roman"/>
          <w:sz w:val="20"/>
        </w:rPr>
      </w:pPr>
      <w:r>
        <w:rPr>
          <w:rFonts w:ascii="Times New Roman" w:hAnsi="Times New Roman"/>
          <w:b/>
          <w:i/>
          <w:color w:val="000000"/>
          <w:sz w:val="20"/>
        </w:rPr>
        <w:t>Our employees, principal investigators, CROs and consultants may engage in misconduct or other improper activities, including non-compliance with regulatory standards and requirements or insider trading.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ourself or asserting our rights, those actions could have a significant impact on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The market price of our common stock is expected to be volatile.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price of our common stock following the merger could be subject to significant fluctuations. Some of the factors that may cause the market price of our common stock to fluctuate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results of clinical trials and preclinical studies of our product candidates, or those of our competitors or our existing or future collaborators;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failure to meet or exceed financial and development projections we may provide to the public;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failure to meet or exceed the financial and development projections of the investment community;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do not achieve the perceived benefits of the merger as rapidly or to the extent anticipated by financial or industry analysts;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announcements of significant acquisitions, strategic collaborations, joint ventures or capital commitments by us or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actions taken by regulatory agencies with respect to our product candidates, clinical studies, manufacturing process or sales and marketing terms;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disputes or other developments relating to proprietary rights, including patents, litigation matters, and our ability to obtain patent protection for our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significant lawsuits, including patent or stockholder litigation;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securities or industry analysts do not publish research or reports about our business, or if they issue adverse or misleading opinions regarding our business and stock;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the market valuations of similar companies;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market or macroeconomic conditions or market conditions in the pharmaceutical and biotechnology sectors;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of securities by us or our securityholders in the future;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fail to raise an adequate amount of capital to fund our operations and continued development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trading volume of our common stock;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announcements by competitors of new commercial products, clinical progress or lack thereof, significant contracts, commercial relationships or capital commitments;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adverse publicity relating to precision medicine product candidates, including with respect to other products in such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introduction of technological innovations or new therapies that compete with our products and services;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period-to-period fluctuations in our financial results.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incurred and will continue to incur increased costs and increased demands upon management as a result of complying with the laws and regulations affecting public companies.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continue to incur significant legal, accounting and other expenses as a public company that we did not incur as a private company, including costs associated with public company reporting obligations under the Securities Exchange Act of 1934, as amended, or the Exchange Act.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 </w:t>
      </w:r>
    </w:p>
    <w:p>
      <w:pPr>
        <w:pStyle w:val="TextBody"/>
        <w:bidi w:val="0"/>
        <w:spacing w:before="240" w:after="283"/>
        <w:jc w:val="both"/>
        <w:rPr>
          <w:rFonts w:ascii="Times New Roman" w:hAnsi="Times New Roman"/>
          <w:sz w:val="20"/>
        </w:rPr>
      </w:pPr>
      <w:r>
        <w:rPr>
          <w:rFonts w:ascii="Times New Roman" w:hAnsi="Times New Roman"/>
          <w:b/>
          <w:i/>
          <w:color w:val="000000"/>
          <w:sz w:val="20"/>
        </w:rPr>
        <w:t>Once we are no longer an emerging growth company, a smaller reporting company or otherwise no longer qualify for applicable exemptions, we will be subject to additional laws and regulations affecting public companies that will increase our costs and the demands on management and could harm our operating results.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However, as an emerging growth company we may take advantage of exemptions from various requirements such as an exemption from the requirement to have our independent auditors attest to our internal control over financial reporting under Section 404 of the Sarbanes-Oxley Act of 2002 as well as an exemption from the “say on pay” voting requirements pursuant to the Dodd-Frank Wall Street Reform and Consumer Protection Act of 2010. After we no longer qualify as an emerging growth company, we may still qualify as a “smaller reporting company” which may allow us to take advantage of some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Once we are no longer an emerging growth company, a smaller reporting company or otherwise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 </w:t>
      </w:r>
    </w:p>
    <w:p>
      <w:pPr>
        <w:pStyle w:val="TextBody"/>
        <w:bidi w:val="0"/>
        <w:spacing w:before="240" w:after="283"/>
        <w:jc w:val="both"/>
        <w:rPr>
          <w:rFonts w:ascii="Times New Roman" w:hAnsi="Times New Roman"/>
          <w:sz w:val="20"/>
        </w:rPr>
      </w:pPr>
      <w:r>
        <w:rPr>
          <w:rFonts w:ascii="Times New Roman" w:hAnsi="Times New Roman"/>
          <w:b/>
          <w:i/>
          <w:color w:val="000000"/>
          <w:sz w:val="20"/>
        </w:rPr>
        <w:t>Provisions in our charter documents and under Delaware law could make an acquisition of us more difficult and may discourage any takeover attempts our stockholders may consider favorable, and may lead to entrenchment of management.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Provisions of our amended and restated certificate of incorporation and amended and restated bylaws could delay or prevent changes in control or changes in management without the consent of the board of directors. These provisions will include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board of directors divided into three classes serving staggered three-year terms, such that not all members of the board will be elected at one time;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cumulative voting in the election of directors, which limits the ability of minority stockholders to elect director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prohibition on stockholder action by written consent, which means that all stockholder action must be taken at an annual or special meeting of the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requirement that special meetings of stockholders be called only by the chairman of the board of directors, the Chief Executive Officer or by a majority of the total number of authorized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advance notice requirements for stockholder proposals and nominations for election to the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requirement that no member of the board of directors may be removed from office by stockholders except for cause and, in addition to any other vote required by law, upon the approval of not less than two-thirds of all outstanding shares of voting stock then entitled to vote in the election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requirement of approval of not less than two-thirds of all outstanding shares of voting stock to amend any bylaws by stockholder action or to amend specific provisions of the certificate of incorporation; and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these provisions would apply even if we were to receive an offer that some stockholders may consider beneficial.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also be subject to the anti-takeover provisions contained in Section 203 of the DGCL, or Section 203. Under Section 203, a corporation may not, in general, engage in a business combination with any holder of 15% or more of its capital stock unless the holder has held the stock for three years or, among other exceptions, the board of directors has approved the transaction. </w:t>
      </w:r>
    </w:p>
    <w:p>
      <w:pPr>
        <w:pStyle w:val="TextBody"/>
        <w:bidi w:val="0"/>
        <w:spacing w:before="240" w:after="283"/>
        <w:jc w:val="both"/>
        <w:rPr>
          <w:rFonts w:ascii="Times New Roman" w:hAnsi="Times New Roman"/>
          <w:sz w:val="20"/>
        </w:rPr>
      </w:pPr>
      <w:r>
        <w:rPr>
          <w:rFonts w:ascii="Times New Roman" w:hAnsi="Times New Roman"/>
          <w:b/>
          <w:i/>
          <w:color w:val="000000"/>
          <w:sz w:val="20"/>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exclusive forum provision does not apply to actions arising under the Exchange Act. Our amended and restated bylaws also provide that the federal district courts of the United States of America will be the exclusive forum for the resolution of any complaint asserting a cause of action under the Securities Act.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certificate of incorporation and bylaws to be inapplicable or unenforceable in an action, we may incur additional costs associated with resolving such action in other jurisdictions, which could materially and adversely affect our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We do not anticipate that we will pay any cash dividends in the foreseeable future.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pStyle w:val="TextBody"/>
        <w:bidi w:val="0"/>
        <w:spacing w:before="240" w:after="283"/>
        <w:jc w:val="both"/>
        <w:rPr>
          <w:rFonts w:ascii="Times New Roman" w:hAnsi="Times New Roman"/>
          <w:sz w:val="20"/>
        </w:rPr>
      </w:pPr>
      <w:r>
        <w:rPr>
          <w:rFonts w:ascii="Times New Roman" w:hAnsi="Times New Roman"/>
          <w:b/>
          <w:i/>
          <w:color w:val="000000"/>
          <w:sz w:val="20"/>
        </w:rPr>
        <w:t>An active trading market for our common stock may not be sustained. If an active trading market is not sustained, our ability to raise capital in the future may be impaired.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Given the limited trading history of our common stock, there is a risk that an active trading market for our shares may not be sustained, which could put downward pressure on the market price of our common stock and thereby affect your ability to sell shares you purchased. An inactive trading market for our common stock may also impair our ability to raise capital to continue to fund our operations by selling shares and impair our ability to acquire other companies or technologies by using our shares as consideration. </w:t>
      </w:r>
    </w:p>
    <w:p>
      <w:pPr>
        <w:pStyle w:val="TextBody"/>
        <w:bidi w:val="0"/>
        <w:spacing w:before="240" w:after="283"/>
        <w:jc w:val="both"/>
        <w:rPr>
          <w:rFonts w:ascii="Times New Roman" w:hAnsi="Times New Roman"/>
          <w:sz w:val="20"/>
        </w:rPr>
      </w:pPr>
      <w:r>
        <w:rPr>
          <w:rFonts w:ascii="Times New Roman" w:hAnsi="Times New Roman"/>
          <w:b/>
          <w:i/>
          <w:color w:val="000000"/>
          <w:sz w:val="20"/>
        </w:rPr>
        <w:t>Future sales of shares by existing stockholders could cause our stock price to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our existing securityholders sell, or indicate an intention to sell, substantial amounts of our common stock in the public market after legal restrictions on resale discussed in our Annual Report on Form 10-K for the year ended December 31, 2023 lapse, the trading price of our common stock could decline. As of September 30, 2024, we had 29,748,154 shares of common stock outstanding. All outstanding shares of common stock, other than shares held by our affiliates will be freely tradable, without restriction, in the public market. In addition, shares of common stock that are subject to outstanding options of ours will become eligible for sale in the public market to the extent permitted by the provisions of various vesting agreements and Rules 144 and 701 under the Securities Act. If these shares are sold, the trading price of our common stock could decline. </w:t>
      </w:r>
    </w:p>
    <w:p>
      <w:pPr>
        <w:pStyle w:val="TextBody"/>
        <w:bidi w:val="0"/>
        <w:spacing w:before="240" w:after="283"/>
        <w:jc w:val="both"/>
        <w:rPr>
          <w:rFonts w:ascii="Times New Roman" w:hAnsi="Times New Roman"/>
          <w:sz w:val="20"/>
        </w:rPr>
      </w:pPr>
      <w:r>
        <w:rPr>
          <w:rFonts w:ascii="Times New Roman" w:hAnsi="Times New Roman"/>
          <w:b/>
          <w:i/>
          <w:color w:val="000000"/>
          <w:sz w:val="20"/>
        </w:rPr>
        <w:t>Our executive officers, directors and principal stockholders have the ability to control or significantly influence all matters submitted to our stockholders for approval.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2024, our executive officers, directors and principal stockholders, in the aggregate, beneficially owned approximately 58% of our outstanding shares of common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 </w:t>
      </w:r>
    </w:p>
    <w:p>
      <w:pPr>
        <w:pStyle w:val="TextBody"/>
        <w:bidi w:val="0"/>
        <w:spacing w:before="240" w:after="283"/>
        <w:jc w:val="both"/>
        <w:rPr>
          <w:rFonts w:ascii="Times New Roman" w:hAnsi="Times New Roman"/>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equity research analysts publish about us and our business. Equity research analysts may elect not to provide research coverage of our common stock, and such lack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pStyle w:val="TextBody"/>
        <w:bidi w:val="0"/>
        <w:spacing w:before="240" w:after="283"/>
        <w:jc w:val="both"/>
        <w:rPr>
          <w:rFonts w:ascii="Times New Roman" w:hAnsi="Times New Roman"/>
          <w:sz w:val="20"/>
        </w:rPr>
      </w:pPr>
      <w:r>
        <w:rPr>
          <w:rFonts w:ascii="Times New Roman" w:hAnsi="Times New Roman"/>
          <w:b/>
          <w:i/>
          <w:color w:val="000000"/>
          <w:sz w:val="20"/>
        </w:rPr>
        <w:t>We will have broad discretion in the use of our cash, cash equivalents, and marketable securities and may invest or spend our cash, cash equivalents, and marketable securities in ways with which you do not agree and in ways that may not increase the value of your investment.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have broad discretion over the use of our cash, cash equivalents, and marketable securities. You may not agree with our decisions, and our use of our cash, cash equivalents, and marketable securities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use our cash resources.</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7" w:name="item_2_unregistered_sales"/>
      <w:bookmarkEnd w:id="17"/>
      <w:r>
        <w:rPr>
          <w:rFonts w:ascii="Times New Roman" w:hAnsi="Times New Roman"/>
          <w:b/>
          <w:color w:val="000000"/>
          <w:sz w:val="20"/>
        </w:rPr>
        <w:t>ITEM 2. UNREGISTERED SALES</w:t>
      </w:r>
      <w:r>
        <w:rPr>
          <w:rFonts w:ascii="Times New Roman" w:hAnsi="Times New Roman"/>
          <w:color w:val="000000"/>
          <w:sz w:val="20"/>
        </w:rPr>
        <w:t xml:space="preserve"> </w:t>
      </w:r>
      <w:r>
        <w:rPr>
          <w:rFonts w:ascii="Times New Roman" w:hAnsi="Times New Roman"/>
          <w:b/>
          <w:color w:val="000000"/>
          <w:sz w:val="20"/>
        </w:rPr>
        <w:t>OF EQUITY SECURITIES AND USE OF PROCEEDS</w:t>
      </w:r>
    </w:p>
    <w:p>
      <w:pPr>
        <w:pStyle w:val="TextBody"/>
        <w:bidi w:val="0"/>
        <w:spacing w:before="120" w:after="283"/>
        <w:jc w:val="both"/>
        <w:rPr>
          <w:rFonts w:ascii="Times New Roman" w:hAnsi="Times New Roman"/>
          <w:sz w:val="20"/>
        </w:rPr>
      </w:pPr>
      <w:r>
        <w:rPr>
          <w:rFonts w:ascii="Times New Roman" w:hAnsi="Times New Roman"/>
          <w:b/>
          <w:color w:val="000000"/>
          <w:sz w:val="20"/>
        </w:rPr>
        <w:t>(a) Recent Sales of Unregistered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sz w:val="20"/>
        </w:rPr>
      </w:pPr>
      <w:r>
        <w:rPr>
          <w:rFonts w:ascii="Times New Roman" w:hAnsi="Times New Roman"/>
          <w:b/>
          <w:color w:val="000000"/>
          <w:sz w:val="20"/>
        </w:rPr>
        <w:t>(b) Use of Proceeds from Initial Public Offering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both"/>
        <w:rPr>
          <w:rFonts w:ascii="Times New Roman" w:hAnsi="Times New Roman"/>
          <w:sz w:val="20"/>
        </w:rPr>
      </w:pPr>
      <w:r>
        <w:rPr>
          <w:rFonts w:ascii="Times New Roman" w:hAnsi="Times New Roman"/>
          <w:b/>
          <w:color w:val="000000"/>
          <w:sz w:val="20"/>
        </w:rPr>
        <w:t>(c) Issuer Purchases of Equity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sz w:val="20"/>
        </w:rPr>
      </w:pPr>
      <w:bookmarkStart w:id="18" w:name="item_3_defaults_upon"/>
      <w:bookmarkEnd w:id="18"/>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b/>
          <w:color w:val="000000"/>
          <w:sz w:val="20"/>
        </w:rPr>
      </w:pPr>
      <w:bookmarkStart w:id="19" w:name="item_4_mine_safety"/>
      <w:bookmarkEnd w:id="19"/>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both"/>
        <w:rPr>
          <w:rFonts w:ascii="Times New Roman" w:hAnsi="Times New Roman"/>
          <w:b/>
          <w:color w:val="000000"/>
          <w:sz w:val="20"/>
        </w:rPr>
      </w:pPr>
      <w:bookmarkStart w:id="20" w:name="item_5_other_information"/>
      <w:bookmarkEnd w:id="20"/>
      <w:r>
        <w:rPr>
          <w:rFonts w:ascii="Times New Roman" w:hAnsi="Times New Roman"/>
          <w:b/>
          <w:color w:val="000000"/>
          <w:sz w:val="20"/>
        </w:rPr>
        <w:t>ITEM 5. OTHER INFORMATION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discloses any officer (as defined in Rule 16a-1(f) under the Exchange Act) or director who entered into, modified or terminated a Rule 10b5-1 trading arrangement or non-Rule 10b5-1 trading arrangement (as such terms are defined in Item 408 of Regulation S-K) during the three months ended September 30, 2024:</w:t>
      </w:r>
    </w:p>
    <w:tbl>
      <w:tblPr>
        <w:tblW w:w="10205" w:type="dxa"/>
        <w:jc w:val="left"/>
        <w:tblInd w:w="0" w:type="dxa"/>
        <w:tblLayout w:type="fixed"/>
        <w:tblCellMar>
          <w:top w:w="28" w:type="dxa"/>
          <w:left w:w="28" w:type="dxa"/>
          <w:bottom w:w="28" w:type="dxa"/>
          <w:right w:w="28" w:type="dxa"/>
        </w:tblCellMar>
      </w:tblPr>
      <w:tblGrid>
        <w:gridCol w:w="1588"/>
        <w:gridCol w:w="146"/>
        <w:gridCol w:w="2731"/>
        <w:gridCol w:w="146"/>
        <w:gridCol w:w="1192"/>
        <w:gridCol w:w="146"/>
        <w:gridCol w:w="1128"/>
        <w:gridCol w:w="146"/>
        <w:gridCol w:w="1354"/>
        <w:gridCol w:w="146"/>
        <w:gridCol w:w="1482"/>
      </w:tblGrid>
      <w:tr>
        <w:trPr/>
        <w:tc>
          <w:tcPr>
            <w:tcW w:w="1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r>
      <w:tr>
        <w:trPr/>
        <w:tc>
          <w:tcPr>
            <w:tcW w:w="1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Type of 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Action Taken</w:t>
              <w:br/>
              <w:t>(Date of 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Duration or End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Number of Securities to be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 of Trading Arrangement</w:t>
            </w:r>
          </w:p>
        </w:tc>
      </w:tr>
      <w:tr>
        <w:trPr/>
        <w:tc>
          <w:tcPr>
            <w:tcW w:w="158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John Quisel, J.D., Ph.D.</w:t>
              <w:br/>
            </w:r>
            <w:r>
              <w:rPr>
                <w:rFonts w:ascii="Times New Roman" w:hAnsi="Times New Roman"/>
                <w:i/>
                <w:color w:val="000000"/>
                <w:sz w:val="20"/>
              </w:rPr>
              <w:t>President, Chief Executive Officer, and Director</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 plan intended to satisfy the affirmative defense conditions of Securities Exchange Act Rule 10b5-1(c)</w:t>
            </w:r>
          </w:p>
        </w:tc>
        <w:tc>
          <w:tcPr>
            <w:tcW w:w="146" w:type="dxa"/>
            <w:tcBorders/>
            <w:shd w:fill="CFF0FC" w:val="clear"/>
            <w:vAlign w:val="center"/>
          </w:tcPr>
          <w:p>
            <w:pPr>
              <w:pStyle w:val="TableContents"/>
              <w:bidi w:val="0"/>
              <w:spacing w:before="0" w:after="283"/>
              <w:jc w:val="right"/>
              <w:rPr/>
            </w:pPr>
            <w:r>
              <w:rPr/>
              <w:t> </w:t>
            </w:r>
          </w:p>
        </w:tc>
        <w:tc>
          <w:tcPr>
            <w:tcW w:w="11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w:t>
              <w:br/>
              <w:t>(July 2, 2024)</w:t>
            </w:r>
          </w:p>
        </w:tc>
        <w:tc>
          <w:tcPr>
            <w:tcW w:w="146" w:type="dxa"/>
            <w:tcBorders/>
            <w:shd w:fill="CFF0FC" w:val="clear"/>
            <w:vAlign w:val="center"/>
          </w:tcPr>
          <w:p>
            <w:pPr>
              <w:pStyle w:val="TableContents"/>
              <w:bidi w:val="0"/>
              <w:spacing w:before="0" w:after="283"/>
              <w:jc w:val="right"/>
              <w:rPr/>
            </w:pPr>
            <w:r>
              <w:rPr/>
              <w:t> </w:t>
            </w:r>
          </w:p>
        </w:tc>
        <w:tc>
          <w:tcPr>
            <w:tcW w:w="11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Date</w:t>
              <w:br/>
              <w:t>(April 15, 2025)</w:t>
            </w:r>
          </w:p>
        </w:tc>
        <w:tc>
          <w:tcPr>
            <w:tcW w:w="146" w:type="dxa"/>
            <w:tcBorders/>
            <w:shd w:fill="CFF0FC" w:val="clear"/>
            <w:vAlign w:val="center"/>
          </w:tcPr>
          <w:p>
            <w:pPr>
              <w:pStyle w:val="TableContents"/>
              <w:bidi w:val="0"/>
              <w:spacing w:before="0" w:after="283"/>
              <w:jc w:val="right"/>
              <w:rPr/>
            </w:pPr>
            <w:r>
              <w:rPr/>
              <w:t> </w:t>
            </w:r>
          </w:p>
        </w:tc>
        <w:tc>
          <w:tcPr>
            <w:tcW w:w="1354"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Up to 45,623</w:t>
            </w:r>
          </w:p>
        </w:tc>
        <w:tc>
          <w:tcPr>
            <w:tcW w:w="146" w:type="dxa"/>
            <w:tcBorders/>
            <w:shd w:fill="CFF0FC" w:val="clear"/>
            <w:vAlign w:val="center"/>
          </w:tcPr>
          <w:p>
            <w:pPr>
              <w:pStyle w:val="TableContents"/>
              <w:bidi w:val="0"/>
              <w:spacing w:before="0" w:after="283"/>
              <w:jc w:val="right"/>
              <w:rPr/>
            </w:pPr>
            <w:r>
              <w:rPr/>
              <w:t> </w:t>
            </w:r>
          </w:p>
        </w:tc>
        <w:tc>
          <w:tcPr>
            <w:tcW w:w="14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w:t>
            </w:r>
          </w:p>
        </w:tc>
      </w:tr>
      <w:tr>
        <w:trPr/>
        <w:tc>
          <w:tcPr>
            <w:tcW w:w="158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William Savage, M.D., Ph.D.</w:t>
              <w:br/>
            </w:r>
            <w:r>
              <w:rPr>
                <w:rFonts w:ascii="Times New Roman" w:hAnsi="Times New Roman"/>
                <w:i/>
                <w:color w:val="000000"/>
                <w:sz w:val="20"/>
              </w:rPr>
              <w:t>Chief Medical Officer</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 plan intended to satisfy the affirmative defense conditions of Securities Exchange Act Rule 10b5-1(c)</w:t>
            </w:r>
          </w:p>
        </w:tc>
        <w:tc>
          <w:tcPr>
            <w:tcW w:w="146" w:type="dxa"/>
            <w:tcBorders/>
            <w:shd w:fill="FFFFFF" w:val="clear"/>
            <w:vAlign w:val="center"/>
          </w:tcPr>
          <w:p>
            <w:pPr>
              <w:pStyle w:val="TableContents"/>
              <w:bidi w:val="0"/>
              <w:spacing w:before="0" w:after="283"/>
              <w:jc w:val="right"/>
              <w:rPr/>
            </w:pPr>
            <w:r>
              <w:rPr/>
              <w:t> </w:t>
            </w:r>
          </w:p>
        </w:tc>
        <w:tc>
          <w:tcPr>
            <w:tcW w:w="11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w:t>
              <w:br/>
              <w:t>(July 18, 2024)</w:t>
            </w:r>
          </w:p>
        </w:tc>
        <w:tc>
          <w:tcPr>
            <w:tcW w:w="146" w:type="dxa"/>
            <w:tcBorders/>
            <w:shd w:fill="FFFFFF" w:val="clear"/>
            <w:vAlign w:val="center"/>
          </w:tcPr>
          <w:p>
            <w:pPr>
              <w:pStyle w:val="TableContents"/>
              <w:bidi w:val="0"/>
              <w:spacing w:before="0" w:after="283"/>
              <w:jc w:val="right"/>
              <w:rPr/>
            </w:pPr>
            <w:r>
              <w:rPr/>
              <w:t> </w:t>
            </w:r>
          </w:p>
        </w:tc>
        <w:tc>
          <w:tcPr>
            <w:tcW w:w="11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Date</w:t>
              <w:br/>
              <w:t>(December 1, 2024)</w:t>
            </w:r>
          </w:p>
        </w:tc>
        <w:tc>
          <w:tcPr>
            <w:tcW w:w="146" w:type="dxa"/>
            <w:tcBorders/>
            <w:shd w:fill="FFFFFF" w:val="clear"/>
            <w:vAlign w:val="center"/>
          </w:tcPr>
          <w:p>
            <w:pPr>
              <w:pStyle w:val="TableContents"/>
              <w:bidi w:val="0"/>
              <w:spacing w:before="0" w:after="283"/>
              <w:jc w:val="right"/>
              <w:rPr/>
            </w:pPr>
            <w:r>
              <w:rPr/>
              <w:t> </w:t>
            </w:r>
          </w:p>
        </w:tc>
        <w:tc>
          <w:tcPr>
            <w:tcW w:w="135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Up to 23,341</w:t>
            </w:r>
          </w:p>
        </w:tc>
        <w:tc>
          <w:tcPr>
            <w:tcW w:w="146" w:type="dxa"/>
            <w:tcBorders/>
            <w:shd w:fill="FFFFFF" w:val="clear"/>
            <w:vAlign w:val="center"/>
          </w:tcPr>
          <w:p>
            <w:pPr>
              <w:pStyle w:val="TableContents"/>
              <w:bidi w:val="0"/>
              <w:spacing w:before="0" w:after="283"/>
              <w:jc w:val="right"/>
              <w:rPr/>
            </w:pPr>
            <w:r>
              <w:rPr/>
              <w:t> </w:t>
            </w:r>
          </w:p>
        </w:tc>
        <w:tc>
          <w:tcPr>
            <w:tcW w:w="14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w:t>
            </w:r>
          </w:p>
        </w:tc>
      </w:tr>
      <w:tr>
        <w:trPr/>
        <w:tc>
          <w:tcPr>
            <w:tcW w:w="158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Rahul Khara, Pharm.D., J.D.</w:t>
              <w:br/>
            </w:r>
            <w:r>
              <w:rPr>
                <w:rFonts w:ascii="Times New Roman" w:hAnsi="Times New Roman"/>
                <w:i/>
                <w:color w:val="000000"/>
                <w:sz w:val="20"/>
              </w:rPr>
              <w:t>General Counsel and Secretary</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 plan intended to satisfy the affirmative defense conditions of Securities Exchange Act Rule 10b5-1(c)</w:t>
            </w:r>
          </w:p>
        </w:tc>
        <w:tc>
          <w:tcPr>
            <w:tcW w:w="146" w:type="dxa"/>
            <w:tcBorders/>
            <w:shd w:fill="CFF0FC" w:val="clear"/>
            <w:vAlign w:val="center"/>
          </w:tcPr>
          <w:p>
            <w:pPr>
              <w:pStyle w:val="TableContents"/>
              <w:bidi w:val="0"/>
              <w:spacing w:before="0" w:after="283"/>
              <w:jc w:val="right"/>
              <w:rPr/>
            </w:pPr>
            <w:r>
              <w:rPr/>
              <w:t> </w:t>
            </w:r>
          </w:p>
        </w:tc>
        <w:tc>
          <w:tcPr>
            <w:tcW w:w="11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w:t>
              <w:br/>
              <w:t>(September 25, 2024)</w:t>
            </w:r>
          </w:p>
        </w:tc>
        <w:tc>
          <w:tcPr>
            <w:tcW w:w="146" w:type="dxa"/>
            <w:tcBorders/>
            <w:shd w:fill="CFF0FC" w:val="clear"/>
            <w:vAlign w:val="center"/>
          </w:tcPr>
          <w:p>
            <w:pPr>
              <w:pStyle w:val="TableContents"/>
              <w:bidi w:val="0"/>
              <w:spacing w:before="0" w:after="283"/>
              <w:jc w:val="right"/>
              <w:rPr/>
            </w:pPr>
            <w:r>
              <w:rPr/>
              <w:t> </w:t>
            </w:r>
          </w:p>
        </w:tc>
        <w:tc>
          <w:tcPr>
            <w:tcW w:w="11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Date</w:t>
              <w:br/>
              <w:t>(February 28, 2025)</w:t>
            </w:r>
          </w:p>
        </w:tc>
        <w:tc>
          <w:tcPr>
            <w:tcW w:w="146" w:type="dxa"/>
            <w:tcBorders/>
            <w:shd w:fill="CFF0FC" w:val="clear"/>
            <w:vAlign w:val="center"/>
          </w:tcPr>
          <w:p>
            <w:pPr>
              <w:pStyle w:val="TableContents"/>
              <w:bidi w:val="0"/>
              <w:spacing w:before="0" w:after="283"/>
              <w:jc w:val="right"/>
              <w:rPr/>
            </w:pPr>
            <w:r>
              <w:rPr/>
              <w:t> </w:t>
            </w:r>
          </w:p>
        </w:tc>
        <w:tc>
          <w:tcPr>
            <w:tcW w:w="1354"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Up to 15,000</w:t>
            </w:r>
          </w:p>
        </w:tc>
        <w:tc>
          <w:tcPr>
            <w:tcW w:w="146" w:type="dxa"/>
            <w:tcBorders/>
            <w:shd w:fill="CFF0FC" w:val="clear"/>
            <w:vAlign w:val="center"/>
          </w:tcPr>
          <w:p>
            <w:pPr>
              <w:pStyle w:val="TableContents"/>
              <w:bidi w:val="0"/>
              <w:spacing w:before="0" w:after="283"/>
              <w:jc w:val="right"/>
              <w:rPr/>
            </w:pPr>
            <w:r>
              <w:rPr/>
              <w:t> </w:t>
            </w:r>
          </w:p>
        </w:tc>
        <w:tc>
          <w:tcPr>
            <w:tcW w:w="14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exhibits filed as part of this Quarterly Report are set forth on the Exhibit Index, which is incorporated herein by reference.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9308"/>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8" w:type="dxa"/>
            <w:tcBorders/>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fldChar w:fldCharType="begin"/>
            </w:r>
            <w:r>
              <w:rPr>
                <w:rStyle w:val="InternetLink"/>
                <w:sz w:val="20"/>
                <w:u w:val="single"/>
                <w:rFonts w:ascii="Times New Roman" w:hAnsi="Times New Roman"/>
                <w:color w:val="0000FF"/>
              </w:rPr>
              <w:instrText xml:space="preserve"> HYPERLINK "https://www.sec.gov/Archives/edgar/data/1816736/000114036122032239/ny20005172x1_s4.htm" \l "tANNEXA"</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Agreement and Plan of Merger and Reorganization, dated as of August 9, 2022, by and among Gemini Therapeutics, Inc. Gemstone Merger Sub, Inc. and Disc Medicine, Inc. (incorporated by reference to Exhibit 2.1 to the Registrant’s Proxy Statement/Prospectus on Form S-4 (File No. 333-267276) filed on September 2, 2022).</w:t>
            </w:r>
            <w:r>
              <w:rPr>
                <w:rStyle w:val="InternetLink"/>
                <w:sz w:val="20"/>
                <w:u w:val="single"/>
                <w:rFonts w:ascii="Times New Roman" w:hAnsi="Times New Roman"/>
                <w:color w:val="0000FF"/>
              </w:rPr>
              <w:fldChar w:fldCharType="end"/>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fldChar w:fldCharType="begin"/>
            </w:r>
            <w:r>
              <w:rPr>
                <w:rStyle w:val="InternetLink"/>
                <w:sz w:val="20"/>
                <w:u w:val="single"/>
                <w:rFonts w:ascii="Times New Roman" w:hAnsi="Times New Roman"/>
                <w:color w:val="0000FF"/>
              </w:rPr>
              <w:instrText xml:space="preserve"> HYPERLINK "https://www.sec.gov/Archives/edgar/data/1816736/000121390021002636/fs42021a5_fsdevelopment.htm" \l "T52"</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Amended and Restated Certificate of Incorporation of Disc Medicine, Inc. (incorporated by reference to Annex B to Gemini Therapeutics, Inc.’s Proxy Statement/Prospectus on Form S-4/A (File No. 333-249785)).</w:t>
            </w:r>
            <w:r>
              <w:rPr>
                <w:rStyle w:val="InternetLink"/>
                <w:sz w:val="20"/>
                <w:u w:val="single"/>
                <w:rFonts w:ascii="Times New Roman" w:hAnsi="Times New Roman"/>
                <w:color w:val="0000FF"/>
              </w:rPr>
              <w:fldChar w:fldCharType="end"/>
            </w:r>
            <w:r>
              <w:fldChar w:fldCharType="begin"/>
            </w:r>
            <w:r>
              <w:rPr>
                <w:rStyle w:val="InternetLink"/>
                <w:sz w:val="20"/>
                <w:rFonts w:ascii="Times New Roman" w:hAnsi="Times New Roman"/>
                <w:color w:val="0000FF"/>
              </w:rPr>
              <w:instrText xml:space="preserve"> HYPERLINK "https://www.sec.gov/Archives/edgar/data/1816736/000121390021002636/fs42021a5_fsdevelopment.htm" \l "T52"</w:instrText>
            </w:r>
            <w:r>
              <w:rPr>
                <w:rStyle w:val="InternetLink"/>
                <w:sz w:val="20"/>
                <w:rFonts w:ascii="Times New Roman" w:hAnsi="Times New Roman"/>
                <w:color w:val="0000FF"/>
              </w:rPr>
              <w:fldChar w:fldCharType="separate"/>
            </w:r>
            <w:r>
              <w:rPr>
                <w:rStyle w:val="InternetLink"/>
                <w:rFonts w:ascii="Times New Roman" w:hAnsi="Times New Roman"/>
                <w:color w:val="0000FF"/>
                <w:sz w:val="20"/>
              </w:rPr>
              <w:t xml:space="preserve"> </w:t>
            </w:r>
            <w:r>
              <w:rPr>
                <w:rStyle w:val="InternetLink"/>
                <w:sz w:val="20"/>
                <w:rFonts w:ascii="Times New Roman" w:hAnsi="Times New Roman"/>
                <w:color w:val="0000FF"/>
              </w:rPr>
              <w:fldChar w:fldCharType="end"/>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Certificate of Amendment to the Amended and Restated Certificate of Incorporation of Disc Medicine, Inc., dated December 28, 2022 (incorporated by reference to Exhibit 3.1 to the Registrant’s Current Report on Form 8-K (File No. 001-39438) filed on December 29, 2022).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Certificate of Amendment to the Amended and Restated Certificate of Incorporation of Disc Medicine, Inc., dated December 29, 2022 (incorporated by reference to Exhibit 3.2 to the Registrant’s Current Report on Form 8-K (File No. 001-39438) filed on December 29, 2022).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fldChar w:fldCharType="begin"/>
            </w:r>
            <w:r>
              <w:rPr>
                <w:rStyle w:val="InternetLink"/>
                <w:sz w:val="20"/>
                <w:u w:val="single"/>
                <w:rFonts w:ascii="Times New Roman" w:hAnsi="Times New Roman"/>
                <w:color w:val="0000FF"/>
              </w:rPr>
              <w:instrText xml:space="preserve"> HYPERLINK "https://www.sec.gov/Archives/edgar/data/1816736/000121390021002636/fs42021a5_fsdevelopment.htm" \l "T53"</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Amended and Restated By-laws of Disc Medicine, Inc. (incorporated by reference to Annex C to Gemini Therapeutics, Inc.’s Proxy Statement/Prospectus on Form S-4/A (File No. 333-249785)).</w:t>
            </w:r>
            <w:r>
              <w:rPr>
                <w:rStyle w:val="InternetLink"/>
                <w:sz w:val="20"/>
                <w:u w:val="single"/>
                <w:rFonts w:ascii="Times New Roman" w:hAnsi="Times New Roman"/>
                <w:color w:val="0000FF"/>
              </w:rPr>
              <w:fldChar w:fldCharType="end"/>
            </w:r>
            <w:r>
              <w:fldChar w:fldCharType="begin"/>
            </w:r>
            <w:r>
              <w:rPr>
                <w:rStyle w:val="InternetLink"/>
                <w:sz w:val="20"/>
                <w:rFonts w:ascii="Times New Roman" w:hAnsi="Times New Roman"/>
                <w:color w:val="0000FF"/>
              </w:rPr>
              <w:instrText xml:space="preserve"> HYPERLINK "https://www.sec.gov/Archives/edgar/data/1816736/000121390021002636/fs42021a5_fsdevelopment.htm" \l "T53"</w:instrText>
            </w:r>
            <w:r>
              <w:rPr>
                <w:rStyle w:val="InternetLink"/>
                <w:sz w:val="20"/>
                <w:rFonts w:ascii="Times New Roman" w:hAnsi="Times New Roman"/>
                <w:color w:val="0000FF"/>
              </w:rPr>
              <w:fldChar w:fldCharType="separate"/>
            </w:r>
            <w:r>
              <w:rPr>
                <w:rStyle w:val="InternetLink"/>
                <w:rFonts w:ascii="Times New Roman" w:hAnsi="Times New Roman"/>
                <w:color w:val="0000FF"/>
                <w:sz w:val="20"/>
              </w:rPr>
              <w:t xml:space="preserve"> </w:t>
            </w:r>
            <w:r>
              <w:rPr>
                <w:rStyle w:val="InternetLink"/>
                <w:sz w:val="20"/>
                <w:rFonts w:ascii="Times New Roman" w:hAnsi="Times New Roman"/>
                <w:color w:val="0000FF"/>
              </w:rPr>
              <w:fldChar w:fldCharType="end"/>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w:anchor="iron-ex10_1.htm">
              <w:r>
                <w:rPr>
                  <w:rStyle w:val="InternetLink"/>
                  <w:rFonts w:ascii="Times New Roman" w:hAnsi="Times New Roman"/>
                  <w:color w:val="0000FF"/>
                  <w:sz w:val="20"/>
                  <w:u w:val="single"/>
                </w:rPr>
                <w:t>Second Amendment to Lease by and between Disc Medicine, Inc. and ARE-MA Region No. 75. LLC, dated August 29, 2024.</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Loan and Security Agreement, dated as of November 6, 2024, by and among Disc Medicine, Inc., the other Borrower party thereto, the Lenders party thereto, and Hercules Capital, Inc., as Agent (incorporated by reference to Exhibit 10.1 to the Registrant's Current Report on Form 8-K (File No. 001-39438) filed on November 8, 2024).</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w:anchor="iron-ex31_1.htm">
              <w:r>
                <w:rPr>
                  <w:rStyle w:val="InternetLink"/>
                  <w:rFonts w:ascii="Times New Roman" w:hAnsi="Times New Roman"/>
                  <w:color w:val="0000FF"/>
                  <w:sz w:val="20"/>
                  <w:u w:val="single"/>
                </w:rPr>
                <w:t>Certification of Principal Executive Officer pursuant to Section 302 of the Sarbanes-Oxley Act of 2002.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w:anchor="iron-ex31_2.htm">
              <w:r>
                <w:rPr>
                  <w:rStyle w:val="InternetLink"/>
                  <w:rFonts w:ascii="Times New Roman" w:hAnsi="Times New Roman"/>
                  <w:color w:val="0000FF"/>
                  <w:sz w:val="20"/>
                  <w:u w:val="single"/>
                </w:rPr>
                <w:t>Certification of Principal Financial Officer pursuant to Section 302 of the Sarbanes-Oxley Act of 2002.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w:anchor="iron-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The annexes, schedules, and certain exhibits to the Merger Agreement have been omitted pursuant to Item 601(b)(2) of Regulation S-K. The Registrant hereby agrees to furnish supplementally a copy of any omitted annex, schedule or exhibit to the Commission upon request.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Certain of the exhibits and schedules to the Loan and Security Agreement have been omitted pursuant to Item 601(a)(5) of Regulation S-K. The Registrant hereby agrees to furnish supplementally a copy of any omitted schedule or exhibit to the Commission upon request.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Portions of this exhibit are redacted in accordance with Item 601(b)(10)(iv)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signatures"/>
      <w:bookmarkEnd w:id="2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tbl>
      <w:tblPr>
        <w:tblW w:w="6487" w:type="dxa"/>
        <w:jc w:val="left"/>
        <w:tblInd w:w="0" w:type="dxa"/>
        <w:tblLayout w:type="fixed"/>
        <w:tblCellMar>
          <w:top w:w="28" w:type="dxa"/>
          <w:left w:w="28" w:type="dxa"/>
          <w:bottom w:w="28" w:type="dxa"/>
          <w:right w:w="28" w:type="dxa"/>
        </w:tblCellMar>
      </w:tblPr>
      <w:tblGrid>
        <w:gridCol w:w="2206"/>
        <w:gridCol w:w="109"/>
        <w:gridCol w:w="406"/>
        <w:gridCol w:w="376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DISC MEDICINE, INC.</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Quisel</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Quisel, J.D., Ph.D.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Jean Franchi</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Jean Franchi</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3" w:name="iron-ex10_1.htm"/>
      <w:bookmarkStart w:id="24" w:name="ksironex10_1"/>
      <w:bookmarkEnd w:id="23"/>
      <w:bookmarkEnd w:id="24"/>
      <w:r>
        <w:rPr>
          <w:rFonts w:ascii="Times New Roman" w:hAnsi="Times New Roman"/>
          <w:b/>
          <w:color w:val="000000"/>
          <w:sz w:val="22"/>
        </w:rPr>
        <w:t>Exhibit 10.1</w:t>
      </w:r>
      <w:r>
        <w:br w:type="page"/>
      </w:r>
    </w:p>
    <w:p>
      <w:pPr>
        <w:pStyle w:val="TextBody"/>
        <w:bidi w:val="0"/>
        <w:spacing w:before="0" w:after="240"/>
        <w:jc w:val="center"/>
        <w:rPr>
          <w:rFonts w:ascii="Arial" w:hAnsi="Arial"/>
          <w:b/>
          <w:color w:val="000000"/>
          <w:sz w:val="20"/>
        </w:rPr>
      </w:pPr>
      <w:r>
        <w:rPr>
          <w:rFonts w:ascii="Arial" w:hAnsi="Arial"/>
          <w:b/>
          <w:color w:val="000000"/>
          <w:sz w:val="20"/>
        </w:rPr>
        <w:t>SECOND AMENDMENT TO LEASE</w:t>
      </w:r>
    </w:p>
    <w:p>
      <w:pPr>
        <w:pStyle w:val="TextBody"/>
        <w:bidi w:val="0"/>
        <w:spacing w:before="0" w:after="240"/>
        <w:jc w:val="both"/>
        <w:rPr>
          <w:rFonts w:ascii="Times New Roman" w:hAnsi="Times New Roman"/>
          <w:sz w:val="20"/>
        </w:rPr>
      </w:pPr>
      <w:r>
        <w:rPr>
          <w:rFonts w:ascii="Arial" w:hAnsi="Arial"/>
          <w:color w:val="000000"/>
          <w:sz w:val="20"/>
        </w:rPr>
        <w:t>THIS SECOND AMENDMENT TO LEASE (this “</w:t>
      </w:r>
      <w:r>
        <w:rPr>
          <w:rFonts w:ascii="Arial" w:hAnsi="Arial"/>
          <w:b/>
          <w:color w:val="000000"/>
          <w:sz w:val="20"/>
        </w:rPr>
        <w:t>Second Amendment</w:t>
      </w:r>
      <w:r>
        <w:rPr>
          <w:rFonts w:ascii="Times New Roman" w:hAnsi="Times New Roman"/>
          <w:color w:val="000000"/>
          <w:sz w:val="20"/>
        </w:rPr>
        <w:t>”</w:t>
      </w:r>
      <w:r>
        <w:rPr>
          <w:rFonts w:ascii="Arial" w:hAnsi="Arial"/>
          <w:color w:val="000000"/>
          <w:sz w:val="20"/>
        </w:rPr>
        <w:t>) is dated as of August 29, 2024 and effective as of July 1, 2024 (the “</w:t>
      </w:r>
      <w:r>
        <w:rPr>
          <w:rFonts w:ascii="Arial" w:hAnsi="Arial"/>
          <w:b/>
          <w:color w:val="000000"/>
          <w:sz w:val="20"/>
        </w:rPr>
        <w:t>Effective Date</w:t>
      </w:r>
      <w:r>
        <w:rPr>
          <w:rFonts w:ascii="Times New Roman" w:hAnsi="Times New Roman"/>
          <w:color w:val="000000"/>
          <w:sz w:val="20"/>
        </w:rPr>
        <w:t>”</w:t>
      </w:r>
      <w:r>
        <w:rPr>
          <w:rFonts w:ascii="Arial" w:hAnsi="Arial"/>
          <w:color w:val="000000"/>
          <w:sz w:val="20"/>
        </w:rPr>
        <w:t xml:space="preserve">), by and between </w:t>
      </w:r>
      <w:r>
        <w:rPr>
          <w:rFonts w:ascii="Arial" w:hAnsi="Arial"/>
          <w:b/>
          <w:color w:val="000000"/>
          <w:sz w:val="20"/>
        </w:rPr>
        <w:t>ARE-MA REGION NO. 75, LLC</w:t>
      </w:r>
      <w:r>
        <w:rPr>
          <w:rFonts w:ascii="Arial" w:hAnsi="Arial"/>
          <w:color w:val="000000"/>
          <w:sz w:val="20"/>
        </w:rPr>
        <w:t>, a Delaware limited liability company (“</w:t>
      </w:r>
      <w:r>
        <w:rPr>
          <w:rFonts w:ascii="Arial" w:hAnsi="Arial"/>
          <w:b/>
          <w:color w:val="000000"/>
          <w:sz w:val="20"/>
        </w:rPr>
        <w:t>Landlord</w:t>
      </w:r>
      <w:r>
        <w:rPr>
          <w:rFonts w:ascii="Times New Roman" w:hAnsi="Times New Roman"/>
          <w:color w:val="000000"/>
          <w:sz w:val="20"/>
        </w:rPr>
        <w:t>”</w:t>
      </w:r>
      <w:r>
        <w:rPr>
          <w:rFonts w:ascii="Arial" w:hAnsi="Arial"/>
          <w:color w:val="000000"/>
          <w:sz w:val="20"/>
        </w:rPr>
        <w:t xml:space="preserve">), and </w:t>
      </w:r>
      <w:r>
        <w:rPr>
          <w:rFonts w:ascii="Arial" w:hAnsi="Arial"/>
          <w:b/>
          <w:color w:val="000000"/>
          <w:sz w:val="20"/>
        </w:rPr>
        <w:t>DISC MEDICINE, INC.</w:t>
      </w:r>
      <w:r>
        <w:rPr>
          <w:rFonts w:ascii="Arial" w:hAnsi="Arial"/>
          <w:color w:val="000000"/>
          <w:sz w:val="20"/>
        </w:rPr>
        <w:t>, a Delaware corporation (“</w:t>
      </w:r>
      <w:r>
        <w:rPr>
          <w:rFonts w:ascii="Arial" w:hAnsi="Arial"/>
          <w:b/>
          <w:color w:val="000000"/>
          <w:sz w:val="20"/>
        </w:rPr>
        <w:t>Tenant</w:t>
      </w:r>
      <w:r>
        <w:rPr>
          <w:rFonts w:ascii="Times New Roman" w:hAnsi="Times New Roman"/>
          <w:color w:val="000000"/>
          <w:sz w:val="20"/>
        </w:rPr>
        <w:t>”</w:t>
      </w:r>
      <w:r>
        <w:rPr>
          <w:rFonts w:ascii="Arial" w:hAnsi="Arial"/>
          <w:color w:val="000000"/>
          <w:sz w:val="20"/>
        </w:rPr>
        <w:t>).</w:t>
      </w:r>
    </w:p>
    <w:p>
      <w:pPr>
        <w:pStyle w:val="TextBody"/>
        <w:bidi w:val="0"/>
        <w:spacing w:before="0" w:after="240"/>
        <w:jc w:val="center"/>
        <w:rPr>
          <w:rFonts w:ascii="Arial" w:hAnsi="Arial"/>
          <w:b/>
          <w:color w:val="000000"/>
          <w:sz w:val="20"/>
        </w:rPr>
      </w:pPr>
      <w:r>
        <w:rPr>
          <w:rFonts w:ascii="Arial" w:hAnsi="Arial"/>
          <w:b/>
          <w:color w:val="000000"/>
          <w:sz w:val="20"/>
        </w:rPr>
        <w:t>RECITALS</w:t>
      </w:r>
    </w:p>
    <w:p>
      <w:pPr>
        <w:pStyle w:val="TextBody"/>
        <w:bidi w:val="0"/>
        <w:spacing w:before="0" w:after="240"/>
        <w:jc w:val="both"/>
        <w:rPr>
          <w:rFonts w:ascii="Times New Roman" w:hAnsi="Times New Roman"/>
          <w:sz w:val="20"/>
        </w:rPr>
      </w:pPr>
      <w:r>
        <w:rPr>
          <w:rFonts w:ascii="Arial" w:hAnsi="Arial"/>
          <w:b/>
          <w:color w:val="000000"/>
          <w:sz w:val="20"/>
        </w:rPr>
        <w:t>A.</w:t>
      </w:r>
      <w:r>
        <w:rPr>
          <w:rFonts w:ascii="Times New Roman" w:hAnsi="Times New Roman"/>
          <w:color w:val="000000"/>
          <w:sz w:val="20"/>
        </w:rPr>
        <w:t xml:space="preserve"> </w:t>
      </w:r>
      <w:r>
        <w:rPr>
          <w:rFonts w:ascii="Arial" w:hAnsi="Arial"/>
          <w:color w:val="000000"/>
          <w:sz w:val="20"/>
        </w:rPr>
        <w:t>Landlord and Tenant are now parties to that certain Lease Agreement dated as of October 29, 2021, as amended by that certain First Amendment to Lease (the “</w:t>
      </w:r>
      <w:r>
        <w:rPr>
          <w:rFonts w:ascii="Arial" w:hAnsi="Arial"/>
          <w:b/>
          <w:color w:val="000000"/>
          <w:sz w:val="20"/>
        </w:rPr>
        <w:t>First Amendment</w:t>
      </w:r>
      <w:r>
        <w:rPr>
          <w:rFonts w:ascii="Times New Roman" w:hAnsi="Times New Roman"/>
          <w:color w:val="000000"/>
          <w:sz w:val="20"/>
        </w:rPr>
        <w:t>”</w:t>
      </w:r>
      <w:r>
        <w:rPr>
          <w:rFonts w:ascii="Arial" w:hAnsi="Arial"/>
          <w:color w:val="000000"/>
          <w:sz w:val="20"/>
        </w:rPr>
        <w:t>) dated as of June 21, 2023 (as amended, the “</w:t>
      </w:r>
      <w:r>
        <w:rPr>
          <w:rFonts w:ascii="Arial" w:hAnsi="Arial"/>
          <w:b/>
          <w:color w:val="000000"/>
          <w:sz w:val="20"/>
        </w:rPr>
        <w:t>Lease</w:t>
      </w:r>
      <w:r>
        <w:rPr>
          <w:rFonts w:ascii="Times New Roman" w:hAnsi="Times New Roman"/>
          <w:color w:val="000000"/>
          <w:sz w:val="20"/>
        </w:rPr>
        <w:t>”</w:t>
      </w:r>
      <w:r>
        <w:rPr>
          <w:rFonts w:ascii="Arial" w:hAnsi="Arial"/>
          <w:color w:val="000000"/>
          <w:sz w:val="20"/>
        </w:rPr>
        <w:t>). Pursuant to the Lease, Tenant leases certain premises containing approximately 7,566 rentable square feet commonly known as Suite 101 (the “</w:t>
      </w:r>
      <w:r>
        <w:rPr>
          <w:rFonts w:ascii="Arial" w:hAnsi="Arial"/>
          <w:b/>
          <w:color w:val="000000"/>
          <w:sz w:val="20"/>
        </w:rPr>
        <w:t>Origin</w:t>
      </w:r>
      <w:r>
        <w:rPr>
          <w:rFonts w:ascii="Arial" w:hAnsi="Arial"/>
          <w:color w:val="000000"/>
          <w:sz w:val="20"/>
        </w:rPr>
        <w:t xml:space="preserve">al </w:t>
      </w:r>
      <w:r>
        <w:rPr>
          <w:rFonts w:ascii="Arial" w:hAnsi="Arial"/>
          <w:b/>
          <w:color w:val="000000"/>
          <w:sz w:val="20"/>
        </w:rPr>
        <w:t>Premises</w:t>
      </w:r>
      <w:r>
        <w:rPr>
          <w:rFonts w:ascii="Times New Roman" w:hAnsi="Times New Roman"/>
          <w:color w:val="000000"/>
          <w:sz w:val="20"/>
        </w:rPr>
        <w:t>”</w:t>
      </w:r>
      <w:r>
        <w:rPr>
          <w:rFonts w:ascii="Arial" w:hAnsi="Arial"/>
          <w:color w:val="000000"/>
          <w:sz w:val="20"/>
        </w:rPr>
        <w:t>) in that certain building located at 321 Arsenal Street, Watertown, Massachusetts (also known as Building 312) (the “</w:t>
      </w:r>
      <w:r>
        <w:rPr>
          <w:rFonts w:ascii="Arial" w:hAnsi="Arial"/>
          <w:b/>
          <w:color w:val="000000"/>
          <w:sz w:val="20"/>
        </w:rPr>
        <w:t>Building</w:t>
      </w:r>
      <w:r>
        <w:rPr>
          <w:rFonts w:ascii="Times New Roman" w:hAnsi="Times New Roman"/>
          <w:color w:val="000000"/>
          <w:sz w:val="20"/>
        </w:rPr>
        <w:t>”</w:t>
      </w:r>
      <w:r>
        <w:rPr>
          <w:rFonts w:ascii="Arial" w:hAnsi="Arial"/>
          <w:color w:val="000000"/>
          <w:sz w:val="20"/>
        </w:rPr>
        <w:t>), as more particularly described in the Lease. Capitalized terms used herein without definition shall have the meanings given to such terms in the Lease.</w:t>
      </w:r>
    </w:p>
    <w:p>
      <w:pPr>
        <w:pStyle w:val="TextBody"/>
        <w:bidi w:val="0"/>
        <w:spacing w:before="0" w:after="240"/>
        <w:jc w:val="both"/>
        <w:rPr>
          <w:rFonts w:ascii="Times New Roman" w:hAnsi="Times New Roman"/>
          <w:sz w:val="20"/>
        </w:rPr>
      </w:pPr>
      <w:r>
        <w:rPr>
          <w:rFonts w:ascii="Arial" w:hAnsi="Arial"/>
          <w:b/>
          <w:color w:val="000000"/>
          <w:sz w:val="20"/>
        </w:rPr>
        <w:t>B.</w:t>
      </w:r>
      <w:r>
        <w:rPr>
          <w:rFonts w:ascii="Times New Roman" w:hAnsi="Times New Roman"/>
          <w:color w:val="000000"/>
          <w:sz w:val="20"/>
        </w:rPr>
        <w:t xml:space="preserve"> </w:t>
      </w:r>
      <w:r>
        <w:rPr>
          <w:rFonts w:ascii="Arial" w:hAnsi="Arial"/>
          <w:color w:val="000000"/>
          <w:sz w:val="20"/>
        </w:rPr>
        <w:t>Tenant is also currently occupying certain premises located on the second floor of the Building, commonly known as Suite 201, containing approximately 9,281 rentable square feet (the “</w:t>
      </w:r>
      <w:r>
        <w:rPr>
          <w:rFonts w:ascii="Arial" w:hAnsi="Arial"/>
          <w:b/>
          <w:color w:val="000000"/>
          <w:sz w:val="20"/>
        </w:rPr>
        <w:t>Expansion Premises</w:t>
      </w:r>
      <w:r>
        <w:rPr>
          <w:rFonts w:ascii="Times New Roman" w:hAnsi="Times New Roman"/>
          <w:color w:val="000000"/>
          <w:sz w:val="20"/>
        </w:rPr>
        <w:t>”</w:t>
      </w:r>
      <w:r>
        <w:rPr>
          <w:rFonts w:ascii="Arial" w:hAnsi="Arial"/>
          <w:color w:val="000000"/>
          <w:sz w:val="20"/>
        </w:rPr>
        <w:t>), pursuant to that certain Sublease dated as of June 8, 2023 (the “</w:t>
      </w:r>
      <w:r>
        <w:rPr>
          <w:rFonts w:ascii="Arial" w:hAnsi="Arial"/>
          <w:b/>
          <w:color w:val="000000"/>
          <w:sz w:val="20"/>
        </w:rPr>
        <w:t>Forma Sublease</w:t>
      </w:r>
      <w:r>
        <w:rPr>
          <w:rFonts w:ascii="Times New Roman" w:hAnsi="Times New Roman"/>
          <w:color w:val="000000"/>
          <w:sz w:val="20"/>
        </w:rPr>
        <w:t>”</w:t>
      </w:r>
      <w:r>
        <w:rPr>
          <w:rFonts w:ascii="Arial" w:hAnsi="Arial"/>
          <w:color w:val="000000"/>
          <w:sz w:val="20"/>
        </w:rPr>
        <w:t>) by and between Tenant, as subtenant, and Forma Therapeutics, Inc., as sublandlord.</w:t>
      </w:r>
    </w:p>
    <w:p>
      <w:pPr>
        <w:pStyle w:val="TextBody"/>
        <w:bidi w:val="0"/>
        <w:spacing w:before="0" w:after="240"/>
        <w:jc w:val="both"/>
        <w:rPr>
          <w:rFonts w:ascii="Times New Roman" w:hAnsi="Times New Roman"/>
          <w:sz w:val="20"/>
        </w:rPr>
      </w:pPr>
      <w:r>
        <w:rPr>
          <w:rFonts w:ascii="Arial" w:hAnsi="Arial"/>
          <w:b/>
          <w:color w:val="000000"/>
          <w:sz w:val="20"/>
        </w:rPr>
        <w:t>C.</w:t>
      </w:r>
      <w:r>
        <w:rPr>
          <w:rFonts w:ascii="Times New Roman" w:hAnsi="Times New Roman"/>
          <w:color w:val="000000"/>
          <w:sz w:val="20"/>
        </w:rPr>
        <w:t xml:space="preserve"> </w:t>
      </w:r>
      <w:r>
        <w:rPr>
          <w:rFonts w:ascii="Arial" w:hAnsi="Arial"/>
          <w:color w:val="000000"/>
          <w:sz w:val="20"/>
        </w:rPr>
        <w:t>Both the Term of the Lease and the term of the Forma Sublease are scheduled to expire on November 30, 2026.</w:t>
      </w:r>
    </w:p>
    <w:p>
      <w:pPr>
        <w:pStyle w:val="TextBody"/>
        <w:bidi w:val="0"/>
        <w:spacing w:before="0" w:after="240"/>
        <w:jc w:val="both"/>
        <w:rPr>
          <w:rFonts w:ascii="Times New Roman" w:hAnsi="Times New Roman"/>
          <w:sz w:val="20"/>
        </w:rPr>
      </w:pPr>
      <w:bookmarkStart w:id="25" w:name="el2q1o"/>
      <w:bookmarkEnd w:id="25"/>
      <w:r>
        <w:rPr>
          <w:rFonts w:ascii="Arial" w:hAnsi="Arial"/>
          <w:b/>
          <w:color w:val="000000"/>
          <w:sz w:val="20"/>
        </w:rPr>
        <w:t>D.</w:t>
      </w:r>
      <w:r>
        <w:rPr>
          <w:rFonts w:ascii="Times New Roman" w:hAnsi="Times New Roman"/>
          <w:color w:val="000000"/>
          <w:sz w:val="20"/>
        </w:rPr>
        <w:t xml:space="preserve"> </w:t>
      </w:r>
      <w:r>
        <w:rPr>
          <w:rFonts w:ascii="Arial" w:hAnsi="Arial"/>
          <w:color w:val="000000"/>
          <w:sz w:val="20"/>
        </w:rPr>
        <w:t xml:space="preserve">Landlord and Tenant desire, subject to the terms and conditions set forth below, to amend the </w:t>
      </w:r>
      <w:bookmarkStart w:id="26" w:name="elnu1o"/>
      <w:bookmarkStart w:id="27" w:name="elnv1o"/>
      <w:bookmarkStart w:id="28" w:name="el2r1o"/>
      <w:bookmarkEnd w:id="26"/>
      <w:bookmarkEnd w:id="27"/>
      <w:bookmarkEnd w:id="28"/>
      <w:r>
        <w:rPr>
          <w:rFonts w:ascii="Arial" w:hAnsi="Arial"/>
          <w:color w:val="000000"/>
          <w:sz w:val="20"/>
        </w:rPr>
        <w:t>Lease to, among other things, (i) expand the Original Premises to include the Expansion Premises, and (ii) extend the Term for a period of 66 months commencing on July 1, 2024 (the “</w:t>
      </w:r>
      <w:r>
        <w:rPr>
          <w:rFonts w:ascii="Arial" w:hAnsi="Arial"/>
          <w:b/>
          <w:color w:val="000000"/>
          <w:sz w:val="20"/>
        </w:rPr>
        <w:t>Extension Term Commencement Date</w:t>
      </w:r>
      <w:r>
        <w:rPr>
          <w:rFonts w:ascii="Times New Roman" w:hAnsi="Times New Roman"/>
          <w:color w:val="000000"/>
          <w:sz w:val="20"/>
        </w:rPr>
        <w:t>”</w:t>
      </w:r>
      <w:r>
        <w:rPr>
          <w:rFonts w:ascii="Arial" w:hAnsi="Arial"/>
          <w:color w:val="000000"/>
          <w:sz w:val="20"/>
        </w:rPr>
        <w:t>) through December 31, 2029 (the “</w:t>
      </w:r>
      <w:r>
        <w:rPr>
          <w:rFonts w:ascii="Arial" w:hAnsi="Arial"/>
          <w:b/>
          <w:color w:val="000000"/>
          <w:sz w:val="20"/>
        </w:rPr>
        <w:t>Second Amendment Expiration Date</w:t>
      </w:r>
      <w:r>
        <w:rPr>
          <w:rFonts w:ascii="Times New Roman" w:hAnsi="Times New Roman"/>
          <w:color w:val="000000"/>
          <w:sz w:val="20"/>
        </w:rPr>
        <w:t>”</w:t>
      </w:r>
      <w:r>
        <w:rPr>
          <w:rFonts w:ascii="Arial" w:hAnsi="Arial"/>
          <w:color w:val="000000"/>
          <w:sz w:val="20"/>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b/>
          <w:color w:val="000000"/>
          <w:sz w:val="20"/>
        </w:rPr>
        <w:t>NOW, THEREFORE</w:t>
      </w:r>
      <w:r>
        <w:rPr>
          <w:rFonts w:ascii="Arial" w:hAnsi="Arial"/>
          <w:color w:val="000000"/>
          <w:sz w:val="20"/>
        </w:rPr>
        <w:t>, in consideration of the foregoing Recitals, which are incorporated herein by this reference, the mutual promises and conditions contained herein, and for other good and valuable consideration, the receipt and sufficiency of which are hereby acknowledged, Landlord and Tenant hereby agree as follows:</w:t>
      </w:r>
      <w:r>
        <w:rPr>
          <w:rFonts w:ascii="Times New Roman" w:hAnsi="Times New Roman"/>
          <w:color w:val="000000"/>
          <w:sz w:val="20"/>
        </w:rPr>
        <w:t xml:space="preserve"> </w:t>
      </w:r>
    </w:p>
    <w:p>
      <w:pPr>
        <w:pStyle w:val="TextBody"/>
        <w:bidi w:val="0"/>
        <w:spacing w:before="0" w:after="240"/>
        <w:jc w:val="both"/>
        <w:rPr>
          <w:rFonts w:ascii="Arial" w:hAnsi="Arial"/>
          <w:b/>
          <w:color w:val="000000"/>
          <w:sz w:val="20"/>
          <w:u w:val="single"/>
        </w:rPr>
      </w:pPr>
      <w:r>
        <w:rPr>
          <w:rFonts w:ascii="Arial" w:hAnsi="Arial"/>
          <w:b/>
          <w:color w:val="000000"/>
          <w:sz w:val="20"/>
          <w:u w:val="single"/>
        </w:rPr>
        <w:t>1.</w:t>
      </w:r>
    </w:p>
    <w:p>
      <w:pPr>
        <w:pStyle w:val="TextBody"/>
        <w:bidi w:val="0"/>
        <w:spacing w:before="0" w:after="240"/>
        <w:jc w:val="both"/>
        <w:rPr/>
      </w:pPr>
      <w:r>
        <w:rPr>
          <w:rFonts w:ascii="Arial" w:hAnsi="Arial"/>
          <w:b/>
          <w:color w:val="000000"/>
          <w:sz w:val="20"/>
          <w:u w:val="single"/>
        </w:rPr>
        <w:t>Expansion Premises; Delivery; Expansion Premises Commencement Date</w:t>
      </w:r>
      <w:r>
        <w:rPr>
          <w:rFonts w:ascii="Arial" w:hAnsi="Arial"/>
          <w:color w:val="000000"/>
          <w:sz w:val="20"/>
        </w:rPr>
        <w:t>. In addition to the Original Premises, commencing on the Expansion Premises Commencement Date, Landlord leases to Tenant, and Tenant leases from Landlord, the Expansion Premises. The “</w:t>
      </w:r>
      <w:r>
        <w:rPr>
          <w:rFonts w:ascii="Arial" w:hAnsi="Arial"/>
          <w:b/>
          <w:color w:val="000000"/>
          <w:sz w:val="20"/>
        </w:rPr>
        <w:t>Expansion Premises Commencement Date</w:t>
      </w:r>
      <w:r>
        <w:rPr>
          <w:color w:val="000000"/>
        </w:rPr>
        <w:t xml:space="preserve">” </w:t>
      </w:r>
      <w:r>
        <w:rPr>
          <w:rFonts w:ascii="Arial" w:hAnsi="Arial"/>
          <w:color w:val="000000"/>
          <w:sz w:val="20"/>
        </w:rPr>
        <w:t>shall be the earlier to occur of (i) December 1, 2026 and (ii) if the Forma Sublease terminates prior to November 30, 2026, the first calendar day following the date that the Forma Sublease terminates. The “</w:t>
      </w:r>
      <w:r>
        <w:rPr>
          <w:rFonts w:ascii="Arial" w:hAnsi="Arial"/>
          <w:b/>
          <w:color w:val="000000"/>
          <w:sz w:val="20"/>
        </w:rPr>
        <w:t>Expansion Premises</w:t>
      </w:r>
      <w:r>
        <w:rPr>
          <w:color w:val="000000"/>
        </w:rPr>
        <w:t xml:space="preserve"> </w:t>
      </w:r>
      <w:r>
        <w:rPr>
          <w:rFonts w:ascii="Arial" w:hAnsi="Arial"/>
          <w:b/>
          <w:color w:val="000000"/>
          <w:sz w:val="20"/>
        </w:rPr>
        <w:t>Rent Commencement Date</w:t>
      </w:r>
      <w:r>
        <w:rPr>
          <w:color w:val="000000"/>
        </w:rPr>
        <w:t xml:space="preserve">” </w:t>
      </w:r>
      <w:r>
        <w:rPr>
          <w:rFonts w:ascii="Arial" w:hAnsi="Arial"/>
          <w:color w:val="000000"/>
          <w:sz w:val="20"/>
        </w:rPr>
        <w:t>shall be the date that is four (4) months following the Expansion Premises Commencement Date.</w:t>
      </w:r>
      <w:r>
        <w:rPr>
          <w:color w:val="000000"/>
        </w:rPr>
        <w:t xml:space="preserve"> </w:t>
      </w:r>
      <w:r>
        <w:rPr>
          <w:rFonts w:ascii="Arial" w:hAnsi="Arial"/>
          <w:color w:val="000000"/>
          <w:sz w:val="20"/>
        </w:rPr>
        <w:t>The period commencing on the Expansion Premises Commencement Date through the day immediately preceding the Expansion Premises Rent Commencement Date may be referred to herein as the “</w:t>
      </w:r>
      <w:r>
        <w:rPr>
          <w:rFonts w:ascii="Arial" w:hAnsi="Arial"/>
          <w:b/>
          <w:color w:val="000000"/>
          <w:sz w:val="20"/>
        </w:rPr>
        <w:t>Abatement Period</w:t>
      </w:r>
      <w:r>
        <w:rPr>
          <w:rFonts w:ascii="Arial" w:hAnsi="Arial"/>
          <w:color w:val="000000"/>
          <w:sz w:val="20"/>
        </w:rPr>
        <w:t>.”</w:t>
      </w:r>
    </w:p>
    <w:p>
      <w:pPr>
        <w:pStyle w:val="TextBody"/>
        <w:bidi w:val="0"/>
        <w:spacing w:before="0" w:after="240"/>
        <w:jc w:val="both"/>
        <w:rPr>
          <w:rFonts w:ascii="Times New Roman" w:hAnsi="Times New Roman"/>
          <w:sz w:val="20"/>
        </w:rPr>
      </w:pPr>
      <w:r>
        <w:rPr>
          <w:rFonts w:ascii="Arial" w:hAnsi="Arial"/>
          <w:color w:val="000000"/>
          <w:sz w:val="20"/>
        </w:rPr>
        <w:t xml:space="preserve">Tenant’s occupancy of the Expansion Premises shall be on an “as-is” basis and, except as otherwise expressly provided in </w:t>
      </w:r>
      <w:r>
        <w:rPr>
          <w:rFonts w:ascii="Arial" w:hAnsi="Arial"/>
          <w:color w:val="000000"/>
          <w:sz w:val="20"/>
          <w:u w:val="single"/>
        </w:rPr>
        <w:t>Section 8</w:t>
      </w:r>
      <w:r>
        <w:rPr>
          <w:rFonts w:ascii="Times New Roman" w:hAnsi="Times New Roman"/>
          <w:color w:val="000000"/>
          <w:sz w:val="20"/>
        </w:rPr>
        <w:t xml:space="preserve"> </w:t>
      </w:r>
      <w:r>
        <w:rPr>
          <w:rFonts w:ascii="Arial" w:hAnsi="Arial"/>
          <w:color w:val="000000"/>
          <w:sz w:val="20"/>
        </w:rPr>
        <w:t>below, Landlord shall have no obligation to provide any tenant improvement allowance or make any alterations to the Expansion Premises.</w:t>
      </w:r>
    </w:p>
    <w:p>
      <w:pPr>
        <w:pStyle w:val="TextBody"/>
        <w:bidi w:val="0"/>
        <w:spacing w:before="0" w:after="240"/>
        <w:jc w:val="both"/>
        <w:rPr>
          <w:rFonts w:ascii="Times New Roman" w:hAnsi="Times New Roman"/>
          <w:sz w:val="20"/>
        </w:rPr>
      </w:pPr>
      <w:r>
        <w:rPr>
          <w:rFonts w:ascii="Arial" w:hAnsi="Arial"/>
          <w:color w:val="000000"/>
          <w:sz w:val="20"/>
        </w:rPr>
        <w:t xml:space="preserve">Except as set forth in this Second Amendment and subject to Landlord’s repair and maintenance obligations under </w:t>
      </w:r>
      <w:r>
        <w:rPr>
          <w:rFonts w:ascii="Arial" w:hAnsi="Arial"/>
          <w:color w:val="000000"/>
          <w:sz w:val="20"/>
          <w:u w:val="single"/>
        </w:rPr>
        <w:t>Section 13</w:t>
      </w:r>
      <w:r>
        <w:rPr>
          <w:rFonts w:ascii="Times New Roman" w:hAnsi="Times New Roman"/>
          <w:color w:val="000000"/>
          <w:sz w:val="20"/>
        </w:rPr>
        <w:t xml:space="preserve"> </w:t>
      </w:r>
      <w:r>
        <w:rPr>
          <w:rFonts w:ascii="Arial" w:hAnsi="Arial"/>
          <w:color w:val="000000"/>
          <w:sz w:val="20"/>
        </w:rPr>
        <w:t>of the Lease: (i) Tenant shall accept the Expansion Premises in their condition as of the Expansion Premises Commencement Date; (ii) Landlord shall have no obligation for any defects in the Expansion Premises; and (iii) Tenant’s taking possession of the Expansion Premises shall be conclusive evidence that Tenant accepts the Expansion Premises.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Tenant agrees and acknowledges that, except as otherwise expressly set forth in this Second Amendment, neither Landlord nor any agent of Landlord has made any representation or warranty with respect to the condition of all or any portion of the Expansion Premises, and/or the suitability of the Expansion Premises for the conduct of Tenant’s business, and Tenant waives any implied warranty that the Expansion Premises are suitable for Tenant’s use.</w:t>
      </w:r>
    </w:p>
    <w:p>
      <w:pPr>
        <w:pStyle w:val="TextBody"/>
        <w:bidi w:val="0"/>
        <w:spacing w:before="0" w:after="240"/>
        <w:jc w:val="both"/>
        <w:rPr>
          <w:rFonts w:ascii="Arial" w:hAnsi="Arial"/>
          <w:b/>
          <w:color w:val="000000"/>
          <w:sz w:val="20"/>
          <w:u w:val="single"/>
        </w:rPr>
      </w:pPr>
      <w:r>
        <w:rPr>
          <w:rFonts w:ascii="Arial" w:hAnsi="Arial"/>
          <w:b/>
          <w:color w:val="000000"/>
          <w:sz w:val="20"/>
          <w:u w:val="single"/>
        </w:rPr>
        <w:t>2.</w:t>
      </w:r>
    </w:p>
    <w:p>
      <w:pPr>
        <w:pStyle w:val="TextBody"/>
        <w:bidi w:val="0"/>
        <w:spacing w:before="0" w:after="240"/>
        <w:jc w:val="both"/>
        <w:rPr/>
      </w:pPr>
      <w:r>
        <w:rPr>
          <w:rFonts w:ascii="Arial" w:hAnsi="Arial"/>
          <w:b/>
          <w:color w:val="000000"/>
          <w:sz w:val="20"/>
          <w:u w:val="single"/>
        </w:rPr>
        <w:t>Premises</w:t>
      </w:r>
      <w:r>
        <w:rPr>
          <w:rFonts w:ascii="Arial" w:hAnsi="Arial"/>
          <w:color w:val="000000"/>
          <w:sz w:val="20"/>
        </w:rPr>
        <w:t>. As of the Expansion Premises Commencement Date, the definitions of “</w:t>
      </w:r>
      <w:r>
        <w:rPr>
          <w:rFonts w:ascii="Arial" w:hAnsi="Arial"/>
          <w:b/>
          <w:color w:val="000000"/>
          <w:sz w:val="20"/>
        </w:rPr>
        <w:t>Premises</w:t>
      </w:r>
      <w:r>
        <w:rPr>
          <w:color w:val="000000"/>
        </w:rPr>
        <w:t xml:space="preserve">” </w:t>
      </w:r>
      <w:r>
        <w:rPr>
          <w:rFonts w:ascii="Arial" w:hAnsi="Arial"/>
          <w:color w:val="000000"/>
          <w:sz w:val="20"/>
        </w:rPr>
        <w:t>and “</w:t>
      </w:r>
      <w:r>
        <w:rPr>
          <w:rFonts w:ascii="Arial" w:hAnsi="Arial"/>
          <w:b/>
          <w:color w:val="000000"/>
          <w:sz w:val="20"/>
        </w:rPr>
        <w:t>Rentable Area of Premises</w:t>
      </w:r>
      <w:r>
        <w:rPr>
          <w:color w:val="000000"/>
        </w:rPr>
        <w:t xml:space="preserve">” </w:t>
      </w:r>
      <w:r>
        <w:rPr>
          <w:rFonts w:ascii="Arial" w:hAnsi="Arial"/>
          <w:color w:val="000000"/>
          <w:sz w:val="20"/>
        </w:rPr>
        <w:t>on page 1 of the Lease are hereby deleted in their entirety and replaced with the following:</w:t>
      </w:r>
    </w:p>
    <w:p>
      <w:pPr>
        <w:pStyle w:val="TextBody"/>
        <w:bidi w:val="0"/>
        <w:spacing w:before="0" w:after="240"/>
        <w:jc w:val="both"/>
        <w:rPr/>
      </w:pPr>
      <w:r>
        <w:rPr>
          <w:color w:val="000000"/>
        </w:rPr>
        <w:t>“</w:t>
      </w:r>
      <w:r>
        <w:rPr>
          <w:rFonts w:ascii="Arial" w:hAnsi="Arial"/>
          <w:b/>
          <w:color w:val="000000"/>
          <w:sz w:val="20"/>
        </w:rPr>
        <w:t>Premises</w:t>
      </w:r>
      <w:r>
        <w:rPr>
          <w:rFonts w:ascii="Arial" w:hAnsi="Arial"/>
          <w:color w:val="000000"/>
          <w:sz w:val="20"/>
        </w:rPr>
        <w:t>: Approximately 16,847 rentable square feet in the Building consisting of (i) a portion of the first floor commonly known as Suite 101, containing approximately 7,566 rentable square feet (the "</w:t>
      </w:r>
      <w:r>
        <w:rPr>
          <w:rFonts w:ascii="Arial" w:hAnsi="Arial"/>
          <w:b/>
          <w:color w:val="000000"/>
          <w:sz w:val="20"/>
        </w:rPr>
        <w:t>Original Premises</w:t>
      </w:r>
      <w:r>
        <w:rPr>
          <w:rFonts w:ascii="Arial" w:hAnsi="Arial"/>
          <w:color w:val="000000"/>
          <w:sz w:val="20"/>
        </w:rPr>
        <w:t>"), and (ii) a portion of the second floor commonly known as Suite 201, containing approximately 9,281 rentable square feet (the "</w:t>
      </w:r>
      <w:r>
        <w:rPr>
          <w:rFonts w:ascii="Arial" w:hAnsi="Arial"/>
          <w:b/>
          <w:color w:val="000000"/>
          <w:sz w:val="20"/>
        </w:rPr>
        <w:t>Expansion Premises</w:t>
      </w:r>
      <w:r>
        <w:rPr>
          <w:rFonts w:ascii="Arial" w:hAnsi="Arial"/>
          <w:color w:val="000000"/>
          <w:sz w:val="20"/>
        </w:rPr>
        <w:t xml:space="preserve">"), all as determined by Landlord as shown on </w:t>
      </w:r>
      <w:r>
        <w:rPr>
          <w:rFonts w:ascii="Arial" w:hAnsi="Arial"/>
          <w:b/>
          <w:color w:val="000000"/>
          <w:sz w:val="20"/>
        </w:rPr>
        <w:t>Exhibit A</w:t>
      </w:r>
      <w:r>
        <w:rPr>
          <w:rFonts w:ascii="Arial" w:hAnsi="Arial"/>
          <w:color w:val="000000"/>
          <w:sz w:val="20"/>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Arial" w:hAnsi="Arial"/>
          <w:b/>
          <w:color w:val="000000"/>
          <w:sz w:val="20"/>
        </w:rPr>
        <w:t>Rentable Area of Premises</w:t>
      </w:r>
      <w:r>
        <w:rPr>
          <w:rFonts w:ascii="Arial" w:hAnsi="Arial"/>
          <w:color w:val="000000"/>
          <w:sz w:val="20"/>
        </w:rPr>
        <w:t>: 16,847 rentable sq. ft."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 xml:space="preserve">As of the Expansion Premises Commencement Date, </w:t>
      </w:r>
      <w:r>
        <w:rPr>
          <w:rFonts w:ascii="Arial" w:hAnsi="Arial"/>
          <w:b/>
          <w:color w:val="000000"/>
          <w:sz w:val="20"/>
        </w:rPr>
        <w:t>Exhibit A</w:t>
      </w:r>
      <w:r>
        <w:rPr>
          <w:rFonts w:ascii="Times New Roman" w:hAnsi="Times New Roman"/>
          <w:color w:val="000000"/>
          <w:sz w:val="20"/>
        </w:rPr>
        <w:t xml:space="preserve"> </w:t>
      </w:r>
      <w:r>
        <w:rPr>
          <w:rFonts w:ascii="Arial" w:hAnsi="Arial"/>
          <w:color w:val="000000"/>
          <w:sz w:val="20"/>
        </w:rPr>
        <w:t xml:space="preserve">to the Lease is hereby amended to include </w:t>
      </w:r>
      <w:r>
        <w:rPr>
          <w:rFonts w:ascii="Arial" w:hAnsi="Arial"/>
          <w:b/>
          <w:color w:val="000000"/>
          <w:sz w:val="20"/>
        </w:rPr>
        <w:t>Exhibit A</w:t>
      </w:r>
      <w:r>
        <w:rPr>
          <w:rFonts w:ascii="Times New Roman" w:hAnsi="Times New Roman"/>
          <w:color w:val="000000"/>
          <w:sz w:val="20"/>
        </w:rPr>
        <w:t xml:space="preserve"> </w:t>
      </w:r>
      <w:r>
        <w:rPr>
          <w:rFonts w:ascii="Arial" w:hAnsi="Arial"/>
          <w:color w:val="000000"/>
          <w:sz w:val="20"/>
        </w:rPr>
        <w:t>attached to this Second Amendment.</w:t>
      </w:r>
    </w:p>
    <w:p>
      <w:pPr>
        <w:pStyle w:val="TextBody"/>
        <w:bidi w:val="0"/>
        <w:spacing w:before="0" w:after="240"/>
        <w:jc w:val="both"/>
        <w:rPr>
          <w:rFonts w:ascii="Arial" w:hAnsi="Arial"/>
          <w:b/>
          <w:color w:val="000000"/>
          <w:sz w:val="20"/>
          <w:u w:val="single"/>
        </w:rPr>
      </w:pPr>
      <w:r>
        <w:rPr>
          <w:rFonts w:ascii="Arial" w:hAnsi="Arial"/>
          <w:b/>
          <w:color w:val="000000"/>
          <w:sz w:val="20"/>
          <w:u w:val="single"/>
        </w:rPr>
        <w:t>3.</w:t>
      </w:r>
    </w:p>
    <w:p>
      <w:pPr>
        <w:pStyle w:val="TextBody"/>
        <w:bidi w:val="0"/>
        <w:spacing w:before="0" w:after="240"/>
        <w:jc w:val="both"/>
        <w:rPr/>
      </w:pPr>
      <w:r>
        <w:rPr>
          <w:rFonts w:ascii="Arial" w:hAnsi="Arial"/>
          <w:b/>
          <w:color w:val="000000"/>
          <w:sz w:val="20"/>
          <w:u w:val="single"/>
        </w:rPr>
        <w:t>Base Rent</w:t>
      </w:r>
      <w:r>
        <w:rPr>
          <w:rFonts w:ascii="Arial" w:hAnsi="Arial"/>
          <w:b/>
          <w:color w:val="000000"/>
          <w:sz w:val="20"/>
        </w:rPr>
        <w:t xml:space="preserve">. </w:t>
      </w:r>
    </w:p>
    <w:p>
      <w:pPr>
        <w:pStyle w:val="TextBody"/>
        <w:bidi w:val="0"/>
        <w:spacing w:before="0" w:after="240"/>
        <w:jc w:val="both"/>
        <w:rPr>
          <w:rFonts w:ascii="Arial" w:hAnsi="Arial"/>
          <w:b/>
          <w:color w:val="000000"/>
          <w:sz w:val="20"/>
        </w:rPr>
      </w:pPr>
      <w:r>
        <w:rPr>
          <w:rFonts w:ascii="Arial" w:hAnsi="Arial"/>
          <w:b/>
          <w:color w:val="000000"/>
          <w:sz w:val="20"/>
        </w:rPr>
        <w:t>a.</w:t>
      </w:r>
    </w:p>
    <w:p>
      <w:pPr>
        <w:pStyle w:val="TextBody"/>
        <w:bidi w:val="0"/>
        <w:spacing w:before="0" w:after="240"/>
        <w:jc w:val="both"/>
        <w:rPr/>
      </w:pPr>
      <w:r>
        <w:rPr>
          <w:rFonts w:ascii="Arial" w:hAnsi="Arial"/>
          <w:b/>
          <w:color w:val="000000"/>
          <w:sz w:val="20"/>
        </w:rPr>
        <w:t>Original Premises</w:t>
      </w:r>
      <w:r>
        <w:rPr>
          <w:rFonts w:ascii="Arial" w:hAnsi="Arial"/>
          <w:color w:val="000000"/>
          <w:sz w:val="20"/>
        </w:rPr>
        <w:t>. Commencing on the Extension Term Commencement Date, Tenant shall pay Base Rent with respect to the Original Premises in the amount of $45.00 per rentable square foot of the Original Premises per year. On July 1, 2025, and on each July 1</w:t>
      </w:r>
      <w:r>
        <w:rPr>
          <w:rFonts w:ascii="Arial" w:hAnsi="Arial"/>
          <w:color w:val="000000"/>
          <w:sz w:val="13"/>
        </w:rPr>
        <w:t>st</w:t>
      </w:r>
      <w:r>
        <w:rPr>
          <w:color w:val="000000"/>
        </w:rPr>
        <w:t xml:space="preserve"> </w:t>
      </w:r>
      <w:r>
        <w:rPr>
          <w:rFonts w:ascii="Arial" w:hAnsi="Arial"/>
          <w:color w:val="000000"/>
          <w:sz w:val="20"/>
        </w:rPr>
        <w:t>thereafter (each, an "</w:t>
      </w:r>
      <w:r>
        <w:rPr>
          <w:rFonts w:ascii="Arial" w:hAnsi="Arial"/>
          <w:b/>
          <w:color w:val="000000"/>
          <w:sz w:val="20"/>
        </w:rPr>
        <w:t>Adjustment Date</w:t>
      </w:r>
      <w:r>
        <w:rPr>
          <w:rFonts w:ascii="Arial" w:hAnsi="Arial"/>
          <w:color w:val="000000"/>
          <w:sz w:val="20"/>
        </w:rPr>
        <w:t xml:space="preserve">"), the Base Rent payable with respect to the Original Premises shall be increased by multiplying the Base Rent payable immediately before such Adjustment Date by 3% and adding the resulting amount to the Base Rent payable with respect to the Original Premises immediately before such Adjustment Date. Notwithstanding anything contained in the Lease to the contrary, so long as Tenant is not in Default under the Lease, Base Rent for the Original Premises shall be abated for the period commencing on December 1, 2026 through March 31, 2027. </w:t>
      </w:r>
    </w:p>
    <w:p>
      <w:pPr>
        <w:pStyle w:val="TextBody"/>
        <w:bidi w:val="0"/>
        <w:spacing w:before="0" w:after="240"/>
        <w:jc w:val="both"/>
        <w:rPr>
          <w:rFonts w:ascii="Times New Roman" w:hAnsi="Times New Roman"/>
          <w:sz w:val="20"/>
        </w:rPr>
      </w:pPr>
      <w:r>
        <w:rPr>
          <w:rFonts w:ascii="Arial" w:hAnsi="Arial"/>
          <w:color w:val="000000"/>
          <w:sz w:val="20"/>
        </w:rPr>
        <w:t xml:space="preserve">Upon execution of this Second Amendment, Tenant shall receive a credit towards the next monthly payment of Base Rent due for the Original Premises equal to the portion by which the monthly Base Rent actually paid by Tenant for the month of July 2024, and if applicable the month of August 2024, exceeded the monthly Base Rent due hereunder as set forth in the first sentence of this </w:t>
      </w:r>
      <w:r>
        <w:rPr>
          <w:rFonts w:ascii="Arial" w:hAnsi="Arial"/>
          <w:color w:val="000000"/>
          <w:sz w:val="20"/>
          <w:u w:val="single"/>
        </w:rPr>
        <w:t>Section 3(a)</w:t>
      </w:r>
      <w:r>
        <w:rPr>
          <w:rFonts w:ascii="Arial" w:hAnsi="Arial"/>
          <w:color w:val="000000"/>
          <w:sz w:val="20"/>
        </w:rPr>
        <w:t>.</w:t>
      </w:r>
    </w:p>
    <w:p>
      <w:pPr>
        <w:pStyle w:val="TextBody"/>
        <w:bidi w:val="0"/>
        <w:spacing w:before="0" w:after="240"/>
        <w:jc w:val="both"/>
        <w:rPr>
          <w:rFonts w:ascii="Arial" w:hAnsi="Arial"/>
          <w:b/>
          <w:color w:val="000000"/>
          <w:sz w:val="20"/>
        </w:rPr>
      </w:pPr>
      <w:r>
        <w:rPr>
          <w:rFonts w:ascii="Arial" w:hAnsi="Arial"/>
          <w:b/>
          <w:color w:val="000000"/>
          <w:sz w:val="20"/>
        </w:rPr>
        <w:t>b.</w:t>
      </w:r>
    </w:p>
    <w:p>
      <w:pPr>
        <w:pStyle w:val="TextBody"/>
        <w:bidi w:val="0"/>
        <w:spacing w:before="0" w:after="240"/>
        <w:jc w:val="both"/>
        <w:rPr/>
      </w:pPr>
      <w:r>
        <w:rPr>
          <w:rFonts w:ascii="Arial" w:hAnsi="Arial"/>
          <w:b/>
          <w:color w:val="000000"/>
          <w:sz w:val="20"/>
        </w:rPr>
        <w:t>Expansion Premises</w:t>
      </w:r>
      <w:r>
        <w:rPr>
          <w:rFonts w:ascii="Arial" w:hAnsi="Arial"/>
          <w:color w:val="000000"/>
          <w:sz w:val="20"/>
        </w:rPr>
        <w:t>. Commencing on the Expansion Premises Rent Commencement Date, Tenant shall pay Base Rent for the Expansion Premises at the same per rentable square foot rate that Tenant is then paying with respect to the Original Premises, as adjusted pursuant to subsection 3(a) above; provided, however, if the Forma Sublease terminates prior to November 30, 2026, such that the Expansion Premises Rent Commencement Date occurs prior to December 1, 2026, then Tenant shall pay Base Rent for the Expansion Premises at the same per rentable square foot rate set forth in the Forma Sublease through November 30, 2026, and thereafter on December 1, 2026, the Base Rent for the Expansion Premises shall then adjust to the same per rentable square foot rate as the Original Premises as provided for in this Section 3(b).</w:t>
      </w:r>
    </w:p>
    <w:p>
      <w:pPr>
        <w:pStyle w:val="TextBody"/>
        <w:bidi w:val="0"/>
        <w:spacing w:before="0" w:after="240"/>
        <w:jc w:val="both"/>
        <w:rPr>
          <w:rFonts w:ascii="Arial" w:hAnsi="Arial"/>
          <w:b/>
          <w:color w:val="000000"/>
          <w:sz w:val="20"/>
          <w:u w:val="single"/>
        </w:rPr>
      </w:pPr>
      <w:r>
        <w:rPr>
          <w:rFonts w:ascii="Arial" w:hAnsi="Arial"/>
          <w:b/>
          <w:color w:val="000000"/>
          <w:sz w:val="20"/>
          <w:u w:val="single"/>
        </w:rPr>
        <w:t>4.</w:t>
      </w:r>
    </w:p>
    <w:p>
      <w:pPr>
        <w:pStyle w:val="TextBody"/>
        <w:bidi w:val="0"/>
        <w:spacing w:before="0" w:after="240"/>
        <w:jc w:val="both"/>
        <w:rPr/>
      </w:pPr>
      <w:r>
        <w:rPr>
          <w:rFonts w:ascii="Arial" w:hAnsi="Arial"/>
          <w:b/>
          <w:color w:val="000000"/>
          <w:sz w:val="20"/>
          <w:u w:val="single"/>
        </w:rPr>
        <w:t>Operating Expenses</w:t>
      </w:r>
      <w:r>
        <w:rPr>
          <w:rFonts w:ascii="Arial" w:hAnsi="Arial"/>
          <w:color w:val="000000"/>
          <w:sz w:val="20"/>
        </w:rPr>
        <w:t>. As of the Expansion Premises Commencement Date, the definition of "</w:t>
      </w:r>
      <w:r>
        <w:rPr>
          <w:rFonts w:ascii="Arial" w:hAnsi="Arial"/>
          <w:b/>
          <w:color w:val="000000"/>
          <w:sz w:val="20"/>
        </w:rPr>
        <w:t>Tenant's Share of Operating Expenses</w:t>
      </w:r>
      <w:r>
        <w:rPr>
          <w:rFonts w:ascii="Arial" w:hAnsi="Arial"/>
          <w:color w:val="000000"/>
          <w:sz w:val="20"/>
        </w:rPr>
        <w:t>" on page 1 of the Lease is hereby deleted in its entirety and replaced with the following:</w:t>
      </w:r>
    </w:p>
    <w:p>
      <w:pPr>
        <w:pStyle w:val="TextBody"/>
        <w:bidi w:val="0"/>
        <w:spacing w:before="0" w:after="240"/>
        <w:jc w:val="both"/>
        <w:rPr>
          <w:rFonts w:ascii="Times New Roman" w:hAnsi="Times New Roman"/>
          <w:sz w:val="20"/>
        </w:rPr>
      </w:pPr>
      <w:r>
        <w:rPr>
          <w:rFonts w:ascii="Arial" w:hAnsi="Arial"/>
          <w:color w:val="000000"/>
          <w:sz w:val="20"/>
        </w:rPr>
        <w:t>"</w:t>
      </w:r>
      <w:r>
        <w:rPr>
          <w:rFonts w:ascii="Arial" w:hAnsi="Arial"/>
          <w:b/>
          <w:color w:val="000000"/>
          <w:sz w:val="20"/>
        </w:rPr>
        <w:t>Tenant's Share of Operating Expenses</w:t>
      </w:r>
      <w:r>
        <w:rPr>
          <w:rFonts w:ascii="Arial" w:hAnsi="Arial"/>
          <w:color w:val="000000"/>
          <w:sz w:val="20"/>
        </w:rPr>
        <w:t xml:space="preserve">: 25.98%, subject to adjustment from time to time in accordance with </w:t>
      </w:r>
      <w:r>
        <w:rPr>
          <w:rFonts w:ascii="Arial" w:hAnsi="Arial"/>
          <w:color w:val="000000"/>
          <w:sz w:val="20"/>
          <w:u w:val="single"/>
        </w:rPr>
        <w:t>Sections 5</w:t>
      </w:r>
      <w:r>
        <w:rPr>
          <w:rFonts w:ascii="Times New Roman" w:hAnsi="Times New Roman"/>
          <w:color w:val="000000"/>
          <w:sz w:val="20"/>
        </w:rPr>
        <w:t xml:space="preserve"> </w:t>
      </w:r>
      <w:r>
        <w:rPr>
          <w:rFonts w:ascii="Arial" w:hAnsi="Arial"/>
          <w:color w:val="000000"/>
          <w:sz w:val="20"/>
        </w:rPr>
        <w:t xml:space="preserve">and </w:t>
      </w:r>
      <w:r>
        <w:rPr>
          <w:rFonts w:ascii="Arial" w:hAnsi="Arial"/>
          <w:color w:val="000000"/>
          <w:sz w:val="20"/>
          <w:u w:val="single"/>
        </w:rPr>
        <w:t>45(o)</w:t>
      </w:r>
      <w:r>
        <w:rPr>
          <w:rFonts w:ascii="Times New Roman" w:hAnsi="Times New Roman"/>
          <w:color w:val="000000"/>
          <w:sz w:val="20"/>
        </w:rPr>
        <w:t xml:space="preserve"> </w:t>
      </w:r>
      <w:r>
        <w:rPr>
          <w:rFonts w:ascii="Arial" w:hAnsi="Arial"/>
          <w:color w:val="000000"/>
          <w:sz w:val="20"/>
        </w:rPr>
        <w:t>hereof."</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color w:val="000000"/>
          <w:sz w:val="20"/>
          <w:u w:val="single"/>
        </w:rPr>
      </w:pPr>
      <w:r>
        <w:rPr>
          <w:rFonts w:ascii="Arial" w:hAnsi="Arial"/>
          <w:b/>
          <w:color w:val="000000"/>
          <w:sz w:val="20"/>
          <w:u w:val="single"/>
        </w:rPr>
        <w:t>5.</w:t>
      </w:r>
    </w:p>
    <w:p>
      <w:pPr>
        <w:pStyle w:val="TextBody"/>
        <w:bidi w:val="0"/>
        <w:spacing w:before="0" w:after="240"/>
        <w:jc w:val="both"/>
        <w:rPr/>
      </w:pPr>
      <w:r>
        <w:rPr>
          <w:rFonts w:ascii="Arial" w:hAnsi="Arial"/>
          <w:b/>
          <w:color w:val="000000"/>
          <w:sz w:val="20"/>
          <w:u w:val="single"/>
        </w:rPr>
        <w:t>Security Deposit</w:t>
      </w:r>
      <w:r>
        <w:rPr>
          <w:rFonts w:ascii="Arial" w:hAnsi="Arial"/>
          <w:color w:val="000000"/>
          <w:sz w:val="20"/>
        </w:rPr>
        <w:t>. Commencing on the Expansion Premises Commencement Date the defined term “</w:t>
      </w:r>
      <w:r>
        <w:rPr>
          <w:rFonts w:ascii="Arial" w:hAnsi="Arial"/>
          <w:b/>
          <w:color w:val="000000"/>
          <w:sz w:val="20"/>
        </w:rPr>
        <w:t>Security Deposit</w:t>
      </w:r>
      <w:r>
        <w:rPr>
          <w:color w:val="000000"/>
        </w:rPr>
        <w:t xml:space="preserve">” </w:t>
      </w:r>
      <w:r>
        <w:rPr>
          <w:rFonts w:ascii="Arial" w:hAnsi="Arial"/>
          <w:color w:val="000000"/>
          <w:sz w:val="20"/>
        </w:rPr>
        <w:t>on Page 1 of the Lease is deleted in its entirely and replaced with the following:</w:t>
      </w:r>
    </w:p>
    <w:p>
      <w:pPr>
        <w:pStyle w:val="TextBody"/>
        <w:bidi w:val="0"/>
        <w:spacing w:before="0" w:after="240"/>
        <w:jc w:val="both"/>
        <w:rPr/>
      </w:pPr>
      <w:r>
        <w:rPr>
          <w:color w:val="000000"/>
        </w:rPr>
        <w:t>“</w:t>
      </w:r>
      <w:r>
        <w:rPr>
          <w:rFonts w:ascii="Arial" w:hAnsi="Arial"/>
          <w:b/>
          <w:color w:val="000000"/>
          <w:sz w:val="20"/>
        </w:rPr>
        <w:t>Security Deposit</w:t>
      </w:r>
      <w:r>
        <w:rPr>
          <w:rFonts w:ascii="Arial" w:hAnsi="Arial"/>
          <w:color w:val="000000"/>
          <w:sz w:val="20"/>
        </w:rPr>
        <w:t>: $255,227"</w:t>
      </w:r>
    </w:p>
    <w:p>
      <w:pPr>
        <w:pStyle w:val="TextBody"/>
        <w:bidi w:val="0"/>
        <w:spacing w:before="0" w:after="240"/>
        <w:jc w:val="both"/>
        <w:rPr>
          <w:rFonts w:ascii="Arial" w:hAnsi="Arial"/>
          <w:color w:val="000000"/>
          <w:sz w:val="20"/>
        </w:rPr>
      </w:pPr>
      <w:r>
        <w:rPr>
          <w:rFonts w:ascii="Arial" w:hAnsi="Arial"/>
          <w:color w:val="000000"/>
          <w:sz w:val="20"/>
        </w:rPr>
        <w:t>Landlord currently holds a Security Deposit in the amount of $116,012 under the Lease. As contemplated by the First Amendment, within 30 days before the Expansion Premises Commencement Date, Tenant shall deliver to Landlord an amended Letter of Credit which increases the amount of the existing Letter of Credit being held by Landlord to $255,227 or an additional Letter of Credit in the amount of $139,215</w:t>
      </w:r>
    </w:p>
    <w:p>
      <w:pPr>
        <w:pStyle w:val="TextBody"/>
        <w:bidi w:val="0"/>
        <w:spacing w:before="0" w:after="240"/>
        <w:jc w:val="both"/>
        <w:rPr>
          <w:rFonts w:ascii="Arial" w:hAnsi="Arial"/>
          <w:b/>
          <w:color w:val="000000"/>
          <w:sz w:val="20"/>
          <w:u w:val="single"/>
        </w:rPr>
      </w:pPr>
      <w:r>
        <w:rPr>
          <w:rFonts w:ascii="Arial" w:hAnsi="Arial"/>
          <w:b/>
          <w:color w:val="000000"/>
          <w:sz w:val="20"/>
          <w:u w:val="single"/>
        </w:rPr>
        <w:t>6.</w:t>
      </w:r>
    </w:p>
    <w:p>
      <w:pPr>
        <w:pStyle w:val="TextBody"/>
        <w:bidi w:val="0"/>
        <w:spacing w:before="0" w:after="240"/>
        <w:jc w:val="both"/>
        <w:rPr/>
      </w:pPr>
      <w:r>
        <w:rPr>
          <w:rFonts w:ascii="Arial" w:hAnsi="Arial"/>
          <w:b/>
          <w:color w:val="000000"/>
          <w:sz w:val="20"/>
          <w:u w:val="single"/>
        </w:rPr>
        <w:t>Parking</w:t>
      </w:r>
      <w:r>
        <w:rPr>
          <w:rFonts w:ascii="Arial" w:hAnsi="Arial"/>
          <w:color w:val="000000"/>
          <w:sz w:val="20"/>
        </w:rPr>
        <w:t xml:space="preserve">. Subject to the terms and conditions of </w:t>
      </w:r>
      <w:r>
        <w:rPr>
          <w:rFonts w:ascii="Arial" w:hAnsi="Arial"/>
          <w:color w:val="000000"/>
          <w:sz w:val="20"/>
          <w:u w:val="single"/>
        </w:rPr>
        <w:t>Section 10</w:t>
      </w:r>
      <w:r>
        <w:rPr>
          <w:color w:val="000000"/>
        </w:rPr>
        <w:t xml:space="preserve"> </w:t>
      </w:r>
      <w:r>
        <w:rPr>
          <w:rFonts w:ascii="Arial" w:hAnsi="Arial"/>
          <w:color w:val="000000"/>
          <w:sz w:val="20"/>
        </w:rPr>
        <w:t>of the Lease, and in addition to the parking rights granted to Tenant thereunder with respect to the Original Premises, commencing on the Expansion Premises Commencement Date, Tenant shall have the right to park at a rate of 2.0 cars per 1,000 rentable square feet of the Expansion Premises.</w:t>
      </w:r>
    </w:p>
    <w:p>
      <w:pPr>
        <w:pStyle w:val="TextBody"/>
        <w:bidi w:val="0"/>
        <w:spacing w:before="0" w:after="240"/>
        <w:jc w:val="both"/>
        <w:rPr>
          <w:rFonts w:ascii="Arial" w:hAnsi="Arial"/>
          <w:b/>
          <w:color w:val="000000"/>
          <w:sz w:val="20"/>
          <w:u w:val="single"/>
        </w:rPr>
      </w:pPr>
      <w:r>
        <w:rPr>
          <w:rFonts w:ascii="Arial" w:hAnsi="Arial"/>
          <w:b/>
          <w:color w:val="000000"/>
          <w:sz w:val="20"/>
          <w:u w:val="single"/>
        </w:rPr>
        <w:t>7.</w:t>
      </w:r>
    </w:p>
    <w:p>
      <w:pPr>
        <w:pStyle w:val="TextBody"/>
        <w:bidi w:val="0"/>
        <w:spacing w:before="0" w:after="240"/>
        <w:jc w:val="both"/>
        <w:rPr/>
      </w:pPr>
      <w:r>
        <w:rPr>
          <w:rFonts w:ascii="Arial" w:hAnsi="Arial"/>
          <w:b/>
          <w:color w:val="000000"/>
          <w:sz w:val="20"/>
          <w:u w:val="single"/>
        </w:rPr>
        <w:t>Extension of Term</w:t>
      </w:r>
      <w:r>
        <w:rPr>
          <w:rFonts w:ascii="Arial" w:hAnsi="Arial"/>
          <w:color w:val="000000"/>
          <w:sz w:val="20"/>
        </w:rPr>
        <w:t xml:space="preserve">. The Term of the Lease will expire with respect to both the Original Premises and the Expansion Premises on the Second Amendment Expiration Date. </w:t>
      </w:r>
    </w:p>
    <w:p>
      <w:pPr>
        <w:pStyle w:val="TextBody"/>
        <w:bidi w:val="0"/>
        <w:spacing w:before="0" w:after="240"/>
        <w:jc w:val="both"/>
        <w:rPr>
          <w:rFonts w:ascii="Arial" w:hAnsi="Arial"/>
          <w:b/>
          <w:color w:val="000000"/>
          <w:sz w:val="20"/>
          <w:u w:val="single"/>
        </w:rPr>
      </w:pPr>
      <w:r>
        <w:rPr>
          <w:rFonts w:ascii="Arial" w:hAnsi="Arial"/>
          <w:b/>
          <w:color w:val="000000"/>
          <w:sz w:val="20"/>
          <w:u w:val="single"/>
        </w:rPr>
        <w:t>8.</w:t>
      </w:r>
    </w:p>
    <w:p>
      <w:pPr>
        <w:pStyle w:val="TextBody"/>
        <w:bidi w:val="0"/>
        <w:spacing w:before="0" w:after="240"/>
        <w:jc w:val="both"/>
        <w:rPr/>
      </w:pPr>
      <w:r>
        <w:rPr>
          <w:rFonts w:ascii="Arial" w:hAnsi="Arial"/>
          <w:b/>
          <w:color w:val="000000"/>
          <w:sz w:val="20"/>
          <w:u w:val="single"/>
        </w:rPr>
        <w:t>Tenant Improvements</w:t>
      </w:r>
      <w:r>
        <w:rPr>
          <w:rFonts w:ascii="Arial" w:hAnsi="Arial"/>
          <w:color w:val="000000"/>
          <w:sz w:val="20"/>
        </w:rPr>
        <w:t>. Landlord shall make available to Tenant a tenant improvement allowance in the maximum amount of $842,350 ($50.00 per rentable square foot of the Original Premises and Expansion Premises) (the “</w:t>
      </w:r>
      <w:r>
        <w:rPr>
          <w:rFonts w:ascii="Arial" w:hAnsi="Arial"/>
          <w:b/>
          <w:color w:val="000000"/>
          <w:sz w:val="20"/>
        </w:rPr>
        <w:t>TI Allowance</w:t>
      </w:r>
      <w:r>
        <w:rPr>
          <w:color w:val="000000"/>
        </w:rPr>
        <w:t>”</w:t>
      </w:r>
      <w:r>
        <w:rPr>
          <w:rFonts w:ascii="Arial" w:hAnsi="Arial"/>
          <w:color w:val="000000"/>
          <w:sz w:val="20"/>
        </w:rPr>
        <w:t>), for the design and construction of fixed and permanent improvements desired by and performed by Tenant and reasonably acceptable to Landlord in the Original Premises and Expansion Premises (collectively, the “</w:t>
      </w:r>
      <w:r>
        <w:rPr>
          <w:rFonts w:ascii="Arial" w:hAnsi="Arial"/>
          <w:b/>
          <w:color w:val="000000"/>
          <w:sz w:val="20"/>
        </w:rPr>
        <w:t>Tenant Improvements</w:t>
      </w:r>
      <w:r>
        <w:rPr>
          <w:color w:val="000000"/>
        </w:rPr>
        <w:t>”</w:t>
      </w:r>
      <w:r>
        <w:rPr>
          <w:rFonts w:ascii="Arial" w:hAnsi="Arial"/>
          <w:color w:val="000000"/>
          <w:sz w:val="20"/>
        </w:rPr>
        <w:t xml:space="preserve">), which Tenant Improvements shall be constructed pursuant to a scope of work and plans reasonable acceptable to Landlord and Tenant. The TI Allowance shall be available only for hard and soft costs of construction of the Tenant Improvements, including, but not limited to, architectural and engineering fees, data/telecom cabling and furniture reasonably acceptable to Landlord. The Tenant Improvements shall be treated as Alterations and shall be undertaken pursuant to </w:t>
      </w:r>
      <w:r>
        <w:rPr>
          <w:rFonts w:ascii="Arial" w:hAnsi="Arial"/>
          <w:color w:val="000000"/>
          <w:sz w:val="20"/>
          <w:u w:val="single"/>
        </w:rPr>
        <w:t>Section 12</w:t>
      </w:r>
      <w:r>
        <w:rPr>
          <w:color w:val="000000"/>
        </w:rPr>
        <w:t xml:space="preserve"> </w:t>
      </w:r>
      <w:r>
        <w:rPr>
          <w:rFonts w:ascii="Arial" w:hAnsi="Arial"/>
          <w:color w:val="000000"/>
          <w:sz w:val="20"/>
        </w:rPr>
        <w:t>of the Lease. The contractor for the Tenant Improvements shall be selected by Tenant, subject to Landlord’s approval, which approval shall not be unreasonably withheld, conditioned or delayed. Prior to the commencement of the Tenant Improvements, Tenant shall deliver to Landlord a copy of any contract with Tenant’s contractors, and certificates of insurance from any contractor performing any part of the Tenant Improvements evidencing industry standard commercial general liability, automotive liability, “builder’s risk”, and workers’ compensation insurance. Tenant shall cause the general contractor to provide a certificate of insurance naming Landlord, Alexandria Real Estate Equities, Inc., as additional insureds for the general contractor’s liability coverages required above.</w:t>
      </w:r>
    </w:p>
    <w:p>
      <w:pPr>
        <w:pStyle w:val="TextBody"/>
        <w:bidi w:val="0"/>
        <w:spacing w:before="0" w:after="240"/>
        <w:jc w:val="both"/>
        <w:rPr>
          <w:rFonts w:ascii="Times New Roman" w:hAnsi="Times New Roman"/>
          <w:sz w:val="20"/>
        </w:rPr>
      </w:pPr>
      <w:r>
        <w:rPr>
          <w:rFonts w:ascii="Arial" w:hAnsi="Arial"/>
          <w:color w:val="000000"/>
          <w:sz w:val="20"/>
        </w:rPr>
        <w:t>During the course of the design and construction of the Tenant Improvements, Landlord shall reimburse Tenant for the cost of the Tenant Improvements once a month against a reasonable form of draw request, containing evidence of payment of the applicable costs and such certifications, lien waivers (including a conditional lien release for each progress payment and unconditional lien releases for the prior month’s progress payments), inspection reports and other matters as Landlord customarily obtains, to the extent of Landlord’s approval thereof for payment, no later than 30 days following receipt of such draw request. Upon completion of the Tenant Improvements (and prior to any final disbursement of the TI Allowance) Tenant shall deliver to Landlord the following items: (i) sworn statements setting forth the names of all contractors and subcontractors who did work on the Tenant Improvements and final lien waivers from all such contractors and subcontractors; and (ii) if applicable, “as built” plans for the Tenant Improvements. Tenant acknowledges that upon the expiration of the Term of the Lease, the Tenant Improvements shall become the property of Landlord and may not be removed by Tenant. Tenant shall pay Landlord a supervisory fee in the amount of 1% of the total cost of the Tenant Improvements, which sum shall be payable from the TI Allowance. Except for the TI Allowance, Tenant shall be solely responsible for all of the costs of the Tenant Improvements. If the estimated cost of the Tenant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Improvements exceeds the TI Allowance, Tenant shall be required to pay such excess on a pari passu basis with the remaining portion of the TI Allowance, with a reconciliation to be conducted within thirty (30) days following the completion of the Tenant Improvements. Tenant shall have no right to any portion of the TI Allowance that is not disbursed before the last day of the month that is 24 months after the Effective Date of this Second Amendment (the “</w:t>
      </w:r>
      <w:r>
        <w:rPr>
          <w:rFonts w:ascii="Arial" w:hAnsi="Arial"/>
          <w:b/>
          <w:color w:val="000000"/>
          <w:sz w:val="20"/>
        </w:rPr>
        <w:t>Outside Improvements Allowance Date</w:t>
      </w:r>
      <w:r>
        <w:rPr>
          <w:rFonts w:ascii="Times New Roman" w:hAnsi="Times New Roman"/>
          <w:color w:val="000000"/>
          <w:sz w:val="20"/>
        </w:rPr>
        <w:t>”</w:t>
      </w:r>
      <w:r>
        <w:rPr>
          <w:rFonts w:ascii="Arial" w:hAnsi="Arial"/>
          <w:color w:val="000000"/>
          <w:sz w:val="20"/>
        </w:rPr>
        <w:t>). Any portion of the TI Allowance which has not been disbursed before the Outside Improvements Allowance Date shall be forfeited and shall not be available for use by Tenant.</w:t>
      </w:r>
    </w:p>
    <w:p>
      <w:pPr>
        <w:pStyle w:val="TextBody"/>
        <w:bidi w:val="0"/>
        <w:spacing w:before="0" w:after="240"/>
        <w:jc w:val="both"/>
        <w:rPr>
          <w:rFonts w:ascii="Arial" w:hAnsi="Arial"/>
          <w:b/>
          <w:color w:val="000000"/>
          <w:sz w:val="20"/>
          <w:u w:val="single"/>
        </w:rPr>
      </w:pPr>
      <w:r>
        <w:rPr>
          <w:rFonts w:ascii="Arial" w:hAnsi="Arial"/>
          <w:b/>
          <w:color w:val="000000"/>
          <w:sz w:val="20"/>
          <w:u w:val="single"/>
        </w:rPr>
        <w:t>9.</w:t>
      </w:r>
    </w:p>
    <w:p>
      <w:pPr>
        <w:pStyle w:val="TextBody"/>
        <w:bidi w:val="0"/>
        <w:spacing w:before="0" w:after="240"/>
        <w:jc w:val="both"/>
        <w:rPr/>
      </w:pPr>
      <w:r>
        <w:rPr>
          <w:rFonts w:ascii="Arial" w:hAnsi="Arial"/>
          <w:b/>
          <w:color w:val="000000"/>
          <w:sz w:val="20"/>
          <w:u w:val="single"/>
        </w:rPr>
        <w:t>Right to Extend</w:t>
      </w:r>
      <w:r>
        <w:rPr>
          <w:rFonts w:ascii="Arial" w:hAnsi="Arial"/>
          <w:color w:val="000000"/>
          <w:sz w:val="20"/>
        </w:rPr>
        <w:t xml:space="preserve">. Tenant shall continue to have one (1) five-year option to extend the Term of the Lease with respect to the entire Premises in accordance with the terms of </w:t>
      </w:r>
      <w:r>
        <w:rPr>
          <w:rFonts w:ascii="Arial" w:hAnsi="Arial"/>
          <w:color w:val="000000"/>
          <w:sz w:val="20"/>
          <w:u w:val="single"/>
        </w:rPr>
        <w:t>Section 40</w:t>
      </w:r>
      <w:r>
        <w:rPr>
          <w:color w:val="000000"/>
        </w:rPr>
        <w:t xml:space="preserve"> </w:t>
      </w:r>
      <w:r>
        <w:rPr>
          <w:rFonts w:ascii="Arial" w:hAnsi="Arial"/>
          <w:color w:val="000000"/>
          <w:sz w:val="20"/>
        </w:rPr>
        <w:t>of the Lease</w:t>
      </w:r>
    </w:p>
    <w:p>
      <w:pPr>
        <w:pStyle w:val="TextBody"/>
        <w:bidi w:val="0"/>
        <w:spacing w:before="0" w:after="240"/>
        <w:jc w:val="both"/>
        <w:rPr>
          <w:rFonts w:ascii="Arial" w:hAnsi="Arial"/>
          <w:b/>
          <w:color w:val="000000"/>
          <w:sz w:val="20"/>
          <w:u w:val="single"/>
        </w:rPr>
      </w:pPr>
      <w:r>
        <w:rPr>
          <w:rFonts w:ascii="Arial" w:hAnsi="Arial"/>
          <w:b/>
          <w:color w:val="000000"/>
          <w:sz w:val="20"/>
          <w:u w:val="single"/>
        </w:rPr>
        <w:t>10.</w:t>
      </w:r>
    </w:p>
    <w:p>
      <w:pPr>
        <w:pStyle w:val="TextBody"/>
        <w:bidi w:val="0"/>
        <w:spacing w:before="0" w:after="240"/>
        <w:jc w:val="both"/>
        <w:rPr/>
      </w:pPr>
      <w:r>
        <w:rPr>
          <w:rFonts w:ascii="Arial" w:hAnsi="Arial"/>
          <w:b/>
          <w:color w:val="000000"/>
          <w:sz w:val="20"/>
          <w:u w:val="single"/>
        </w:rPr>
        <w:t>Tenant’s Notice Address</w:t>
      </w:r>
      <w:r>
        <w:rPr>
          <w:rFonts w:ascii="Arial" w:hAnsi="Arial"/>
          <w:b/>
          <w:color w:val="000000"/>
          <w:sz w:val="20"/>
        </w:rPr>
        <w:t xml:space="preserve">. </w:t>
      </w:r>
      <w:r>
        <w:rPr>
          <w:rFonts w:ascii="Arial" w:hAnsi="Arial"/>
          <w:color w:val="000000"/>
          <w:sz w:val="20"/>
        </w:rPr>
        <w:t>As of the Effective Date of this Second Amendment, Tenant’s notice address under the Lease shall be as follows:</w:t>
      </w:r>
    </w:p>
    <w:p>
      <w:pPr>
        <w:pStyle w:val="TextBody"/>
        <w:bidi w:val="0"/>
        <w:spacing w:before="0" w:after="240"/>
        <w:jc w:val="left"/>
        <w:rPr>
          <w:rFonts w:ascii="Arial" w:hAnsi="Arial"/>
          <w:color w:val="000000"/>
          <w:sz w:val="20"/>
        </w:rPr>
      </w:pPr>
      <w:r>
        <w:rPr>
          <w:rFonts w:ascii="Arial" w:hAnsi="Arial"/>
          <w:color w:val="000000"/>
          <w:sz w:val="20"/>
        </w:rPr>
        <w:t>Disc Medicine, Inc.</w:t>
        <w:br/>
        <w:t>321 Arsenal Street, Suite 101</w:t>
        <w:br/>
        <w:t>Watertown, MA 02472</w:t>
        <w:br/>
        <w:t>Attn: Jean Franchi</w:t>
      </w:r>
    </w:p>
    <w:p>
      <w:pPr>
        <w:pStyle w:val="TextBody"/>
        <w:bidi w:val="0"/>
        <w:spacing w:before="0" w:after="240"/>
        <w:jc w:val="both"/>
        <w:rPr>
          <w:rFonts w:ascii="Arial" w:hAnsi="Arial"/>
          <w:b/>
          <w:color w:val="000000"/>
          <w:sz w:val="20"/>
          <w:u w:val="single"/>
        </w:rPr>
      </w:pPr>
      <w:r>
        <w:rPr>
          <w:rFonts w:ascii="Arial" w:hAnsi="Arial"/>
          <w:b/>
          <w:color w:val="000000"/>
          <w:sz w:val="20"/>
          <w:u w:val="single"/>
        </w:rPr>
        <w:t>11.</w:t>
      </w:r>
    </w:p>
    <w:p>
      <w:pPr>
        <w:pStyle w:val="TextBody"/>
        <w:bidi w:val="0"/>
        <w:spacing w:before="0" w:after="240"/>
        <w:jc w:val="both"/>
        <w:rPr/>
      </w:pPr>
      <w:r>
        <w:rPr>
          <w:rFonts w:ascii="Arial" w:hAnsi="Arial"/>
          <w:b/>
          <w:color w:val="000000"/>
          <w:sz w:val="20"/>
          <w:u w:val="single"/>
        </w:rPr>
        <w:t>OFAC</w:t>
      </w:r>
      <w:r>
        <w:rPr>
          <w:rFonts w:ascii="Arial" w:hAnsi="Arial"/>
          <w:color w:val="000000"/>
          <w:sz w:val="20"/>
        </w:rPr>
        <w:t>. Tenant and all beneficial owners of Tenant are currently (a) in compliance with and shall at all times during the Term of the Lease remain in compliance with the regulations of the Office of Foreign Assets Control (“</w:t>
      </w:r>
      <w:r>
        <w:rPr>
          <w:rFonts w:ascii="Arial" w:hAnsi="Arial"/>
          <w:b/>
          <w:color w:val="000000"/>
          <w:sz w:val="20"/>
        </w:rPr>
        <w:t>OFAC</w:t>
      </w:r>
      <w:r>
        <w:rPr>
          <w:color w:val="000000"/>
        </w:rPr>
        <w:t>”</w:t>
      </w:r>
      <w:r>
        <w:rPr>
          <w:rFonts w:ascii="Arial" w:hAnsi="Arial"/>
          <w:color w:val="000000"/>
          <w:sz w:val="20"/>
        </w:rPr>
        <w:t>) of the U.S. Department of Treasury and any statute, executive order, or regulation relating thereto (collectively, the “</w:t>
      </w:r>
      <w:r>
        <w:rPr>
          <w:rFonts w:ascii="Arial" w:hAnsi="Arial"/>
          <w:b/>
          <w:color w:val="000000"/>
          <w:sz w:val="20"/>
        </w:rPr>
        <w:t>OFAC Rules</w:t>
      </w:r>
      <w:r>
        <w:rPr>
          <w:color w:val="000000"/>
        </w:rPr>
        <w:t>”</w:t>
      </w:r>
      <w:r>
        <w:rPr>
          <w:rFonts w:ascii="Arial" w:hAnsi="Arial"/>
          <w:color w:val="000000"/>
          <w:sz w:val="20"/>
        </w:rPr>
        <w:t>), (b) not listed on, and shall not during the term of the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pStyle w:val="TextBody"/>
        <w:bidi w:val="0"/>
        <w:spacing w:before="0" w:after="240"/>
        <w:jc w:val="both"/>
        <w:rPr>
          <w:rFonts w:ascii="Arial" w:hAnsi="Arial"/>
          <w:b/>
          <w:color w:val="000000"/>
          <w:sz w:val="20"/>
          <w:u w:val="single"/>
        </w:rPr>
      </w:pPr>
      <w:r>
        <w:rPr>
          <w:rFonts w:ascii="Arial" w:hAnsi="Arial"/>
          <w:b/>
          <w:color w:val="000000"/>
          <w:sz w:val="20"/>
          <w:u w:val="single"/>
        </w:rPr>
        <w:t>12.</w:t>
      </w:r>
    </w:p>
    <w:p>
      <w:pPr>
        <w:pStyle w:val="TextBody"/>
        <w:bidi w:val="0"/>
        <w:spacing w:before="0" w:after="240"/>
        <w:jc w:val="both"/>
        <w:rPr/>
      </w:pPr>
      <w:r>
        <w:rPr>
          <w:rFonts w:ascii="Arial" w:hAnsi="Arial"/>
          <w:b/>
          <w:color w:val="000000"/>
          <w:sz w:val="20"/>
          <w:u w:val="single"/>
        </w:rPr>
        <w:t>Brokers</w:t>
      </w:r>
      <w:r>
        <w:rPr>
          <w:rFonts w:ascii="Arial" w:hAnsi="Arial"/>
          <w:color w:val="000000"/>
          <w:sz w:val="20"/>
        </w:rPr>
        <w:t>. Landlord and Tenant each represents and warrants that it has not dealt with any broker, agent or other person (collectively, “</w:t>
      </w:r>
      <w:r>
        <w:rPr>
          <w:rFonts w:ascii="Arial" w:hAnsi="Arial"/>
          <w:b/>
          <w:color w:val="000000"/>
          <w:sz w:val="20"/>
        </w:rPr>
        <w:t>Broker</w:t>
      </w:r>
      <w:r>
        <w:rPr>
          <w:color w:val="000000"/>
        </w:rPr>
        <w:t>”</w:t>
      </w:r>
      <w:r>
        <w:rPr>
          <w:rFonts w:ascii="Arial" w:hAnsi="Arial"/>
          <w:color w:val="000000"/>
          <w:sz w:val="20"/>
        </w:rPr>
        <w:t xml:space="preserve">) in connection with the transaction reflected in this Second Amendment and that no Broker brought about this transaction, other than JLL and CBRE. Landlord and Tenant each hereby agrees to indemnify and hold the other harmless from and against any claims by any Broker, other than JLL and CBRE, claiming a commission or other form of compensation by virtue of having dealt with Tenant or Landlord, as applicable, with regard to this Second Amendment. </w:t>
      </w:r>
    </w:p>
    <w:p>
      <w:pPr>
        <w:pStyle w:val="TextBody"/>
        <w:bidi w:val="0"/>
        <w:spacing w:before="0" w:after="240"/>
        <w:jc w:val="both"/>
        <w:rPr>
          <w:rFonts w:ascii="Arial" w:hAnsi="Arial"/>
          <w:b/>
          <w:color w:val="000000"/>
          <w:sz w:val="20"/>
          <w:u w:val="single"/>
        </w:rPr>
      </w:pPr>
      <w:r>
        <w:rPr>
          <w:rFonts w:ascii="Arial" w:hAnsi="Arial"/>
          <w:b/>
          <w:color w:val="000000"/>
          <w:sz w:val="20"/>
          <w:u w:val="single"/>
        </w:rPr>
        <w:t>13.</w:t>
      </w:r>
    </w:p>
    <w:p>
      <w:pPr>
        <w:pStyle w:val="TextBody"/>
        <w:bidi w:val="0"/>
        <w:spacing w:before="0" w:after="240"/>
        <w:jc w:val="both"/>
        <w:rPr/>
      </w:pPr>
      <w:r>
        <w:rPr>
          <w:rFonts w:ascii="Arial" w:hAnsi="Arial"/>
          <w:b/>
          <w:color w:val="000000"/>
          <w:sz w:val="20"/>
          <w:u w:val="single"/>
        </w:rPr>
        <w:t>Miscellaneous</w:t>
      </w:r>
      <w:r>
        <w:rPr>
          <w:rFonts w:ascii="Arial" w:hAnsi="Arial"/>
          <w:color w:val="000000"/>
          <w:sz w:val="20"/>
        </w:rPr>
        <w:t>.</w:t>
      </w:r>
    </w:p>
    <w:p>
      <w:pPr>
        <w:pStyle w:val="TextBody"/>
        <w:bidi w:val="0"/>
        <w:spacing w:before="0" w:after="240"/>
        <w:jc w:val="both"/>
        <w:rPr>
          <w:rFonts w:ascii="Arial" w:hAnsi="Arial"/>
          <w:b/>
          <w:color w:val="000000"/>
          <w:sz w:val="20"/>
        </w:rPr>
      </w:pPr>
      <w:r>
        <w:rPr>
          <w:rFonts w:ascii="Arial" w:hAnsi="Arial"/>
          <w:b/>
          <w:color w:val="000000"/>
          <w:sz w:val="20"/>
        </w:rPr>
        <w:t>a.</w:t>
      </w:r>
    </w:p>
    <w:p>
      <w:pPr>
        <w:pStyle w:val="TextBody"/>
        <w:bidi w:val="0"/>
        <w:spacing w:before="0" w:after="240"/>
        <w:jc w:val="both"/>
        <w:rPr>
          <w:rFonts w:ascii="Arial" w:hAnsi="Arial"/>
          <w:color w:val="000000"/>
          <w:sz w:val="20"/>
        </w:rPr>
      </w:pPr>
      <w:r>
        <w:rPr>
          <w:rFonts w:ascii="Arial" w:hAnsi="Arial"/>
          <w:color w:val="000000"/>
          <w:sz w:val="20"/>
        </w:rPr>
        <w:t xml:space="preserve">This Second Amendment is the entire agreement between the parties with respect to the subject matter hereof and supersedes all prior and contemporaneous oral and written agreements and discussions. This Second Amendment may be amended only by an agreement in writing, signed by the parties hereto. </w:t>
      </w:r>
    </w:p>
    <w:p>
      <w:pPr>
        <w:pStyle w:val="TextBody"/>
        <w:bidi w:val="0"/>
        <w:spacing w:before="0" w:after="240"/>
        <w:jc w:val="both"/>
        <w:rPr>
          <w:rFonts w:ascii="Arial" w:hAnsi="Arial"/>
          <w:b/>
          <w:color w:val="000000"/>
          <w:sz w:val="20"/>
        </w:rPr>
      </w:pPr>
      <w:r>
        <w:rPr>
          <w:rFonts w:ascii="Arial" w:hAnsi="Arial"/>
          <w:b/>
          <w:color w:val="000000"/>
          <w:sz w:val="20"/>
        </w:rPr>
        <w:t>b.</w:t>
      </w:r>
    </w:p>
    <w:p>
      <w:pPr>
        <w:pStyle w:val="TextBody"/>
        <w:bidi w:val="0"/>
        <w:spacing w:before="0" w:after="240"/>
        <w:jc w:val="both"/>
        <w:rPr>
          <w:rFonts w:ascii="Arial" w:hAnsi="Arial"/>
          <w:color w:val="000000"/>
          <w:sz w:val="20"/>
        </w:rPr>
      </w:pPr>
      <w:r>
        <w:rPr>
          <w:rFonts w:ascii="Arial" w:hAnsi="Arial"/>
          <w:color w:val="000000"/>
          <w:sz w:val="20"/>
        </w:rPr>
        <w:t>This Second Amendment is binding upon and shall inure to the benefit of the parties hereto, and their respective successors and assigns.</w:t>
      </w:r>
    </w:p>
    <w:p>
      <w:pPr>
        <w:pStyle w:val="TextBody"/>
        <w:bidi w:val="0"/>
        <w:spacing w:before="0" w:after="240"/>
        <w:jc w:val="both"/>
        <w:rPr>
          <w:rFonts w:ascii="Arial" w:hAnsi="Arial"/>
          <w:b/>
          <w:color w:val="000000"/>
          <w:sz w:val="20"/>
        </w:rPr>
      </w:pPr>
      <w:r>
        <w:rPr>
          <w:rFonts w:ascii="Arial" w:hAnsi="Arial"/>
          <w:b/>
          <w:color w:val="000000"/>
          <w:sz w:val="20"/>
        </w:rPr>
        <w:t>c.</w:t>
      </w:r>
    </w:p>
    <w:p>
      <w:pPr>
        <w:pStyle w:val="TextBody"/>
        <w:bidi w:val="0"/>
        <w:spacing w:before="0" w:after="240"/>
        <w:jc w:val="both"/>
        <w:rPr>
          <w:rFonts w:ascii="Arial" w:hAnsi="Arial"/>
          <w:color w:val="000000"/>
          <w:sz w:val="20"/>
        </w:rPr>
      </w:pPr>
      <w:r>
        <w:rPr>
          <w:rFonts w:ascii="Arial" w:hAnsi="Arial"/>
          <w:color w:val="000000"/>
          <w:sz w:val="20"/>
        </w:rPr>
        <w:t xml:space="preserve">This Second Amendment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signatures for purposes of this Second Amendment and all matters related thereto, with such electronic signatures having the same legal effect as original signatures.</w:t>
      </w:r>
    </w:p>
    <w:p>
      <w:pPr>
        <w:pStyle w:val="TextBody"/>
        <w:bidi w:val="0"/>
        <w:spacing w:before="0" w:after="240"/>
        <w:jc w:val="both"/>
        <w:rPr>
          <w:rFonts w:ascii="Arial" w:hAnsi="Arial"/>
          <w:b/>
          <w:color w:val="000000"/>
          <w:sz w:val="20"/>
        </w:rPr>
      </w:pPr>
      <w:r>
        <w:rPr>
          <w:rFonts w:ascii="Arial" w:hAnsi="Arial"/>
          <w:b/>
          <w:color w:val="000000"/>
          <w:sz w:val="20"/>
        </w:rPr>
        <w:t>d.</w:t>
      </w:r>
    </w:p>
    <w:p>
      <w:pPr>
        <w:pStyle w:val="TextBody"/>
        <w:bidi w:val="0"/>
        <w:spacing w:before="0" w:after="240"/>
        <w:jc w:val="both"/>
        <w:rPr>
          <w:rFonts w:ascii="Arial" w:hAnsi="Arial"/>
          <w:color w:val="000000"/>
          <w:sz w:val="20"/>
        </w:rPr>
      </w:pPr>
      <w:r>
        <w:rPr>
          <w:rFonts w:ascii="Arial" w:hAnsi="Arial"/>
          <w:color w:val="000000"/>
          <w:sz w:val="20"/>
        </w:rPr>
        <w:t>Except as amended and/or modified by this Second Amendment, the Lease is hereby ratified and confirmed and all other terms of the Lease shall remain in full force and effect, unaltered and unchanged by this Second Amendment. In the event of any conflict between the provisions of this Second Amendment and the provisions of the Lease, the provisions of this Second Amendment shall prevail. Whether or not specifically amended by this Second Amendment, all of the terms and provisions of the Lease are hereby amended to the extent necessary to give effect to the purpose and intent of this Second Amendment.</w:t>
      </w:r>
    </w:p>
    <w:p>
      <w:pPr>
        <w:pStyle w:val="TextBody"/>
        <w:bidi w:val="0"/>
        <w:spacing w:before="0" w:after="240"/>
        <w:jc w:val="center"/>
        <w:rPr>
          <w:rFonts w:ascii="Arial" w:hAnsi="Arial"/>
          <w:b/>
          <w:color w:val="000000"/>
          <w:sz w:val="20"/>
        </w:rPr>
      </w:pPr>
      <w:r>
        <w:rPr>
          <w:rFonts w:ascii="Arial" w:hAnsi="Arial"/>
          <w:b/>
          <w:color w:val="000000"/>
          <w:sz w:val="20"/>
        </w:rPr>
        <w:t>[Signatures are on the next page]</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b/>
          <w:color w:val="000000"/>
          <w:sz w:val="20"/>
        </w:rPr>
        <w:t>IN WITNESS WHEREOF</w:t>
      </w:r>
      <w:r>
        <w:rPr>
          <w:rFonts w:ascii="Arial" w:hAnsi="Arial"/>
          <w:color w:val="000000"/>
          <w:sz w:val="20"/>
        </w:rPr>
        <w:t>, the parties hereto have executed this Second Amendment as of the day and year first above written.</w:t>
      </w:r>
    </w:p>
    <w:p>
      <w:pPr>
        <w:pStyle w:val="TextBody"/>
        <w:bidi w:val="0"/>
        <w:spacing w:before="0" w:after="240"/>
        <w:jc w:val="left"/>
        <w:rPr>
          <w:rFonts w:ascii="Arial" w:hAnsi="Arial"/>
          <w:b/>
          <w:color w:val="000000"/>
          <w:sz w:val="20"/>
        </w:rPr>
      </w:pPr>
      <w:r>
        <w:rPr>
          <w:rFonts w:ascii="Arial" w:hAnsi="Arial"/>
          <w:b/>
          <w:color w:val="000000"/>
          <w:sz w:val="20"/>
        </w:rPr>
        <w:t>TENANT:</w:t>
      </w:r>
    </w:p>
    <w:p>
      <w:pPr>
        <w:pStyle w:val="TextBody"/>
        <w:bidi w:val="0"/>
        <w:jc w:val="left"/>
        <w:rPr>
          <w:rFonts w:ascii="Times New Roman" w:hAnsi="Times New Roman"/>
          <w:sz w:val="20"/>
        </w:rPr>
      </w:pPr>
      <w:r>
        <w:rPr>
          <w:rFonts w:ascii="Arial" w:hAnsi="Arial"/>
          <w:b/>
          <w:color w:val="000000"/>
          <w:sz w:val="20"/>
        </w:rPr>
        <w:t>DISC MEDICINE, INC.</w:t>
      </w:r>
      <w:r>
        <w:rPr>
          <w:rFonts w:ascii="Arial" w:hAnsi="Arial"/>
          <w:color w:val="000000"/>
          <w:sz w:val="20"/>
        </w:rPr>
        <w:t>,</w:t>
      </w:r>
      <w:r>
        <w:rPr>
          <w:rFonts w:ascii="Times New Roman" w:hAnsi="Times New Roman"/>
          <w:color w:val="000000"/>
          <w:sz w:val="20"/>
        </w:rPr>
        <w:t xml:space="preserve"> </w:t>
      </w:r>
    </w:p>
    <w:p>
      <w:pPr>
        <w:pStyle w:val="TextBody"/>
        <w:bidi w:val="0"/>
        <w:spacing w:before="0" w:after="480"/>
        <w:jc w:val="left"/>
        <w:rPr>
          <w:rFonts w:ascii="Arial" w:hAnsi="Arial"/>
          <w:color w:val="000000"/>
          <w:sz w:val="20"/>
        </w:rPr>
      </w:pPr>
      <w:r>
        <w:rPr>
          <w:rFonts w:ascii="Arial" w:hAnsi="Arial"/>
          <w:color w:val="000000"/>
          <w:sz w:val="20"/>
        </w:rPr>
        <w:t>a Delaware corporation</w:t>
      </w:r>
    </w:p>
    <w:p>
      <w:pPr>
        <w:pStyle w:val="TextBody"/>
        <w:bidi w:val="0"/>
        <w:spacing w:before="0" w:after="480"/>
        <w:jc w:val="left"/>
        <w:rPr>
          <w:rFonts w:ascii="Times New Roman" w:hAnsi="Times New Roman"/>
          <w:sz w:val="20"/>
        </w:rPr>
      </w:pPr>
      <w:r>
        <w:rPr>
          <w:rFonts w:ascii="Arial" w:hAnsi="Arial"/>
          <w:color w:val="000000"/>
          <w:sz w:val="20"/>
        </w:rPr>
        <w:t>By:</w:t>
      </w:r>
      <w:r>
        <w:rPr>
          <w:rFonts w:ascii="Times New Roman" w:hAnsi="Times New Roman"/>
          <w:color w:val="000000"/>
          <w:sz w:val="20"/>
          <w:u w:val="single"/>
        </w:rPr>
        <w:t xml:space="preserve"> </w:t>
      </w:r>
      <w:r>
        <w:rPr>
          <w:rFonts w:ascii="Arial" w:hAnsi="Arial"/>
          <w:color w:val="000000"/>
          <w:sz w:val="20"/>
          <w:u w:val="single"/>
        </w:rPr>
        <w:t xml:space="preserve">/s/ Jean Franchi </w:t>
        <w:br/>
      </w:r>
      <w:r>
        <w:rPr>
          <w:rFonts w:ascii="Arial" w:hAnsi="Arial"/>
          <w:color w:val="000000"/>
          <w:sz w:val="20"/>
        </w:rPr>
        <w:t>Name:</w:t>
      </w:r>
      <w:r>
        <w:rPr>
          <w:rFonts w:ascii="Times New Roman" w:hAnsi="Times New Roman"/>
          <w:color w:val="000000"/>
          <w:sz w:val="20"/>
          <w:u w:val="single"/>
        </w:rPr>
        <w:t xml:space="preserve"> </w:t>
      </w:r>
      <w:r>
        <w:rPr>
          <w:rFonts w:ascii="Arial" w:hAnsi="Arial"/>
          <w:color w:val="000000"/>
          <w:sz w:val="20"/>
          <w:u w:val="single"/>
        </w:rPr>
        <w:t xml:space="preserve">Jean Franchi </w:t>
        <w:br/>
      </w:r>
      <w:r>
        <w:rPr>
          <w:rFonts w:ascii="Arial" w:hAnsi="Arial"/>
          <w:color w:val="000000"/>
          <w:sz w:val="20"/>
        </w:rPr>
        <w:t xml:space="preserve">Title: </w:t>
      </w:r>
      <w:r>
        <w:rPr>
          <w:rFonts w:ascii="Arial" w:hAnsi="Arial"/>
          <w:color w:val="000000"/>
          <w:sz w:val="20"/>
          <w:u w:val="single"/>
        </w:rPr>
        <w:t xml:space="preserve">Chief Finance Officer </w:t>
      </w:r>
    </w:p>
    <w:p>
      <w:pPr>
        <w:pStyle w:val="TextBody"/>
        <w:bidi w:val="0"/>
        <w:spacing w:before="0" w:after="240"/>
        <w:jc w:val="left"/>
        <w:rPr>
          <w:color w:val="000000"/>
        </w:rPr>
      </w:pPr>
      <w:r>
        <w:rPr>
          <w:color w:val="000000"/>
        </w:rPr>
        <w:t xml:space="preserve">□ </w:t>
      </w:r>
      <w:r>
        <w:rPr>
          <w:rFonts w:ascii="Arial" w:hAnsi="Arial"/>
          <w:color w:val="000000"/>
          <w:sz w:val="20"/>
        </w:rPr>
        <w:t xml:space="preserve">I hereby certify that the signature, name, and title </w:t>
        <w:br/>
        <w:t>above are my signature, name and title.</w:t>
      </w:r>
    </w:p>
    <w:p>
      <w:pPr>
        <w:pStyle w:val="TextBody"/>
        <w:bidi w:val="0"/>
        <w:spacing w:before="0" w:after="240"/>
        <w:jc w:val="left"/>
        <w:rPr>
          <w:rFonts w:ascii="Arial" w:hAnsi="Arial"/>
          <w:b/>
          <w:color w:val="000000"/>
          <w:sz w:val="20"/>
        </w:rPr>
      </w:pPr>
      <w:r>
        <w:rPr>
          <w:rFonts w:ascii="Arial" w:hAnsi="Arial"/>
          <w:b/>
          <w:color w:val="000000"/>
          <w:sz w:val="20"/>
        </w:rPr>
        <w:t>LANDLORD:</w:t>
      </w:r>
    </w:p>
    <w:p>
      <w:pPr>
        <w:pStyle w:val="TextBody"/>
        <w:bidi w:val="0"/>
        <w:jc w:val="left"/>
        <w:rPr>
          <w:rFonts w:ascii="Times New Roman" w:hAnsi="Times New Roman"/>
          <w:sz w:val="20"/>
        </w:rPr>
      </w:pPr>
      <w:r>
        <w:rPr>
          <w:rFonts w:ascii="Arial" w:hAnsi="Arial"/>
          <w:b/>
          <w:color w:val="000000"/>
          <w:sz w:val="20"/>
        </w:rPr>
        <w:t>ARE-MA REGION NO. 75, LLC</w:t>
      </w:r>
      <w:r>
        <w:rPr>
          <w:rFonts w:ascii="Arial" w:hAnsi="Arial"/>
          <w:color w:val="000000"/>
          <w:sz w:val="20"/>
        </w:rPr>
        <w:t>,</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a Delaware limited liability company</w:t>
      </w:r>
    </w:p>
    <w:p>
      <w:pPr>
        <w:pStyle w:val="TextBody"/>
        <w:bidi w:val="0"/>
        <w:jc w:val="both"/>
        <w:rPr>
          <w:rFonts w:ascii="Times New Roman" w:hAnsi="Times New Roman"/>
          <w:sz w:val="20"/>
        </w:rPr>
      </w:pPr>
      <w:r>
        <w:rPr>
          <w:rFonts w:ascii="Arial" w:hAnsi="Arial"/>
          <w:color w:val="000000"/>
          <w:sz w:val="20"/>
        </w:rPr>
        <w:t>By: ALEXANDRIA REAL ESTATE EQUITIES, L.P.,</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a Delaware limited partnership,</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managing member</w:t>
      </w:r>
    </w:p>
    <w:p>
      <w:pPr>
        <w:pStyle w:val="TextBody"/>
        <w:bidi w:val="0"/>
        <w:jc w:val="both"/>
        <w:rPr>
          <w:rFonts w:ascii="Times New Roman" w:hAnsi="Times New Roman"/>
          <w:sz w:val="20"/>
        </w:rPr>
      </w:pPr>
      <w:r>
        <w:rPr>
          <w:rFonts w:ascii="Arial" w:hAnsi="Arial"/>
          <w:color w:val="000000"/>
          <w:sz w:val="20"/>
        </w:rPr>
        <w:t>By: ARE-QRS CORP.,</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a Maryland corporation,</w:t>
      </w:r>
      <w:r>
        <w:rPr>
          <w:rFonts w:ascii="Times New Roman" w:hAnsi="Times New Roman"/>
          <w:color w:val="000000"/>
          <w:sz w:val="20"/>
        </w:rPr>
        <w:t xml:space="preserve"> </w:t>
      </w:r>
    </w:p>
    <w:p>
      <w:pPr>
        <w:pStyle w:val="TextBody"/>
        <w:bidi w:val="0"/>
        <w:spacing w:before="0" w:after="480"/>
        <w:jc w:val="both"/>
        <w:rPr>
          <w:rFonts w:ascii="Arial" w:hAnsi="Arial"/>
          <w:color w:val="000000"/>
          <w:sz w:val="20"/>
        </w:rPr>
      </w:pPr>
      <w:r>
        <w:rPr>
          <w:rFonts w:ascii="Arial" w:hAnsi="Arial"/>
          <w:color w:val="000000"/>
          <w:sz w:val="20"/>
        </w:rPr>
        <w:t>general partner</w:t>
      </w:r>
    </w:p>
    <w:p>
      <w:pPr>
        <w:pStyle w:val="TextBody"/>
        <w:bidi w:val="0"/>
        <w:jc w:val="left"/>
        <w:rPr>
          <w:rFonts w:ascii="Times New Roman" w:hAnsi="Times New Roman"/>
          <w:sz w:val="20"/>
        </w:rPr>
      </w:pPr>
      <w:r>
        <w:rPr>
          <w:rFonts w:ascii="Arial" w:hAnsi="Arial"/>
          <w:color w:val="000000"/>
          <w:sz w:val="20"/>
        </w:rPr>
        <w:t>By:</w:t>
      </w:r>
      <w:r>
        <w:rPr>
          <w:rFonts w:ascii="Times New Roman" w:hAnsi="Times New Roman"/>
          <w:color w:val="000000"/>
          <w:sz w:val="20"/>
          <w:u w:val="single"/>
        </w:rPr>
        <w:t xml:space="preserve"> </w:t>
      </w:r>
      <w:r>
        <w:rPr>
          <w:rFonts w:ascii="Arial" w:hAnsi="Arial"/>
          <w:color w:val="000000"/>
          <w:sz w:val="20"/>
          <w:u w:val="single"/>
        </w:rPr>
        <w:t xml:space="preserve">/s/ Allison Grochola </w:t>
        <w:br/>
      </w:r>
      <w:r>
        <w:rPr>
          <w:rFonts w:ascii="Arial" w:hAnsi="Arial"/>
          <w:color w:val="000000"/>
          <w:sz w:val="20"/>
        </w:rPr>
        <w:t>Name:</w:t>
      </w:r>
      <w:r>
        <w:rPr>
          <w:rFonts w:ascii="Times New Roman" w:hAnsi="Times New Roman"/>
          <w:color w:val="000000"/>
          <w:sz w:val="20"/>
          <w:u w:val="single"/>
        </w:rPr>
        <w:t xml:space="preserve"> </w:t>
      </w:r>
      <w:r>
        <w:rPr>
          <w:rFonts w:ascii="Arial" w:hAnsi="Arial"/>
          <w:color w:val="000000"/>
          <w:sz w:val="20"/>
          <w:u w:val="single"/>
        </w:rPr>
        <w:t xml:space="preserve">Allison Grochola </w:t>
        <w:br/>
      </w:r>
      <w:r>
        <w:rPr>
          <w:rFonts w:ascii="Arial" w:hAnsi="Arial"/>
          <w:color w:val="000000"/>
          <w:sz w:val="20"/>
        </w:rPr>
        <w:t xml:space="preserve">Title: </w:t>
      </w:r>
      <w:r>
        <w:rPr>
          <w:rFonts w:ascii="Arial" w:hAnsi="Arial"/>
          <w:color w:val="000000"/>
          <w:sz w:val="20"/>
          <w:u w:val="single"/>
        </w:rPr>
        <w:t xml:space="preserve">SVP – Real Estate Legal Affairs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Exhibit A</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0"/>
          <w:u w:val="single"/>
        </w:rPr>
        <w:t>Expansion Premises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5943600" cy="285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5943600" cy="2857500"/>
                    </a:xfrm>
                    <a:prstGeom prst="rect">
                      <a:avLst/>
                    </a:prstGeom>
                  </pic:spPr>
                </pic:pic>
              </a:graphicData>
            </a:graphic>
          </wp:inline>
        </w:drawing>
      </w:r>
    </w:p>
    <w:p>
      <w:pPr>
        <w:pStyle w:val="TextBody"/>
        <w:bidi w:val="0"/>
        <w:jc w:val="center"/>
        <w:rPr>
          <w:rFonts w:ascii="Arial" w:hAnsi="Arial"/>
          <w:color w:val="000000"/>
          <w:sz w:val="20"/>
        </w:rPr>
      </w:pPr>
      <w:r>
        <w:rPr>
          <w:rFonts w:ascii="Arial" w:hAnsi="Arial"/>
          <w:color w:val="000000"/>
          <w:sz w:val="20"/>
        </w:rPr>
        <w:t>A-1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9" w:name="iron-ex31_1.htm"/>
      <w:bookmarkStart w:id="30" w:name="ksironex31_1"/>
      <w:bookmarkEnd w:id="29"/>
      <w:bookmarkEnd w:id="30"/>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EXECUTIVE OFFICER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 13</w:t>
      </w:r>
      <w:r>
        <w:rPr>
          <w:rFonts w:ascii="Times New Roman" w:hAnsi="Times New Roman"/>
          <w:b/>
          <w:color w:val="000000"/>
          <w:sz w:val="15"/>
        </w:rPr>
        <w:t>A</w:t>
      </w:r>
      <w:r>
        <w:rPr>
          <w:rFonts w:ascii="Times New Roman" w:hAnsi="Times New Roman"/>
          <w:b/>
          <w:color w:val="000000"/>
          <w:sz w:val="20"/>
        </w:rPr>
        <w:t>-14(</w:t>
      </w:r>
      <w:r>
        <w:rPr>
          <w:rFonts w:ascii="Times New Roman" w:hAnsi="Times New Roman"/>
          <w:b/>
          <w:color w:val="000000"/>
          <w:sz w:val="15"/>
        </w:rPr>
        <w:t>A</w:t>
      </w:r>
      <w:r>
        <w:rPr>
          <w:rFonts w:ascii="Times New Roman" w:hAnsi="Times New Roman"/>
          <w:b/>
          <w:color w:val="000000"/>
          <w:sz w:val="20"/>
        </w:rPr>
        <w:t>) / RULE 15</w:t>
      </w:r>
      <w:r>
        <w:rPr>
          <w:rFonts w:ascii="Times New Roman" w:hAnsi="Times New Roman"/>
          <w:b/>
          <w:color w:val="000000"/>
          <w:sz w:val="15"/>
        </w:rPr>
        <w:t>D</w:t>
      </w:r>
      <w:r>
        <w:rPr>
          <w:rFonts w:ascii="Times New Roman" w:hAnsi="Times New Roman"/>
          <w:b/>
          <w:color w:val="000000"/>
          <w:sz w:val="20"/>
        </w:rPr>
        <w:t>-14(</w:t>
      </w:r>
      <w:r>
        <w:rPr>
          <w:rFonts w:ascii="Times New Roman" w:hAnsi="Times New Roman"/>
          <w:b/>
          <w:color w:val="000000"/>
          <w:sz w:val="15"/>
        </w:rPr>
        <w:t>A</w:t>
      </w:r>
      <w:r>
        <w:rPr>
          <w:rFonts w:ascii="Times New Roman" w:hAnsi="Times New Roman"/>
          <w:b/>
          <w:color w:val="000000"/>
          <w:sz w:val="20"/>
        </w:rPr>
        <w:t>) OF THE SECURITIES EXCHANGE ACT OF 1934, AS AMENDED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John Quisel, J.D., Ph.D.,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Quarterly Report on Form 10-Q of Disc Medicine,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November 12, 2024</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Quisel</w:t>
            </w:r>
          </w:p>
        </w:tc>
      </w:tr>
      <w:tr>
        <w:trPr/>
        <w:tc>
          <w:tcPr>
            <w:tcW w:w="3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Quisel, J.D., Ph.D.</w:t>
            </w:r>
          </w:p>
        </w:tc>
      </w:tr>
      <w:tr>
        <w:trPr/>
        <w:tc>
          <w:tcPr>
            <w:tcW w:w="3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bookmarkStart w:id="31" w:name="iron-ex31_2.htm"/>
      <w:bookmarkStart w:id="32" w:name="ksironex31_2"/>
      <w:bookmarkEnd w:id="31"/>
      <w:bookmarkEnd w:id="3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FINANCIAL OFFICER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 13</w:t>
      </w:r>
      <w:r>
        <w:rPr>
          <w:rFonts w:ascii="Times New Roman" w:hAnsi="Times New Roman"/>
          <w:b/>
          <w:color w:val="000000"/>
          <w:sz w:val="15"/>
        </w:rPr>
        <w:t>A</w:t>
      </w:r>
      <w:r>
        <w:rPr>
          <w:rFonts w:ascii="Times New Roman" w:hAnsi="Times New Roman"/>
          <w:b/>
          <w:color w:val="000000"/>
          <w:sz w:val="20"/>
        </w:rPr>
        <w:t>-14(</w:t>
      </w:r>
      <w:r>
        <w:rPr>
          <w:rFonts w:ascii="Times New Roman" w:hAnsi="Times New Roman"/>
          <w:b/>
          <w:color w:val="000000"/>
          <w:sz w:val="15"/>
        </w:rPr>
        <w:t>A</w:t>
      </w:r>
      <w:r>
        <w:rPr>
          <w:rFonts w:ascii="Times New Roman" w:hAnsi="Times New Roman"/>
          <w:b/>
          <w:color w:val="000000"/>
          <w:sz w:val="20"/>
        </w:rPr>
        <w:t>) / RULE 15</w:t>
      </w:r>
      <w:r>
        <w:rPr>
          <w:rFonts w:ascii="Times New Roman" w:hAnsi="Times New Roman"/>
          <w:b/>
          <w:color w:val="000000"/>
          <w:sz w:val="15"/>
        </w:rPr>
        <w:t>D</w:t>
      </w:r>
      <w:r>
        <w:rPr>
          <w:rFonts w:ascii="Times New Roman" w:hAnsi="Times New Roman"/>
          <w:b/>
          <w:color w:val="000000"/>
          <w:sz w:val="20"/>
        </w:rPr>
        <w:t>-14(</w:t>
      </w:r>
      <w:r>
        <w:rPr>
          <w:rFonts w:ascii="Times New Roman" w:hAnsi="Times New Roman"/>
          <w:b/>
          <w:color w:val="000000"/>
          <w:sz w:val="15"/>
        </w:rPr>
        <w:t>A</w:t>
      </w:r>
      <w:r>
        <w:rPr>
          <w:rFonts w:ascii="Times New Roman" w:hAnsi="Times New Roman"/>
          <w:b/>
          <w:color w:val="000000"/>
          <w:sz w:val="20"/>
        </w:rPr>
        <w:t>) OF THE SECURITIES EXCHANGE ACT OF 1934, AS AMENDED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Jean Franchi,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Quarterly Report on Form 10-Q of Disc Medicine,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November 12, 2024</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Jean Franchi</w:t>
            </w:r>
          </w:p>
        </w:tc>
      </w:tr>
      <w:tr>
        <w:trPr/>
        <w:tc>
          <w:tcPr>
            <w:tcW w:w="3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 Franchi</w:t>
            </w:r>
          </w:p>
        </w:tc>
      </w:tr>
      <w:tr>
        <w:trPr/>
        <w:tc>
          <w:tcPr>
            <w:tcW w:w="3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3" w:name="iron-ex32_1.htm"/>
      <w:bookmarkStart w:id="34" w:name="ksironex32_1"/>
      <w:bookmarkEnd w:id="33"/>
      <w:bookmarkEnd w:id="34"/>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CERTIFICATIONS OF PRINCIPAL EXECUTIVE OFFICER AND PRINCIPAL</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FINANCIAL OFFICER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this Quarterly Report on Form 10-Q of Disc Medicine, Inc. (the “Company”) for the quarter ended September 30, 2024 as filed with the Securities and Exchange Commission on the date hereof (the “Report”), each of the undersigned officers hereby certifies, pursuant to 18 U.S.C. Section 1350, as adopted pursuant to Section 906 of the Sarbanes-Oxley Act of 2002, that to the best of his or her knowledge: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November 12, 2024</w:t>
      </w:r>
    </w:p>
    <w:p>
      <w:pPr>
        <w:pStyle w:val="TextBody"/>
        <w:bidi w:val="0"/>
        <w:jc w:val="both"/>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Quisel</w:t>
            </w:r>
          </w:p>
        </w:tc>
      </w:tr>
      <w:tr>
        <w:trPr/>
        <w:tc>
          <w:tcPr>
            <w:tcW w:w="3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Quisel, J.D., Ph.D.</w:t>
            </w:r>
          </w:p>
        </w:tc>
      </w:tr>
      <w:tr>
        <w:trPr/>
        <w:tc>
          <w:tcPr>
            <w:tcW w:w="3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3781" w:type="dxa"/>
            <w:tcBorders/>
            <w:vAlign w:val="center"/>
          </w:tcPr>
          <w:p>
            <w:pPr>
              <w:pStyle w:val="TableContents"/>
              <w:bidi w:val="0"/>
              <w:spacing w:before="0" w:after="283"/>
              <w:jc w:val="left"/>
              <w:rPr/>
            </w:pPr>
            <w:r>
              <w:rPr/>
              <w:t> </w:t>
            </w:r>
          </w:p>
        </w:tc>
      </w:tr>
      <w:tr>
        <w:trPr/>
        <w:tc>
          <w:tcPr>
            <w:tcW w:w="37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Jean Franchi</w:t>
            </w:r>
          </w:p>
        </w:tc>
      </w:tr>
      <w:tr>
        <w:trPr/>
        <w:tc>
          <w:tcPr>
            <w:tcW w:w="3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 Franchi</w:t>
            </w:r>
          </w:p>
        </w:tc>
      </w:tr>
      <w:tr>
        <w:trPr/>
        <w:tc>
          <w:tcPr>
            <w:tcW w:w="3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6736/000114036122047453/brhc10045896_ex3-1.htm" TargetMode="External"/><Relationship Id="rId3" Type="http://schemas.openxmlformats.org/officeDocument/2006/relationships/hyperlink" Target="https://www.sec.gov/Archives/edgar/data/1816736/000114036122047453/brhc10045896_ex3-2.htm" TargetMode="External"/><Relationship Id="rId4" Type="http://schemas.openxmlformats.org/officeDocument/2006/relationships/hyperlink" Target="https://www.sec.gov/Archives/edgar/data/1816736/000095017024123718/iron-ex10_1.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69497</Words>
  <Characters>386648</Characters>
  <CharactersWithSpaces>456484</CharactersWithSpaces>
  <Paragraphs>5544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