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GEMINI THERAPEUTICS,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Common Stock, $0.0001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36870G105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Atlas Venture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Attention: Ommer Chohan, Chief Financial Officer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300 Technology Square, 8th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Cambridge, MA 02139 USA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(857) 201-2700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 Authorized to</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February 5,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ind w:right="3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left="400" w:right="300" w:hanging="334"/>
        <w:spacing w:after="0" w:line="308" w:lineRule="auto"/>
        <w:tabs>
          <w:tab w:leader="none" w:pos="4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725805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1" w:name="page2"/>
    <w:bookmarkEnd w:id="1"/>
    <w:p>
      <w:pPr>
        <w:ind w:left="20"/>
        <w:spacing w:after="0"/>
        <w:tabs>
          <w:tab w:leader="none" w:pos="1032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5"/>
          <w:szCs w:val="15"/>
          <w:color w:val="auto"/>
        </w:rPr>
        <w:t>Page 2 of 19</w:t>
      </w:r>
    </w:p>
    <w:p>
      <w:pPr>
        <w:spacing w:after="0" w:line="252" w:lineRule="exact"/>
        <w:rPr>
          <w:sz w:val="20"/>
          <w:szCs w:val="20"/>
          <w:color w:val="auto"/>
        </w:rPr>
      </w:pPr>
    </w:p>
    <w:p>
      <w:pPr>
        <w:ind w:left="1640" w:right="6760" w:hanging="1164"/>
        <w:spacing w:after="0" w:line="291" w:lineRule="auto"/>
        <w:tabs>
          <w:tab w:leader="none" w:pos="164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NAMES OF REPORTING PERSONS: ATLAS VENTURE FUND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40" w:hanging="1164"/>
        <w:spacing w:after="0"/>
        <w:tabs>
          <w:tab w:leader="none" w:pos="16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b w:val="1"/>
          <w:bCs w:val="1"/>
          <w:color w:val="auto"/>
        </w:rPr>
      </w:pPr>
    </w:p>
    <w:p>
      <w:pPr>
        <w:ind w:left="164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 w:lineRule="exact"/>
        <w:rPr>
          <w:sz w:val="20"/>
          <w:szCs w:val="20"/>
          <w:color w:val="auto"/>
        </w:rPr>
      </w:pPr>
    </w:p>
    <w:p>
      <w:pPr>
        <w:ind w:left="1640" w:hanging="1164"/>
        <w:spacing w:after="0"/>
        <w:tabs>
          <w:tab w:leader="none" w:pos="16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40" w:right="6100" w:hanging="1164"/>
        <w:spacing w:after="0" w:line="258" w:lineRule="auto"/>
        <w:tabs>
          <w:tab w:leader="none" w:pos="16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640" w:hanging="1164"/>
        <w:spacing w:after="0"/>
        <w:tabs>
          <w:tab w:leader="none" w:pos="16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7" w:lineRule="exact"/>
        <w:rPr>
          <w:rFonts w:ascii="Arial" w:cs="Arial" w:eastAsia="Arial" w:hAnsi="Arial"/>
          <w:sz w:val="18"/>
          <w:szCs w:val="18"/>
          <w:b w:val="1"/>
          <w:bCs w:val="1"/>
          <w:color w:val="auto"/>
        </w:rPr>
      </w:pPr>
    </w:p>
    <w:p>
      <w:pPr>
        <w:ind w:left="164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 w:lineRule="exact"/>
        <w:rPr>
          <w:sz w:val="20"/>
          <w:szCs w:val="20"/>
          <w:color w:val="auto"/>
        </w:rPr>
      </w:pPr>
    </w:p>
    <w:p>
      <w:pPr>
        <w:ind w:left="1640" w:right="5880" w:hanging="1164"/>
        <w:spacing w:after="0" w:line="258" w:lineRule="auto"/>
        <w:tabs>
          <w:tab w:leader="none" w:pos="16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0"/>
        </w:trPr>
        <w:tc>
          <w:tcPr>
            <w:tcW w:w="1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NUMBER</w:t>
            </w:r>
          </w:p>
        </w:tc>
        <w:tc>
          <w:tcPr>
            <w:tcW w:w="1340" w:type="dxa"/>
            <w:vAlign w:val="bottom"/>
            <w:tcBorders>
              <w:top w:val="single" w:sz="8" w:color="auto"/>
            </w:tcBorders>
          </w:tcPr>
          <w:p>
            <w:pPr>
              <w:jc w:val="center"/>
              <w:ind w:left="250"/>
              <w:spacing w:after="0" w:line="181" w:lineRule="exact"/>
              <w:rPr>
                <w:sz w:val="20"/>
                <w:szCs w:val="20"/>
                <w:color w:val="auto"/>
              </w:rPr>
            </w:pPr>
            <w:r>
              <w:rPr>
                <w:rFonts w:ascii="Arial" w:cs="Arial" w:eastAsia="Arial" w:hAnsi="Arial"/>
                <w:sz w:val="18"/>
                <w:szCs w:val="18"/>
                <w:b w:val="1"/>
                <w:bCs w:val="1"/>
                <w:color w:val="auto"/>
                <w:w w:val="79"/>
              </w:rPr>
              <w:t>7</w:t>
            </w:r>
          </w:p>
        </w:tc>
        <w:tc>
          <w:tcPr>
            <w:tcW w:w="8320" w:type="dxa"/>
            <w:vAlign w:val="bottom"/>
            <w:tcBorders>
              <w:top w:val="single" w:sz="8" w:color="auto"/>
            </w:tcBorders>
          </w:tcPr>
          <w:p>
            <w:pPr>
              <w:ind w:left="400"/>
              <w:spacing w:after="0" w:line="181"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76"/>
        </w:trPr>
        <w:tc>
          <w:tcPr>
            <w:tcW w:w="15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8320" w:type="dxa"/>
            <w:vAlign w:val="bottom"/>
          </w:tcPr>
          <w:p>
            <w:pPr>
              <w:ind w:left="400"/>
              <w:spacing w:after="0" w:line="176"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2"/>
              </w:rPr>
              <w:t>OF SHARES</w:t>
            </w:r>
          </w:p>
        </w:tc>
        <w:tc>
          <w:tcPr>
            <w:tcW w:w="1340" w:type="dxa"/>
            <w:vAlign w:val="bottom"/>
            <w:tcBorders>
              <w:bottom w:val="single" w:sz="8" w:color="auto"/>
            </w:tcBorders>
          </w:tcPr>
          <w:p>
            <w:pPr>
              <w:spacing w:after="0"/>
              <w:rPr>
                <w:sz w:val="4"/>
                <w:szCs w:val="4"/>
                <w:color w:val="auto"/>
              </w:rPr>
            </w:pPr>
          </w:p>
        </w:tc>
        <w:tc>
          <w:tcPr>
            <w:tcW w:w="8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580" w:type="dxa"/>
            <w:vAlign w:val="bottom"/>
            <w:vMerge w:val="continue"/>
          </w:tcPr>
          <w:p>
            <w:pPr>
              <w:spacing w:after="0"/>
              <w:rPr>
                <w:sz w:val="11"/>
                <w:szCs w:val="11"/>
                <w:color w:val="auto"/>
              </w:rPr>
            </w:pPr>
          </w:p>
        </w:tc>
        <w:tc>
          <w:tcPr>
            <w:tcW w:w="1340" w:type="dxa"/>
            <w:vAlign w:val="bottom"/>
            <w:vMerge w:val="restart"/>
          </w:tcPr>
          <w:p>
            <w:pPr>
              <w:jc w:val="center"/>
              <w:ind w:left="250"/>
              <w:spacing w:after="0" w:line="199" w:lineRule="exact"/>
              <w:rPr>
                <w:sz w:val="20"/>
                <w:szCs w:val="20"/>
                <w:color w:val="auto"/>
              </w:rPr>
            </w:pPr>
            <w:r>
              <w:rPr>
                <w:rFonts w:ascii="Arial" w:cs="Arial" w:eastAsia="Arial" w:hAnsi="Arial"/>
                <w:sz w:val="18"/>
                <w:szCs w:val="18"/>
                <w:b w:val="1"/>
                <w:bCs w:val="1"/>
                <w:color w:val="auto"/>
                <w:w w:val="79"/>
              </w:rPr>
              <w:t>8</w:t>
            </w:r>
          </w:p>
        </w:tc>
        <w:tc>
          <w:tcPr>
            <w:tcW w:w="8320" w:type="dxa"/>
            <w:vAlign w:val="bottom"/>
            <w:vMerge w:val="restart"/>
          </w:tcPr>
          <w:p>
            <w:pPr>
              <w:ind w:left="400"/>
              <w:spacing w:after="0" w:line="199"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71"/>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1340" w:type="dxa"/>
            <w:vAlign w:val="bottom"/>
            <w:vMerge w:val="continue"/>
          </w:tcPr>
          <w:p>
            <w:pPr>
              <w:spacing w:after="0"/>
              <w:rPr>
                <w:sz w:val="6"/>
                <w:szCs w:val="6"/>
                <w:color w:val="auto"/>
              </w:rPr>
            </w:pPr>
          </w:p>
        </w:tc>
        <w:tc>
          <w:tcPr>
            <w:tcW w:w="8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58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8320" w:type="dxa"/>
            <w:vAlign w:val="bottom"/>
            <w:vMerge w:val="restart"/>
          </w:tcPr>
          <w:p>
            <w:pPr>
              <w:ind w:left="400"/>
              <w:spacing w:after="0" w:line="267" w:lineRule="exact"/>
              <w:rPr>
                <w:sz w:val="20"/>
                <w:szCs w:val="20"/>
                <w:color w:val="auto"/>
              </w:rPr>
            </w:pPr>
            <w:r>
              <w:rPr>
                <w:rFonts w:ascii="Arial" w:cs="Arial" w:eastAsia="Arial" w:hAnsi="Arial"/>
                <w:sz w:val="18"/>
                <w:szCs w:val="18"/>
                <w:color w:val="auto"/>
              </w:rPr>
              <w:t>4,015,045</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22"/>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8"/>
              </w:rPr>
              <w:t>OWNED</w:t>
            </w:r>
          </w:p>
        </w:tc>
        <w:tc>
          <w:tcPr>
            <w:tcW w:w="1340" w:type="dxa"/>
            <w:vAlign w:val="bottom"/>
            <w:tcBorders>
              <w:bottom w:val="single" w:sz="8" w:color="auto"/>
            </w:tcBorders>
          </w:tcPr>
          <w:p>
            <w:pPr>
              <w:spacing w:after="0"/>
              <w:rPr>
                <w:sz w:val="10"/>
                <w:szCs w:val="10"/>
                <w:color w:val="auto"/>
              </w:rPr>
            </w:pPr>
          </w:p>
        </w:tc>
        <w:tc>
          <w:tcPr>
            <w:tcW w:w="8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340" w:type="dxa"/>
            <w:vAlign w:val="bottom"/>
            <w:vMerge w:val="restart"/>
          </w:tcPr>
          <w:p>
            <w:pPr>
              <w:jc w:val="center"/>
              <w:ind w:left="250"/>
              <w:spacing w:after="0" w:line="195" w:lineRule="exact"/>
              <w:rPr>
                <w:sz w:val="20"/>
                <w:szCs w:val="20"/>
                <w:color w:val="auto"/>
              </w:rPr>
            </w:pPr>
            <w:r>
              <w:rPr>
                <w:rFonts w:ascii="Arial" w:cs="Arial" w:eastAsia="Arial" w:hAnsi="Arial"/>
                <w:sz w:val="18"/>
                <w:szCs w:val="18"/>
                <w:b w:val="1"/>
                <w:bCs w:val="1"/>
                <w:color w:val="auto"/>
                <w:w w:val="79"/>
              </w:rPr>
              <w:t>9</w:t>
            </w:r>
          </w:p>
        </w:tc>
        <w:tc>
          <w:tcPr>
            <w:tcW w:w="8320" w:type="dxa"/>
            <w:vAlign w:val="bottom"/>
            <w:vMerge w:val="restart"/>
          </w:tcPr>
          <w:p>
            <w:pPr>
              <w:ind w:left="40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1"/>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1340" w:type="dxa"/>
            <w:vAlign w:val="bottom"/>
            <w:vMerge w:val="continue"/>
          </w:tcPr>
          <w:p>
            <w:pPr>
              <w:spacing w:after="0"/>
              <w:rPr>
                <w:sz w:val="10"/>
                <w:szCs w:val="10"/>
                <w:color w:val="auto"/>
              </w:rPr>
            </w:pPr>
          </w:p>
        </w:tc>
        <w:tc>
          <w:tcPr>
            <w:tcW w:w="8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58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8320" w:type="dxa"/>
            <w:vAlign w:val="bottom"/>
            <w:vMerge w:val="restart"/>
          </w:tcPr>
          <w:p>
            <w:pPr>
              <w:ind w:left="4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34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580" w:type="dxa"/>
            <w:vAlign w:val="bottom"/>
            <w:vMerge w:val="continue"/>
          </w:tcPr>
          <w:p>
            <w:pPr>
              <w:spacing w:after="0"/>
              <w:rPr>
                <w:sz w:val="5"/>
                <w:szCs w:val="5"/>
                <w:color w:val="auto"/>
              </w:rPr>
            </w:pPr>
          </w:p>
        </w:tc>
        <w:tc>
          <w:tcPr>
            <w:tcW w:w="1340" w:type="dxa"/>
            <w:vAlign w:val="bottom"/>
            <w:vMerge w:val="restart"/>
          </w:tcPr>
          <w:p>
            <w:pPr>
              <w:jc w:val="center"/>
              <w:ind w:left="270"/>
              <w:spacing w:after="0" w:line="199" w:lineRule="exact"/>
              <w:rPr>
                <w:sz w:val="20"/>
                <w:szCs w:val="20"/>
                <w:color w:val="auto"/>
              </w:rPr>
            </w:pPr>
            <w:r>
              <w:rPr>
                <w:rFonts w:ascii="Arial" w:cs="Arial" w:eastAsia="Arial" w:hAnsi="Arial"/>
                <w:sz w:val="18"/>
                <w:szCs w:val="18"/>
                <w:b w:val="1"/>
                <w:bCs w:val="1"/>
                <w:color w:val="auto"/>
                <w:w w:val="89"/>
              </w:rPr>
              <w:t>10</w:t>
            </w:r>
          </w:p>
        </w:tc>
        <w:tc>
          <w:tcPr>
            <w:tcW w:w="8320" w:type="dxa"/>
            <w:vAlign w:val="bottom"/>
            <w:vMerge w:val="restart"/>
          </w:tcPr>
          <w:p>
            <w:pPr>
              <w:ind w:left="400"/>
              <w:spacing w:after="0" w:line="199"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9"/>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340" w:type="dxa"/>
            <w:vAlign w:val="bottom"/>
            <w:vMerge w:val="continue"/>
          </w:tcPr>
          <w:p>
            <w:pPr>
              <w:spacing w:after="0"/>
              <w:rPr>
                <w:sz w:val="12"/>
                <w:szCs w:val="12"/>
                <w:color w:val="auto"/>
              </w:rPr>
            </w:pPr>
          </w:p>
        </w:tc>
        <w:tc>
          <w:tcPr>
            <w:tcW w:w="8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58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8320" w:type="dxa"/>
            <w:vAlign w:val="bottom"/>
            <w:vMerge w:val="restart"/>
          </w:tcPr>
          <w:p>
            <w:pPr>
              <w:ind w:left="400"/>
              <w:spacing w:after="0" w:line="283" w:lineRule="exact"/>
              <w:rPr>
                <w:sz w:val="20"/>
                <w:szCs w:val="20"/>
                <w:color w:val="auto"/>
              </w:rPr>
            </w:pPr>
            <w:r>
              <w:rPr>
                <w:rFonts w:ascii="Arial" w:cs="Arial" w:eastAsia="Arial" w:hAnsi="Arial"/>
                <w:sz w:val="18"/>
                <w:szCs w:val="18"/>
                <w:color w:val="auto"/>
              </w:rPr>
              <w:t>4,015,045</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91"/>
        </w:trPr>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40" w:hanging="1204"/>
        <w:spacing w:after="0"/>
        <w:tabs>
          <w:tab w:leader="none" w:pos="1640"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640"/>
        <w:spacing w:after="0" w:line="195" w:lineRule="auto"/>
        <w:rPr>
          <w:rFonts w:ascii="Arial" w:cs="Arial" w:eastAsia="Arial" w:hAnsi="Arial"/>
          <w:sz w:val="18"/>
          <w:szCs w:val="18"/>
          <w:b w:val="1"/>
          <w:bCs w:val="1"/>
          <w:color w:val="auto"/>
        </w:rPr>
      </w:pPr>
      <w:r>
        <w:rPr>
          <w:rFonts w:ascii="Arial" w:cs="Arial" w:eastAsia="Arial" w:hAnsi="Arial"/>
          <w:sz w:val="18"/>
          <w:szCs w:val="18"/>
          <w:color w:val="auto"/>
        </w:rPr>
        <w:t>4,015,045</w:t>
      </w:r>
      <w:r>
        <w:rPr>
          <w:rFonts w:ascii="Arial" w:cs="Arial" w:eastAsia="Arial" w:hAnsi="Arial"/>
          <w:sz w:val="29"/>
          <w:szCs w:val="29"/>
          <w:color w:val="auto"/>
          <w:vertAlign w:val="superscript"/>
        </w:rPr>
        <w:t>1</w:t>
      </w:r>
    </w:p>
    <w:p>
      <w:pPr>
        <w:ind w:left="1640" w:hanging="1209"/>
        <w:spacing w:after="0"/>
        <w:tabs>
          <w:tab w:leader="none" w:pos="1640"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64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b w:val="1"/>
          <w:bCs w:val="1"/>
          <w:color w:val="auto"/>
        </w:rPr>
      </w:pPr>
    </w:p>
    <w:p>
      <w:pPr>
        <w:ind w:left="1640" w:hanging="1209"/>
        <w:spacing w:after="0"/>
        <w:tabs>
          <w:tab w:leader="none" w:pos="1640"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7" w:lineRule="exact"/>
        <w:rPr>
          <w:rFonts w:ascii="Arial" w:cs="Arial" w:eastAsia="Arial" w:hAnsi="Arial"/>
          <w:sz w:val="18"/>
          <w:szCs w:val="18"/>
          <w:b w:val="1"/>
          <w:bCs w:val="1"/>
          <w:color w:val="auto"/>
        </w:rPr>
      </w:pPr>
    </w:p>
    <w:p>
      <w:pPr>
        <w:ind w:left="1640"/>
        <w:spacing w:after="0" w:line="195" w:lineRule="auto"/>
        <w:rPr>
          <w:rFonts w:ascii="Arial" w:cs="Arial" w:eastAsia="Arial" w:hAnsi="Arial"/>
          <w:sz w:val="18"/>
          <w:szCs w:val="18"/>
          <w:b w:val="1"/>
          <w:bCs w:val="1"/>
          <w:color w:val="auto"/>
        </w:rPr>
      </w:pPr>
      <w:r>
        <w:rPr>
          <w:rFonts w:ascii="Arial" w:cs="Arial" w:eastAsia="Arial" w:hAnsi="Arial"/>
          <w:sz w:val="18"/>
          <w:szCs w:val="18"/>
          <w:color w:val="auto"/>
        </w:rPr>
        <w:t>8.9</w:t>
      </w:r>
      <w:r>
        <w:rPr>
          <w:rFonts w:ascii="Arial" w:cs="Arial" w:eastAsia="Arial" w:hAnsi="Arial"/>
          <w:sz w:val="29"/>
          <w:szCs w:val="29"/>
          <w:color w:val="auto"/>
          <w:vertAlign w:val="superscript"/>
        </w:rPr>
        <w:t>2</w:t>
      </w:r>
    </w:p>
    <w:p>
      <w:pPr>
        <w:ind w:left="1640" w:right="5220" w:hanging="1209"/>
        <w:spacing w:after="0" w:line="258" w:lineRule="auto"/>
        <w:tabs>
          <w:tab w:leader="none" w:pos="1640"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27" w:lineRule="exact"/>
        <w:rPr>
          <w:rFonts w:ascii="Arial" w:cs="Arial" w:eastAsia="Arial" w:hAnsi="Arial"/>
          <w:sz w:val="18"/>
          <w:szCs w:val="18"/>
          <w:b w:val="1"/>
          <w:bCs w:val="1"/>
          <w:color w:val="auto"/>
        </w:rPr>
      </w:pPr>
    </w:p>
    <w:p>
      <w:pPr>
        <w:ind w:left="380" w:hanging="324"/>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 As described in Item 5 below, Atlas Venture Fund X, L.P., a Delaware limited partnership (“Atlas X”), Atlas Venture Associates X, L.P., a Delaware limited partnership (“AVA X LP”) and Atlas Venture Associates X, LLC, a Delaware limited liability company (“AVA X LLC” and together with Atlas X and AVA X LP, the “Fund X Reporting Persons”) beneficially own the 4,015,045 shares of the Issuer’s Common Stock that are directly held by Atlas X. AVA X LP is the general partner of Atlas X and AVA X LLC is the general partner of AVA X LP. Each of AVA X LP and AVA X LLC has voting and dispositive power over the shares held by Atlas X. As such, each of the Fund X Reporting Persons share voting and dispositive power with respect to the shares held by Atlas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-991235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-1273810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-1582420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-1865630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9" w:lineRule="exact"/>
        <w:rPr>
          <w:sz w:val="20"/>
          <w:szCs w:val="20"/>
          <w:color w:val="auto"/>
        </w:rPr>
      </w:pPr>
    </w:p>
    <w:p>
      <w:pPr>
        <w:ind w:left="380" w:hanging="318"/>
        <w:spacing w:after="0" w:line="308"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percentage is calculated based upon 45,301,990 shares of Common Stock outstanding immediately after the Closing (as defined below), as reported in the Issuer’s Current Report on Form 8-K filed with the Securities and Exchange Commission on February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2" w:name="page3"/>
    <w:bookmarkEnd w:id="2"/>
    <w:p>
      <w:pPr>
        <w:ind w:left="20"/>
        <w:spacing w:after="0"/>
        <w:tabs>
          <w:tab w:leader="none" w:pos="1032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5"/>
          <w:szCs w:val="15"/>
          <w:color w:val="auto"/>
        </w:rPr>
        <w:t>Page 3 of 19</w:t>
      </w:r>
    </w:p>
    <w:p>
      <w:pPr>
        <w:spacing w:after="0" w:line="252" w:lineRule="exact"/>
        <w:rPr>
          <w:sz w:val="20"/>
          <w:szCs w:val="20"/>
          <w:color w:val="auto"/>
        </w:rPr>
      </w:pPr>
    </w:p>
    <w:p>
      <w:pPr>
        <w:ind w:left="1640" w:right="6480" w:hanging="1164"/>
        <w:spacing w:after="0" w:line="274" w:lineRule="auto"/>
        <w:tabs>
          <w:tab w:leader="none" w:pos="164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NAMES OF REPORTING PERSONS: ATLAS VENTURE ASSOCIATES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40" w:hanging="1164"/>
        <w:spacing w:after="0"/>
        <w:tabs>
          <w:tab w:leader="none" w:pos="16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b w:val="1"/>
          <w:bCs w:val="1"/>
          <w:color w:val="auto"/>
        </w:rPr>
      </w:pPr>
    </w:p>
    <w:p>
      <w:pPr>
        <w:ind w:left="164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 w:lineRule="exact"/>
        <w:rPr>
          <w:sz w:val="20"/>
          <w:szCs w:val="20"/>
          <w:color w:val="auto"/>
        </w:rPr>
      </w:pPr>
    </w:p>
    <w:p>
      <w:pPr>
        <w:ind w:left="1640" w:hanging="1164"/>
        <w:spacing w:after="0"/>
        <w:tabs>
          <w:tab w:leader="none" w:pos="16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40" w:right="6100" w:hanging="1164"/>
        <w:spacing w:after="0" w:line="258" w:lineRule="auto"/>
        <w:tabs>
          <w:tab w:leader="none" w:pos="16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640" w:hanging="1164"/>
        <w:spacing w:after="0"/>
        <w:tabs>
          <w:tab w:leader="none" w:pos="16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7" w:lineRule="exact"/>
        <w:rPr>
          <w:rFonts w:ascii="Arial" w:cs="Arial" w:eastAsia="Arial" w:hAnsi="Arial"/>
          <w:sz w:val="18"/>
          <w:szCs w:val="18"/>
          <w:b w:val="1"/>
          <w:bCs w:val="1"/>
          <w:color w:val="auto"/>
        </w:rPr>
      </w:pPr>
    </w:p>
    <w:p>
      <w:pPr>
        <w:ind w:left="164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 w:lineRule="exact"/>
        <w:rPr>
          <w:sz w:val="20"/>
          <w:szCs w:val="20"/>
          <w:color w:val="auto"/>
        </w:rPr>
      </w:pPr>
    </w:p>
    <w:p>
      <w:pPr>
        <w:ind w:left="1640" w:right="5880" w:hanging="1164"/>
        <w:spacing w:after="0" w:line="258" w:lineRule="auto"/>
        <w:tabs>
          <w:tab w:leader="none" w:pos="16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0"/>
        </w:trPr>
        <w:tc>
          <w:tcPr>
            <w:tcW w:w="1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NUMBER</w:t>
            </w:r>
          </w:p>
        </w:tc>
        <w:tc>
          <w:tcPr>
            <w:tcW w:w="1340" w:type="dxa"/>
            <w:vAlign w:val="bottom"/>
            <w:tcBorders>
              <w:top w:val="single" w:sz="8" w:color="auto"/>
            </w:tcBorders>
          </w:tcPr>
          <w:p>
            <w:pPr>
              <w:jc w:val="center"/>
              <w:ind w:left="250"/>
              <w:spacing w:after="0" w:line="181" w:lineRule="exact"/>
              <w:rPr>
                <w:sz w:val="20"/>
                <w:szCs w:val="20"/>
                <w:color w:val="auto"/>
              </w:rPr>
            </w:pPr>
            <w:r>
              <w:rPr>
                <w:rFonts w:ascii="Arial" w:cs="Arial" w:eastAsia="Arial" w:hAnsi="Arial"/>
                <w:sz w:val="18"/>
                <w:szCs w:val="18"/>
                <w:b w:val="1"/>
                <w:bCs w:val="1"/>
                <w:color w:val="auto"/>
                <w:w w:val="79"/>
              </w:rPr>
              <w:t>7</w:t>
            </w:r>
          </w:p>
        </w:tc>
        <w:tc>
          <w:tcPr>
            <w:tcW w:w="8320" w:type="dxa"/>
            <w:vAlign w:val="bottom"/>
            <w:tcBorders>
              <w:top w:val="single" w:sz="8" w:color="auto"/>
            </w:tcBorders>
          </w:tcPr>
          <w:p>
            <w:pPr>
              <w:ind w:left="400"/>
              <w:spacing w:after="0" w:line="181"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76"/>
        </w:trPr>
        <w:tc>
          <w:tcPr>
            <w:tcW w:w="15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8320" w:type="dxa"/>
            <w:vAlign w:val="bottom"/>
          </w:tcPr>
          <w:p>
            <w:pPr>
              <w:ind w:left="400"/>
              <w:spacing w:after="0" w:line="176"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2"/>
              </w:rPr>
              <w:t>OF SHARES</w:t>
            </w:r>
          </w:p>
        </w:tc>
        <w:tc>
          <w:tcPr>
            <w:tcW w:w="1340" w:type="dxa"/>
            <w:vAlign w:val="bottom"/>
            <w:tcBorders>
              <w:bottom w:val="single" w:sz="8" w:color="auto"/>
            </w:tcBorders>
          </w:tcPr>
          <w:p>
            <w:pPr>
              <w:spacing w:after="0"/>
              <w:rPr>
                <w:sz w:val="4"/>
                <w:szCs w:val="4"/>
                <w:color w:val="auto"/>
              </w:rPr>
            </w:pPr>
          </w:p>
        </w:tc>
        <w:tc>
          <w:tcPr>
            <w:tcW w:w="8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580" w:type="dxa"/>
            <w:vAlign w:val="bottom"/>
            <w:vMerge w:val="continue"/>
          </w:tcPr>
          <w:p>
            <w:pPr>
              <w:spacing w:after="0"/>
              <w:rPr>
                <w:sz w:val="11"/>
                <w:szCs w:val="11"/>
                <w:color w:val="auto"/>
              </w:rPr>
            </w:pPr>
          </w:p>
        </w:tc>
        <w:tc>
          <w:tcPr>
            <w:tcW w:w="1340" w:type="dxa"/>
            <w:vAlign w:val="bottom"/>
            <w:vMerge w:val="restart"/>
          </w:tcPr>
          <w:p>
            <w:pPr>
              <w:jc w:val="center"/>
              <w:ind w:left="250"/>
              <w:spacing w:after="0" w:line="199" w:lineRule="exact"/>
              <w:rPr>
                <w:sz w:val="20"/>
                <w:szCs w:val="20"/>
                <w:color w:val="auto"/>
              </w:rPr>
            </w:pPr>
            <w:r>
              <w:rPr>
                <w:rFonts w:ascii="Arial" w:cs="Arial" w:eastAsia="Arial" w:hAnsi="Arial"/>
                <w:sz w:val="18"/>
                <w:szCs w:val="18"/>
                <w:b w:val="1"/>
                <w:bCs w:val="1"/>
                <w:color w:val="auto"/>
                <w:w w:val="79"/>
              </w:rPr>
              <w:t>8</w:t>
            </w:r>
          </w:p>
        </w:tc>
        <w:tc>
          <w:tcPr>
            <w:tcW w:w="8320" w:type="dxa"/>
            <w:vAlign w:val="bottom"/>
            <w:vMerge w:val="restart"/>
          </w:tcPr>
          <w:p>
            <w:pPr>
              <w:ind w:left="400"/>
              <w:spacing w:after="0" w:line="199"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71"/>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1340" w:type="dxa"/>
            <w:vAlign w:val="bottom"/>
            <w:vMerge w:val="continue"/>
          </w:tcPr>
          <w:p>
            <w:pPr>
              <w:spacing w:after="0"/>
              <w:rPr>
                <w:sz w:val="6"/>
                <w:szCs w:val="6"/>
                <w:color w:val="auto"/>
              </w:rPr>
            </w:pPr>
          </w:p>
        </w:tc>
        <w:tc>
          <w:tcPr>
            <w:tcW w:w="8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58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8320" w:type="dxa"/>
            <w:vAlign w:val="bottom"/>
            <w:vMerge w:val="restart"/>
          </w:tcPr>
          <w:p>
            <w:pPr>
              <w:ind w:left="400"/>
              <w:spacing w:after="0" w:line="267" w:lineRule="exact"/>
              <w:rPr>
                <w:sz w:val="20"/>
                <w:szCs w:val="20"/>
                <w:color w:val="auto"/>
              </w:rPr>
            </w:pPr>
            <w:r>
              <w:rPr>
                <w:rFonts w:ascii="Arial" w:cs="Arial" w:eastAsia="Arial" w:hAnsi="Arial"/>
                <w:sz w:val="18"/>
                <w:szCs w:val="18"/>
                <w:color w:val="auto"/>
              </w:rPr>
              <w:t>4,015,045</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22"/>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8"/>
              </w:rPr>
              <w:t>OWNED</w:t>
            </w:r>
          </w:p>
        </w:tc>
        <w:tc>
          <w:tcPr>
            <w:tcW w:w="1340" w:type="dxa"/>
            <w:vAlign w:val="bottom"/>
            <w:tcBorders>
              <w:bottom w:val="single" w:sz="8" w:color="auto"/>
            </w:tcBorders>
          </w:tcPr>
          <w:p>
            <w:pPr>
              <w:spacing w:after="0"/>
              <w:rPr>
                <w:sz w:val="10"/>
                <w:szCs w:val="10"/>
                <w:color w:val="auto"/>
              </w:rPr>
            </w:pPr>
          </w:p>
        </w:tc>
        <w:tc>
          <w:tcPr>
            <w:tcW w:w="8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340" w:type="dxa"/>
            <w:vAlign w:val="bottom"/>
            <w:vMerge w:val="restart"/>
          </w:tcPr>
          <w:p>
            <w:pPr>
              <w:jc w:val="center"/>
              <w:ind w:left="250"/>
              <w:spacing w:after="0" w:line="195" w:lineRule="exact"/>
              <w:rPr>
                <w:sz w:val="20"/>
                <w:szCs w:val="20"/>
                <w:color w:val="auto"/>
              </w:rPr>
            </w:pPr>
            <w:r>
              <w:rPr>
                <w:rFonts w:ascii="Arial" w:cs="Arial" w:eastAsia="Arial" w:hAnsi="Arial"/>
                <w:sz w:val="18"/>
                <w:szCs w:val="18"/>
                <w:b w:val="1"/>
                <w:bCs w:val="1"/>
                <w:color w:val="auto"/>
                <w:w w:val="79"/>
              </w:rPr>
              <w:t>9</w:t>
            </w:r>
          </w:p>
        </w:tc>
        <w:tc>
          <w:tcPr>
            <w:tcW w:w="8320" w:type="dxa"/>
            <w:vAlign w:val="bottom"/>
            <w:vMerge w:val="restart"/>
          </w:tcPr>
          <w:p>
            <w:pPr>
              <w:ind w:left="40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1340" w:type="dxa"/>
            <w:vAlign w:val="bottom"/>
            <w:vMerge w:val="continue"/>
          </w:tcPr>
          <w:p>
            <w:pPr>
              <w:spacing w:after="0"/>
              <w:rPr>
                <w:sz w:val="10"/>
                <w:szCs w:val="10"/>
                <w:color w:val="auto"/>
              </w:rPr>
            </w:pPr>
          </w:p>
        </w:tc>
        <w:tc>
          <w:tcPr>
            <w:tcW w:w="8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58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8320" w:type="dxa"/>
            <w:vAlign w:val="bottom"/>
            <w:vMerge w:val="restart"/>
          </w:tcPr>
          <w:p>
            <w:pPr>
              <w:ind w:left="4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34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580" w:type="dxa"/>
            <w:vAlign w:val="bottom"/>
            <w:vMerge w:val="continue"/>
          </w:tcPr>
          <w:p>
            <w:pPr>
              <w:spacing w:after="0"/>
              <w:rPr>
                <w:sz w:val="5"/>
                <w:szCs w:val="5"/>
                <w:color w:val="auto"/>
              </w:rPr>
            </w:pPr>
          </w:p>
        </w:tc>
        <w:tc>
          <w:tcPr>
            <w:tcW w:w="1340" w:type="dxa"/>
            <w:vAlign w:val="bottom"/>
            <w:vMerge w:val="restart"/>
          </w:tcPr>
          <w:p>
            <w:pPr>
              <w:jc w:val="center"/>
              <w:ind w:left="270"/>
              <w:spacing w:after="0" w:line="199" w:lineRule="exact"/>
              <w:rPr>
                <w:sz w:val="20"/>
                <w:szCs w:val="20"/>
                <w:color w:val="auto"/>
              </w:rPr>
            </w:pPr>
            <w:r>
              <w:rPr>
                <w:rFonts w:ascii="Arial" w:cs="Arial" w:eastAsia="Arial" w:hAnsi="Arial"/>
                <w:sz w:val="18"/>
                <w:szCs w:val="18"/>
                <w:b w:val="1"/>
                <w:bCs w:val="1"/>
                <w:color w:val="auto"/>
                <w:w w:val="89"/>
              </w:rPr>
              <w:t>10</w:t>
            </w:r>
          </w:p>
        </w:tc>
        <w:tc>
          <w:tcPr>
            <w:tcW w:w="8320" w:type="dxa"/>
            <w:vAlign w:val="bottom"/>
            <w:vMerge w:val="restart"/>
          </w:tcPr>
          <w:p>
            <w:pPr>
              <w:ind w:left="400"/>
              <w:spacing w:after="0" w:line="199"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9"/>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340" w:type="dxa"/>
            <w:vAlign w:val="bottom"/>
            <w:vMerge w:val="continue"/>
          </w:tcPr>
          <w:p>
            <w:pPr>
              <w:spacing w:after="0"/>
              <w:rPr>
                <w:sz w:val="12"/>
                <w:szCs w:val="12"/>
                <w:color w:val="auto"/>
              </w:rPr>
            </w:pPr>
          </w:p>
        </w:tc>
        <w:tc>
          <w:tcPr>
            <w:tcW w:w="8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58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8320" w:type="dxa"/>
            <w:vAlign w:val="bottom"/>
            <w:vMerge w:val="restart"/>
          </w:tcPr>
          <w:p>
            <w:pPr>
              <w:ind w:left="400"/>
              <w:spacing w:after="0" w:line="283" w:lineRule="exact"/>
              <w:rPr>
                <w:sz w:val="20"/>
                <w:szCs w:val="20"/>
                <w:color w:val="auto"/>
              </w:rPr>
            </w:pPr>
            <w:r>
              <w:rPr>
                <w:rFonts w:ascii="Arial" w:cs="Arial" w:eastAsia="Arial" w:hAnsi="Arial"/>
                <w:sz w:val="18"/>
                <w:szCs w:val="18"/>
                <w:color w:val="auto"/>
              </w:rPr>
              <w:t>4,015,045</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91"/>
        </w:trPr>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40" w:hanging="1204"/>
        <w:spacing w:after="0"/>
        <w:tabs>
          <w:tab w:leader="none" w:pos="1640"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640"/>
        <w:spacing w:after="0" w:line="195" w:lineRule="auto"/>
        <w:rPr>
          <w:rFonts w:ascii="Arial" w:cs="Arial" w:eastAsia="Arial" w:hAnsi="Arial"/>
          <w:sz w:val="18"/>
          <w:szCs w:val="18"/>
          <w:b w:val="1"/>
          <w:bCs w:val="1"/>
          <w:color w:val="auto"/>
        </w:rPr>
      </w:pPr>
      <w:r>
        <w:rPr>
          <w:rFonts w:ascii="Arial" w:cs="Arial" w:eastAsia="Arial" w:hAnsi="Arial"/>
          <w:sz w:val="18"/>
          <w:szCs w:val="18"/>
          <w:color w:val="auto"/>
        </w:rPr>
        <w:t>4,015,045</w:t>
      </w:r>
      <w:r>
        <w:rPr>
          <w:rFonts w:ascii="Arial" w:cs="Arial" w:eastAsia="Arial" w:hAnsi="Arial"/>
          <w:sz w:val="29"/>
          <w:szCs w:val="29"/>
          <w:color w:val="auto"/>
          <w:vertAlign w:val="superscript"/>
        </w:rPr>
        <w:t>1</w:t>
      </w:r>
    </w:p>
    <w:p>
      <w:pPr>
        <w:ind w:left="1640" w:hanging="1209"/>
        <w:spacing w:after="0"/>
        <w:tabs>
          <w:tab w:leader="none" w:pos="1640"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64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b w:val="1"/>
          <w:bCs w:val="1"/>
          <w:color w:val="auto"/>
        </w:rPr>
      </w:pPr>
    </w:p>
    <w:p>
      <w:pPr>
        <w:ind w:left="1640" w:hanging="1209"/>
        <w:spacing w:after="0"/>
        <w:tabs>
          <w:tab w:leader="none" w:pos="1640"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7" w:lineRule="exact"/>
        <w:rPr>
          <w:rFonts w:ascii="Arial" w:cs="Arial" w:eastAsia="Arial" w:hAnsi="Arial"/>
          <w:sz w:val="18"/>
          <w:szCs w:val="18"/>
          <w:b w:val="1"/>
          <w:bCs w:val="1"/>
          <w:color w:val="auto"/>
        </w:rPr>
      </w:pPr>
    </w:p>
    <w:p>
      <w:pPr>
        <w:ind w:left="1640"/>
        <w:spacing w:after="0" w:line="195" w:lineRule="auto"/>
        <w:rPr>
          <w:rFonts w:ascii="Arial" w:cs="Arial" w:eastAsia="Arial" w:hAnsi="Arial"/>
          <w:sz w:val="18"/>
          <w:szCs w:val="18"/>
          <w:b w:val="1"/>
          <w:bCs w:val="1"/>
          <w:color w:val="auto"/>
        </w:rPr>
      </w:pPr>
      <w:r>
        <w:rPr>
          <w:rFonts w:ascii="Arial" w:cs="Arial" w:eastAsia="Arial" w:hAnsi="Arial"/>
          <w:sz w:val="18"/>
          <w:szCs w:val="18"/>
          <w:color w:val="auto"/>
        </w:rPr>
        <w:t>8.9%</w:t>
      </w:r>
      <w:r>
        <w:rPr>
          <w:rFonts w:ascii="Arial" w:cs="Arial" w:eastAsia="Arial" w:hAnsi="Arial"/>
          <w:sz w:val="29"/>
          <w:szCs w:val="29"/>
          <w:color w:val="auto"/>
          <w:vertAlign w:val="superscript"/>
        </w:rPr>
        <w:t>2</w:t>
      </w:r>
    </w:p>
    <w:p>
      <w:pPr>
        <w:ind w:left="1640" w:right="5220" w:hanging="1209"/>
        <w:spacing w:after="0" w:line="258" w:lineRule="auto"/>
        <w:tabs>
          <w:tab w:leader="none" w:pos="1640"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27" w:lineRule="exact"/>
        <w:rPr>
          <w:rFonts w:ascii="Arial" w:cs="Arial" w:eastAsia="Arial" w:hAnsi="Arial"/>
          <w:sz w:val="18"/>
          <w:szCs w:val="18"/>
          <w:b w:val="1"/>
          <w:bCs w:val="1"/>
          <w:color w:val="auto"/>
        </w:rPr>
      </w:pPr>
    </w:p>
    <w:p>
      <w:pPr>
        <w:ind w:left="380" w:hanging="324"/>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 As described in Item 5 below, Atlas Venture Fund X, L.P., a Delaware limited partnership (“Atlas X”), Atlas Venture Associates X, L.P., a Delaware limited partnership (“AVA X LP”) and Atlas Venture Associates X, LLC, a Delaware limited liability company (“AVA X LLC” and together with Atlas X and AVA X LP, the “Fund X Reporting Persons”) beneficially own the 4,015,045 shares of the Issuer’s Common Stock that are directly held by Atlas X. AVA X LP is the general partner of Atlas X and AVA X LLC is the general partner of AVA X LP. Each of AVA X LP and AVA X LLC has voting and dispositive power over the shares held by Atlas X. As such, each of the Fund X Reporting Persons share voting and dispositive power with respect to the shares held by Atlas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-991235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-1273810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-1582420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-1865630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9" w:lineRule="exact"/>
        <w:rPr>
          <w:sz w:val="20"/>
          <w:szCs w:val="20"/>
          <w:color w:val="auto"/>
        </w:rPr>
      </w:pPr>
    </w:p>
    <w:p>
      <w:pPr>
        <w:ind w:left="380" w:hanging="318"/>
        <w:spacing w:after="0" w:line="308" w:lineRule="auto"/>
        <w:tabs>
          <w:tab w:leader="none" w:pos="3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This percentage is calculated based upon 45,301,990 shares of Common Stock outstanding immediately after the Closing (as defined below), as reported in the Issuer’s Current Report on Form 8-K filed with the Securities and Exchange Commission on February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3" w:name="page4"/>
    <w:bookmarkEnd w:id="3"/>
    <w:p>
      <w:pPr>
        <w:ind w:left="60"/>
        <w:spacing w:after="0"/>
        <w:tabs>
          <w:tab w:leader="none" w:pos="1026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5"/>
          <w:szCs w:val="15"/>
          <w:color w:val="auto"/>
        </w:rPr>
        <w:t>Page 4 of 19</w:t>
      </w:r>
    </w:p>
    <w:p>
      <w:pPr>
        <w:spacing w:after="0" w:line="252" w:lineRule="exact"/>
        <w:rPr>
          <w:sz w:val="20"/>
          <w:szCs w:val="20"/>
          <w:color w:val="auto"/>
        </w:rPr>
      </w:pPr>
    </w:p>
    <w:p>
      <w:pPr>
        <w:ind w:left="1600" w:right="6480" w:hanging="1144"/>
        <w:spacing w:after="0" w:line="274" w:lineRule="auto"/>
        <w:tabs>
          <w:tab w:leader="none" w:pos="160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NAMES OF REPORTING PERSONS: ATLAS VENTURE ASSOCIATES X,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00" w:hanging="1144"/>
        <w:spacing w:after="0"/>
        <w:tabs>
          <w:tab w:leader="none" w:pos="16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b w:val="1"/>
          <w:bCs w:val="1"/>
          <w:color w:val="auto"/>
        </w:rPr>
      </w:pPr>
    </w:p>
    <w:p>
      <w:pPr>
        <w:ind w:left="160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 w:lineRule="exact"/>
        <w:rPr>
          <w:sz w:val="20"/>
          <w:szCs w:val="20"/>
          <w:color w:val="auto"/>
        </w:rPr>
      </w:pPr>
    </w:p>
    <w:p>
      <w:pPr>
        <w:ind w:left="1600" w:hanging="1144"/>
        <w:spacing w:after="0"/>
        <w:tabs>
          <w:tab w:leader="none" w:pos="160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00" w:right="6140" w:hanging="1144"/>
        <w:spacing w:after="0" w:line="258" w:lineRule="auto"/>
        <w:tabs>
          <w:tab w:leader="none" w:pos="160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600" w:hanging="1144"/>
        <w:spacing w:after="0"/>
        <w:tabs>
          <w:tab w:leader="none" w:pos="160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7" w:lineRule="exact"/>
        <w:rPr>
          <w:rFonts w:ascii="Arial" w:cs="Arial" w:eastAsia="Arial" w:hAnsi="Arial"/>
          <w:sz w:val="18"/>
          <w:szCs w:val="18"/>
          <w:b w:val="1"/>
          <w:bCs w:val="1"/>
          <w:color w:val="auto"/>
        </w:rPr>
      </w:pPr>
    </w:p>
    <w:p>
      <w:pPr>
        <w:ind w:left="16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 w:lineRule="exact"/>
        <w:rPr>
          <w:sz w:val="20"/>
          <w:szCs w:val="20"/>
          <w:color w:val="auto"/>
        </w:rPr>
      </w:pPr>
    </w:p>
    <w:p>
      <w:pPr>
        <w:ind w:left="1600" w:right="5920" w:hanging="1144"/>
        <w:spacing w:after="0" w:line="258" w:lineRule="auto"/>
        <w:tabs>
          <w:tab w:leader="none" w:pos="160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0"/>
        </w:trPr>
        <w:tc>
          <w:tcPr>
            <w:tcW w:w="15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NUMBER</w:t>
            </w:r>
          </w:p>
        </w:tc>
        <w:tc>
          <w:tcPr>
            <w:tcW w:w="1340" w:type="dxa"/>
            <w:vAlign w:val="bottom"/>
            <w:tcBorders>
              <w:top w:val="single" w:sz="8" w:color="auto"/>
            </w:tcBorders>
          </w:tcPr>
          <w:p>
            <w:pPr>
              <w:jc w:val="center"/>
              <w:ind w:left="270"/>
              <w:spacing w:after="0" w:line="181" w:lineRule="exact"/>
              <w:rPr>
                <w:sz w:val="20"/>
                <w:szCs w:val="20"/>
                <w:color w:val="auto"/>
              </w:rPr>
            </w:pPr>
            <w:r>
              <w:rPr>
                <w:rFonts w:ascii="Arial" w:cs="Arial" w:eastAsia="Arial" w:hAnsi="Arial"/>
                <w:sz w:val="18"/>
                <w:szCs w:val="18"/>
                <w:b w:val="1"/>
                <w:bCs w:val="1"/>
                <w:color w:val="auto"/>
                <w:w w:val="99"/>
              </w:rPr>
              <w:t>7</w:t>
            </w:r>
          </w:p>
        </w:tc>
        <w:tc>
          <w:tcPr>
            <w:tcW w:w="8360" w:type="dxa"/>
            <w:vAlign w:val="bottom"/>
            <w:tcBorders>
              <w:top w:val="single" w:sz="8" w:color="auto"/>
            </w:tcBorders>
          </w:tcPr>
          <w:p>
            <w:pPr>
              <w:ind w:left="420"/>
              <w:spacing w:after="0" w:line="181"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76"/>
        </w:trPr>
        <w:tc>
          <w:tcPr>
            <w:tcW w:w="154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8360" w:type="dxa"/>
            <w:vAlign w:val="bottom"/>
          </w:tcPr>
          <w:p>
            <w:pPr>
              <w:ind w:left="420"/>
              <w:spacing w:after="0" w:line="176"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2"/>
              </w:rPr>
              <w:t>OF SHARES</w:t>
            </w:r>
          </w:p>
        </w:tc>
        <w:tc>
          <w:tcPr>
            <w:tcW w:w="1340" w:type="dxa"/>
            <w:vAlign w:val="bottom"/>
            <w:tcBorders>
              <w:bottom w:val="single" w:sz="8" w:color="auto"/>
            </w:tcBorders>
          </w:tcPr>
          <w:p>
            <w:pPr>
              <w:spacing w:after="0"/>
              <w:rPr>
                <w:sz w:val="4"/>
                <w:szCs w:val="4"/>
                <w:color w:val="auto"/>
              </w:rPr>
            </w:pPr>
          </w:p>
        </w:tc>
        <w:tc>
          <w:tcPr>
            <w:tcW w:w="8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540" w:type="dxa"/>
            <w:vAlign w:val="bottom"/>
            <w:vMerge w:val="continue"/>
          </w:tcPr>
          <w:p>
            <w:pPr>
              <w:spacing w:after="0"/>
              <w:rPr>
                <w:sz w:val="11"/>
                <w:szCs w:val="11"/>
                <w:color w:val="auto"/>
              </w:rPr>
            </w:pPr>
          </w:p>
        </w:tc>
        <w:tc>
          <w:tcPr>
            <w:tcW w:w="1340" w:type="dxa"/>
            <w:vAlign w:val="bottom"/>
            <w:vMerge w:val="restart"/>
          </w:tcPr>
          <w:p>
            <w:pPr>
              <w:jc w:val="center"/>
              <w:ind w:left="270"/>
              <w:spacing w:after="0" w:line="199" w:lineRule="exact"/>
              <w:rPr>
                <w:sz w:val="20"/>
                <w:szCs w:val="20"/>
                <w:color w:val="auto"/>
              </w:rPr>
            </w:pPr>
            <w:r>
              <w:rPr>
                <w:rFonts w:ascii="Arial" w:cs="Arial" w:eastAsia="Arial" w:hAnsi="Arial"/>
                <w:sz w:val="18"/>
                <w:szCs w:val="18"/>
                <w:b w:val="1"/>
                <w:bCs w:val="1"/>
                <w:color w:val="auto"/>
                <w:w w:val="99"/>
              </w:rPr>
              <w:t>8</w:t>
            </w:r>
          </w:p>
        </w:tc>
        <w:tc>
          <w:tcPr>
            <w:tcW w:w="8360" w:type="dxa"/>
            <w:vAlign w:val="bottom"/>
            <w:vMerge w:val="restart"/>
          </w:tcPr>
          <w:p>
            <w:pPr>
              <w:ind w:left="420"/>
              <w:spacing w:after="0" w:line="199"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71"/>
        </w:trPr>
        <w:tc>
          <w:tcPr>
            <w:tcW w:w="154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1340" w:type="dxa"/>
            <w:vAlign w:val="bottom"/>
            <w:vMerge w:val="continue"/>
          </w:tcPr>
          <w:p>
            <w:pPr>
              <w:spacing w:after="0"/>
              <w:rPr>
                <w:sz w:val="6"/>
                <w:szCs w:val="6"/>
                <w:color w:val="auto"/>
              </w:rPr>
            </w:pPr>
          </w:p>
        </w:tc>
        <w:tc>
          <w:tcPr>
            <w:tcW w:w="8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54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8360" w:type="dxa"/>
            <w:vAlign w:val="bottom"/>
            <w:vMerge w:val="restart"/>
          </w:tcPr>
          <w:p>
            <w:pPr>
              <w:ind w:left="420"/>
              <w:spacing w:after="0" w:line="267" w:lineRule="exact"/>
              <w:rPr>
                <w:sz w:val="20"/>
                <w:szCs w:val="20"/>
                <w:color w:val="auto"/>
              </w:rPr>
            </w:pPr>
            <w:r>
              <w:rPr>
                <w:rFonts w:ascii="Arial" w:cs="Arial" w:eastAsia="Arial" w:hAnsi="Arial"/>
                <w:sz w:val="18"/>
                <w:szCs w:val="18"/>
                <w:color w:val="auto"/>
              </w:rPr>
              <w:t>4,015,045</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22"/>
        </w:trPr>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8"/>
              </w:rPr>
              <w:t>OWNED</w:t>
            </w:r>
          </w:p>
        </w:tc>
        <w:tc>
          <w:tcPr>
            <w:tcW w:w="1340" w:type="dxa"/>
            <w:vAlign w:val="bottom"/>
            <w:tcBorders>
              <w:bottom w:val="single" w:sz="8" w:color="auto"/>
            </w:tcBorders>
          </w:tcPr>
          <w:p>
            <w:pPr>
              <w:spacing w:after="0"/>
              <w:rPr>
                <w:sz w:val="10"/>
                <w:szCs w:val="10"/>
                <w:color w:val="auto"/>
              </w:rPr>
            </w:pPr>
          </w:p>
        </w:tc>
        <w:tc>
          <w:tcPr>
            <w:tcW w:w="83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540" w:type="dxa"/>
            <w:vAlign w:val="bottom"/>
            <w:vMerge w:val="continue"/>
          </w:tcPr>
          <w:p>
            <w:pPr>
              <w:spacing w:after="0"/>
              <w:rPr>
                <w:sz w:val="6"/>
                <w:szCs w:val="6"/>
                <w:color w:val="auto"/>
              </w:rPr>
            </w:pPr>
          </w:p>
        </w:tc>
        <w:tc>
          <w:tcPr>
            <w:tcW w:w="1340" w:type="dxa"/>
            <w:vAlign w:val="bottom"/>
            <w:vMerge w:val="restart"/>
          </w:tcPr>
          <w:p>
            <w:pPr>
              <w:jc w:val="center"/>
              <w:ind w:left="270"/>
              <w:spacing w:after="0" w:line="195" w:lineRule="exact"/>
              <w:rPr>
                <w:sz w:val="20"/>
                <w:szCs w:val="20"/>
                <w:color w:val="auto"/>
              </w:rPr>
            </w:pPr>
            <w:r>
              <w:rPr>
                <w:rFonts w:ascii="Arial" w:cs="Arial" w:eastAsia="Arial" w:hAnsi="Arial"/>
                <w:sz w:val="18"/>
                <w:szCs w:val="18"/>
                <w:b w:val="1"/>
                <w:bCs w:val="1"/>
                <w:color w:val="auto"/>
                <w:w w:val="99"/>
              </w:rPr>
              <w:t>9</w:t>
            </w:r>
          </w:p>
        </w:tc>
        <w:tc>
          <w:tcPr>
            <w:tcW w:w="8360" w:type="dxa"/>
            <w:vAlign w:val="bottom"/>
            <w:vMerge w:val="restart"/>
          </w:tcPr>
          <w:p>
            <w:pPr>
              <w:ind w:left="42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1"/>
        </w:trPr>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1340" w:type="dxa"/>
            <w:vAlign w:val="bottom"/>
            <w:vMerge w:val="continue"/>
          </w:tcPr>
          <w:p>
            <w:pPr>
              <w:spacing w:after="0"/>
              <w:rPr>
                <w:sz w:val="10"/>
                <w:szCs w:val="10"/>
                <w:color w:val="auto"/>
              </w:rPr>
            </w:pPr>
          </w:p>
        </w:tc>
        <w:tc>
          <w:tcPr>
            <w:tcW w:w="8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5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836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340" w:type="dxa"/>
            <w:vAlign w:val="bottom"/>
            <w:tcBorders>
              <w:bottom w:val="single" w:sz="8" w:color="auto"/>
            </w:tcBorders>
          </w:tcPr>
          <w:p>
            <w:pPr>
              <w:spacing w:after="0"/>
              <w:rPr>
                <w:sz w:val="11"/>
                <w:szCs w:val="11"/>
                <w:color w:val="auto"/>
              </w:rPr>
            </w:pPr>
          </w:p>
        </w:tc>
        <w:tc>
          <w:tcPr>
            <w:tcW w:w="83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540" w:type="dxa"/>
            <w:vAlign w:val="bottom"/>
            <w:vMerge w:val="continue"/>
          </w:tcPr>
          <w:p>
            <w:pPr>
              <w:spacing w:after="0"/>
              <w:rPr>
                <w:sz w:val="5"/>
                <w:szCs w:val="5"/>
                <w:color w:val="auto"/>
              </w:rPr>
            </w:pPr>
          </w:p>
        </w:tc>
        <w:tc>
          <w:tcPr>
            <w:tcW w:w="1340" w:type="dxa"/>
            <w:vAlign w:val="bottom"/>
            <w:vMerge w:val="restart"/>
          </w:tcPr>
          <w:p>
            <w:pPr>
              <w:jc w:val="center"/>
              <w:ind w:left="270"/>
              <w:spacing w:after="0" w:line="199" w:lineRule="exact"/>
              <w:rPr>
                <w:sz w:val="20"/>
                <w:szCs w:val="20"/>
                <w:color w:val="auto"/>
              </w:rPr>
            </w:pPr>
            <w:r>
              <w:rPr>
                <w:rFonts w:ascii="Arial" w:cs="Arial" w:eastAsia="Arial" w:hAnsi="Arial"/>
                <w:sz w:val="18"/>
                <w:szCs w:val="18"/>
                <w:b w:val="1"/>
                <w:bCs w:val="1"/>
                <w:color w:val="auto"/>
                <w:w w:val="89"/>
              </w:rPr>
              <w:t>10</w:t>
            </w:r>
          </w:p>
        </w:tc>
        <w:tc>
          <w:tcPr>
            <w:tcW w:w="8360" w:type="dxa"/>
            <w:vAlign w:val="bottom"/>
            <w:vMerge w:val="restart"/>
          </w:tcPr>
          <w:p>
            <w:pPr>
              <w:ind w:left="420"/>
              <w:spacing w:after="0" w:line="199"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9"/>
        </w:trPr>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340" w:type="dxa"/>
            <w:vAlign w:val="bottom"/>
            <w:vMerge w:val="continue"/>
          </w:tcPr>
          <w:p>
            <w:pPr>
              <w:spacing w:after="0"/>
              <w:rPr>
                <w:sz w:val="12"/>
                <w:szCs w:val="12"/>
                <w:color w:val="auto"/>
              </w:rPr>
            </w:pPr>
          </w:p>
        </w:tc>
        <w:tc>
          <w:tcPr>
            <w:tcW w:w="8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54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8360" w:type="dxa"/>
            <w:vAlign w:val="bottom"/>
            <w:vMerge w:val="restart"/>
          </w:tcPr>
          <w:p>
            <w:pPr>
              <w:ind w:left="420"/>
              <w:spacing w:after="0" w:line="283" w:lineRule="exact"/>
              <w:rPr>
                <w:sz w:val="20"/>
                <w:szCs w:val="20"/>
                <w:color w:val="auto"/>
              </w:rPr>
            </w:pPr>
            <w:r>
              <w:rPr>
                <w:rFonts w:ascii="Arial" w:cs="Arial" w:eastAsia="Arial" w:hAnsi="Arial"/>
                <w:sz w:val="18"/>
                <w:szCs w:val="18"/>
                <w:color w:val="auto"/>
              </w:rPr>
              <w:t>4,015,045</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91"/>
        </w:trPr>
        <w:tc>
          <w:tcPr>
            <w:tcW w:w="1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00" w:hanging="1184"/>
        <w:spacing w:after="0"/>
        <w:tabs>
          <w:tab w:leader="none" w:pos="160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600"/>
        <w:spacing w:after="0" w:line="195" w:lineRule="auto"/>
        <w:rPr>
          <w:rFonts w:ascii="Arial" w:cs="Arial" w:eastAsia="Arial" w:hAnsi="Arial"/>
          <w:sz w:val="18"/>
          <w:szCs w:val="18"/>
          <w:b w:val="1"/>
          <w:bCs w:val="1"/>
          <w:color w:val="auto"/>
        </w:rPr>
      </w:pPr>
      <w:r>
        <w:rPr>
          <w:rFonts w:ascii="Arial" w:cs="Arial" w:eastAsia="Arial" w:hAnsi="Arial"/>
          <w:sz w:val="18"/>
          <w:szCs w:val="18"/>
          <w:color w:val="auto"/>
        </w:rPr>
        <w:t>4,015,045</w:t>
      </w:r>
      <w:r>
        <w:rPr>
          <w:rFonts w:ascii="Arial" w:cs="Arial" w:eastAsia="Arial" w:hAnsi="Arial"/>
          <w:sz w:val="29"/>
          <w:szCs w:val="29"/>
          <w:color w:val="auto"/>
          <w:vertAlign w:val="superscript"/>
        </w:rPr>
        <w:t>1</w:t>
      </w:r>
    </w:p>
    <w:p>
      <w:pPr>
        <w:ind w:left="1600" w:hanging="1189"/>
        <w:spacing w:after="0"/>
        <w:tabs>
          <w:tab w:leader="none" w:pos="160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6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b w:val="1"/>
          <w:bCs w:val="1"/>
          <w:color w:val="auto"/>
        </w:rPr>
      </w:pPr>
    </w:p>
    <w:p>
      <w:pPr>
        <w:ind w:left="1600" w:hanging="1189"/>
        <w:spacing w:after="0"/>
        <w:tabs>
          <w:tab w:leader="none" w:pos="160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7" w:lineRule="exact"/>
        <w:rPr>
          <w:rFonts w:ascii="Arial" w:cs="Arial" w:eastAsia="Arial" w:hAnsi="Arial"/>
          <w:sz w:val="18"/>
          <w:szCs w:val="18"/>
          <w:b w:val="1"/>
          <w:bCs w:val="1"/>
          <w:color w:val="auto"/>
        </w:rPr>
      </w:pPr>
    </w:p>
    <w:p>
      <w:pPr>
        <w:ind w:left="1600"/>
        <w:spacing w:after="0" w:line="195" w:lineRule="auto"/>
        <w:rPr>
          <w:rFonts w:ascii="Arial" w:cs="Arial" w:eastAsia="Arial" w:hAnsi="Arial"/>
          <w:sz w:val="18"/>
          <w:szCs w:val="18"/>
          <w:b w:val="1"/>
          <w:bCs w:val="1"/>
          <w:color w:val="auto"/>
        </w:rPr>
      </w:pPr>
      <w:r>
        <w:rPr>
          <w:rFonts w:ascii="Arial" w:cs="Arial" w:eastAsia="Arial" w:hAnsi="Arial"/>
          <w:sz w:val="18"/>
          <w:szCs w:val="18"/>
          <w:color w:val="auto"/>
        </w:rPr>
        <w:t>8.9%</w:t>
      </w:r>
      <w:r>
        <w:rPr>
          <w:rFonts w:ascii="Arial" w:cs="Arial" w:eastAsia="Arial" w:hAnsi="Arial"/>
          <w:sz w:val="29"/>
          <w:szCs w:val="29"/>
          <w:color w:val="auto"/>
          <w:vertAlign w:val="superscript"/>
        </w:rPr>
        <w:t>2</w:t>
      </w:r>
    </w:p>
    <w:p>
      <w:pPr>
        <w:ind w:left="1600" w:right="5260" w:hanging="1189"/>
        <w:spacing w:after="0" w:line="258" w:lineRule="auto"/>
        <w:tabs>
          <w:tab w:leader="none" w:pos="160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OO</w:t>
      </w:r>
    </w:p>
    <w:p>
      <w:pPr>
        <w:spacing w:after="0" w:line="227" w:lineRule="exact"/>
        <w:rPr>
          <w:rFonts w:ascii="Arial" w:cs="Arial" w:eastAsia="Arial" w:hAnsi="Arial"/>
          <w:sz w:val="18"/>
          <w:szCs w:val="18"/>
          <w:b w:val="1"/>
          <w:bCs w:val="1"/>
          <w:color w:val="auto"/>
        </w:rPr>
      </w:pPr>
    </w:p>
    <w:p>
      <w:pPr>
        <w:ind w:left="380" w:hanging="324"/>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 As described in Item 5 below, Atlas Venture Fund X, L.P., a Delaware limited partnership (“Atlas X”), Atlas Venture Associates X, L.P., a Delaware limited partnership (“AVA X LP”) and Atlas Venture Associates X, LLC, a Delaware limited liability company (“AVA X LLC” and together with Atlas X and AVA X LP, the “Fund X Reporting Persons”) beneficially own the 4,015,045 shares of the Issuer’s Common Stock that are directly held by Atlas X. AVA X LP is the general partner of Atlas X and AVA X LLC is the general partner of AVA X LP. Each of AVA X LP and AVA X LLC has voting and dispositive power over the shares held by Atlas X. As such, each of the Fund X Reporting Persons share voting and dispositive power with respect to the shares held by Atlas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-991235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-1273810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-1582420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-1865630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9" w:lineRule="exact"/>
        <w:rPr>
          <w:sz w:val="20"/>
          <w:szCs w:val="20"/>
          <w:color w:val="auto"/>
        </w:rPr>
      </w:pPr>
    </w:p>
    <w:p>
      <w:pPr>
        <w:ind w:left="380" w:hanging="318"/>
        <w:spacing w:after="0" w:line="308" w:lineRule="auto"/>
        <w:tabs>
          <w:tab w:leader="none" w:pos="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This percentage is calculated based upon 45,301,990 shares of Common Stock outstanding immediately after the Closing (as defined below), as reported in the Issuer’s Current Report on Form 8-K filed with the Securities and Exchange Commission on February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4" w:name="page5"/>
    <w:bookmarkEnd w:id="4"/>
    <w:p>
      <w:pPr>
        <w:ind w:left="20"/>
        <w:spacing w:after="0"/>
        <w:tabs>
          <w:tab w:leader="none" w:pos="1032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5"/>
          <w:szCs w:val="15"/>
          <w:color w:val="auto"/>
        </w:rPr>
        <w:t>Page 5 of 19</w:t>
      </w:r>
    </w:p>
    <w:p>
      <w:pPr>
        <w:spacing w:after="0" w:line="252" w:lineRule="exact"/>
        <w:rPr>
          <w:sz w:val="20"/>
          <w:szCs w:val="20"/>
          <w:color w:val="auto"/>
        </w:rPr>
      </w:pPr>
    </w:p>
    <w:p>
      <w:pPr>
        <w:ind w:left="1640" w:right="6760" w:hanging="1164"/>
        <w:spacing w:after="0" w:line="291" w:lineRule="auto"/>
        <w:tabs>
          <w:tab w:leader="none" w:pos="1640"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NAMES OF REPORTING PERSONS: ATLAS VENTURE FUND XII,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40" w:hanging="1164"/>
        <w:spacing w:after="0"/>
        <w:tabs>
          <w:tab w:leader="none" w:pos="164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b w:val="1"/>
          <w:bCs w:val="1"/>
          <w:color w:val="auto"/>
        </w:rPr>
      </w:pPr>
    </w:p>
    <w:p>
      <w:pPr>
        <w:ind w:left="164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 w:lineRule="exact"/>
        <w:rPr>
          <w:sz w:val="20"/>
          <w:szCs w:val="20"/>
          <w:color w:val="auto"/>
        </w:rPr>
      </w:pPr>
    </w:p>
    <w:p>
      <w:pPr>
        <w:ind w:left="1640" w:hanging="1164"/>
        <w:spacing w:after="0"/>
        <w:tabs>
          <w:tab w:leader="none" w:pos="164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40" w:right="6100" w:hanging="1164"/>
        <w:spacing w:after="0" w:line="258" w:lineRule="auto"/>
        <w:tabs>
          <w:tab w:leader="none" w:pos="164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640" w:hanging="1164"/>
        <w:spacing w:after="0"/>
        <w:tabs>
          <w:tab w:leader="none" w:pos="16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7" w:lineRule="exact"/>
        <w:rPr>
          <w:rFonts w:ascii="Arial" w:cs="Arial" w:eastAsia="Arial" w:hAnsi="Arial"/>
          <w:sz w:val="18"/>
          <w:szCs w:val="18"/>
          <w:b w:val="1"/>
          <w:bCs w:val="1"/>
          <w:color w:val="auto"/>
        </w:rPr>
      </w:pPr>
    </w:p>
    <w:p>
      <w:pPr>
        <w:ind w:left="164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 w:lineRule="exact"/>
        <w:rPr>
          <w:sz w:val="20"/>
          <w:szCs w:val="20"/>
          <w:color w:val="auto"/>
        </w:rPr>
      </w:pPr>
    </w:p>
    <w:p>
      <w:pPr>
        <w:ind w:left="1640" w:right="5880" w:hanging="1164"/>
        <w:spacing w:after="0" w:line="258" w:lineRule="auto"/>
        <w:tabs>
          <w:tab w:leader="none" w:pos="16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0"/>
        </w:trPr>
        <w:tc>
          <w:tcPr>
            <w:tcW w:w="1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NUMBER</w:t>
            </w:r>
          </w:p>
        </w:tc>
        <w:tc>
          <w:tcPr>
            <w:tcW w:w="1340" w:type="dxa"/>
            <w:vAlign w:val="bottom"/>
            <w:tcBorders>
              <w:top w:val="single" w:sz="8" w:color="auto"/>
            </w:tcBorders>
          </w:tcPr>
          <w:p>
            <w:pPr>
              <w:jc w:val="center"/>
              <w:ind w:left="250"/>
              <w:spacing w:after="0" w:line="181" w:lineRule="exact"/>
              <w:rPr>
                <w:sz w:val="20"/>
                <w:szCs w:val="20"/>
                <w:color w:val="auto"/>
              </w:rPr>
            </w:pPr>
            <w:r>
              <w:rPr>
                <w:rFonts w:ascii="Arial" w:cs="Arial" w:eastAsia="Arial" w:hAnsi="Arial"/>
                <w:sz w:val="18"/>
                <w:szCs w:val="18"/>
                <w:b w:val="1"/>
                <w:bCs w:val="1"/>
                <w:color w:val="auto"/>
                <w:w w:val="79"/>
              </w:rPr>
              <w:t>7</w:t>
            </w:r>
          </w:p>
        </w:tc>
        <w:tc>
          <w:tcPr>
            <w:tcW w:w="8320" w:type="dxa"/>
            <w:vAlign w:val="bottom"/>
            <w:tcBorders>
              <w:top w:val="single" w:sz="8" w:color="auto"/>
            </w:tcBorders>
          </w:tcPr>
          <w:p>
            <w:pPr>
              <w:ind w:left="400"/>
              <w:spacing w:after="0" w:line="181"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76"/>
        </w:trPr>
        <w:tc>
          <w:tcPr>
            <w:tcW w:w="15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8320" w:type="dxa"/>
            <w:vAlign w:val="bottom"/>
          </w:tcPr>
          <w:p>
            <w:pPr>
              <w:ind w:left="400"/>
              <w:spacing w:after="0" w:line="176"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2"/>
              </w:rPr>
              <w:t>OF SHARES</w:t>
            </w:r>
          </w:p>
        </w:tc>
        <w:tc>
          <w:tcPr>
            <w:tcW w:w="1340" w:type="dxa"/>
            <w:vAlign w:val="bottom"/>
            <w:tcBorders>
              <w:bottom w:val="single" w:sz="8" w:color="auto"/>
            </w:tcBorders>
          </w:tcPr>
          <w:p>
            <w:pPr>
              <w:spacing w:after="0"/>
              <w:rPr>
                <w:sz w:val="4"/>
                <w:szCs w:val="4"/>
                <w:color w:val="auto"/>
              </w:rPr>
            </w:pPr>
          </w:p>
        </w:tc>
        <w:tc>
          <w:tcPr>
            <w:tcW w:w="8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580" w:type="dxa"/>
            <w:vAlign w:val="bottom"/>
            <w:vMerge w:val="continue"/>
          </w:tcPr>
          <w:p>
            <w:pPr>
              <w:spacing w:after="0"/>
              <w:rPr>
                <w:sz w:val="11"/>
                <w:szCs w:val="11"/>
                <w:color w:val="auto"/>
              </w:rPr>
            </w:pPr>
          </w:p>
        </w:tc>
        <w:tc>
          <w:tcPr>
            <w:tcW w:w="1340" w:type="dxa"/>
            <w:vAlign w:val="bottom"/>
            <w:vMerge w:val="restart"/>
          </w:tcPr>
          <w:p>
            <w:pPr>
              <w:jc w:val="center"/>
              <w:ind w:left="250"/>
              <w:spacing w:after="0" w:line="199" w:lineRule="exact"/>
              <w:rPr>
                <w:sz w:val="20"/>
                <w:szCs w:val="20"/>
                <w:color w:val="auto"/>
              </w:rPr>
            </w:pPr>
            <w:r>
              <w:rPr>
                <w:rFonts w:ascii="Arial" w:cs="Arial" w:eastAsia="Arial" w:hAnsi="Arial"/>
                <w:sz w:val="18"/>
                <w:szCs w:val="18"/>
                <w:b w:val="1"/>
                <w:bCs w:val="1"/>
                <w:color w:val="auto"/>
                <w:w w:val="79"/>
              </w:rPr>
              <w:t>8</w:t>
            </w:r>
          </w:p>
        </w:tc>
        <w:tc>
          <w:tcPr>
            <w:tcW w:w="8320" w:type="dxa"/>
            <w:vAlign w:val="bottom"/>
            <w:vMerge w:val="restart"/>
          </w:tcPr>
          <w:p>
            <w:pPr>
              <w:ind w:left="400"/>
              <w:spacing w:after="0" w:line="199"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71"/>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1340" w:type="dxa"/>
            <w:vAlign w:val="bottom"/>
            <w:vMerge w:val="continue"/>
          </w:tcPr>
          <w:p>
            <w:pPr>
              <w:spacing w:after="0"/>
              <w:rPr>
                <w:sz w:val="6"/>
                <w:szCs w:val="6"/>
                <w:color w:val="auto"/>
              </w:rPr>
            </w:pPr>
          </w:p>
        </w:tc>
        <w:tc>
          <w:tcPr>
            <w:tcW w:w="8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58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8320" w:type="dxa"/>
            <w:vAlign w:val="bottom"/>
            <w:vMerge w:val="restart"/>
          </w:tcPr>
          <w:p>
            <w:pPr>
              <w:ind w:left="400"/>
              <w:spacing w:after="0" w:line="267" w:lineRule="exact"/>
              <w:rPr>
                <w:sz w:val="20"/>
                <w:szCs w:val="20"/>
                <w:color w:val="auto"/>
              </w:rPr>
            </w:pPr>
            <w:r>
              <w:rPr>
                <w:rFonts w:ascii="Arial" w:cs="Arial" w:eastAsia="Arial" w:hAnsi="Arial"/>
                <w:sz w:val="18"/>
                <w:szCs w:val="18"/>
                <w:color w:val="auto"/>
              </w:rPr>
              <w:t>510,000</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22"/>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8"/>
              </w:rPr>
              <w:t>OWNED</w:t>
            </w:r>
          </w:p>
        </w:tc>
        <w:tc>
          <w:tcPr>
            <w:tcW w:w="1340" w:type="dxa"/>
            <w:vAlign w:val="bottom"/>
            <w:tcBorders>
              <w:bottom w:val="single" w:sz="8" w:color="auto"/>
            </w:tcBorders>
          </w:tcPr>
          <w:p>
            <w:pPr>
              <w:spacing w:after="0"/>
              <w:rPr>
                <w:sz w:val="10"/>
                <w:szCs w:val="10"/>
                <w:color w:val="auto"/>
              </w:rPr>
            </w:pPr>
          </w:p>
        </w:tc>
        <w:tc>
          <w:tcPr>
            <w:tcW w:w="8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340" w:type="dxa"/>
            <w:vAlign w:val="bottom"/>
            <w:vMerge w:val="restart"/>
          </w:tcPr>
          <w:p>
            <w:pPr>
              <w:jc w:val="center"/>
              <w:ind w:left="250"/>
              <w:spacing w:after="0" w:line="195" w:lineRule="exact"/>
              <w:rPr>
                <w:sz w:val="20"/>
                <w:szCs w:val="20"/>
                <w:color w:val="auto"/>
              </w:rPr>
            </w:pPr>
            <w:r>
              <w:rPr>
                <w:rFonts w:ascii="Arial" w:cs="Arial" w:eastAsia="Arial" w:hAnsi="Arial"/>
                <w:sz w:val="18"/>
                <w:szCs w:val="18"/>
                <w:b w:val="1"/>
                <w:bCs w:val="1"/>
                <w:color w:val="auto"/>
                <w:w w:val="79"/>
              </w:rPr>
              <w:t>9</w:t>
            </w:r>
          </w:p>
        </w:tc>
        <w:tc>
          <w:tcPr>
            <w:tcW w:w="8320" w:type="dxa"/>
            <w:vAlign w:val="bottom"/>
            <w:vMerge w:val="restart"/>
          </w:tcPr>
          <w:p>
            <w:pPr>
              <w:ind w:left="40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1340" w:type="dxa"/>
            <w:vAlign w:val="bottom"/>
            <w:vMerge w:val="continue"/>
          </w:tcPr>
          <w:p>
            <w:pPr>
              <w:spacing w:after="0"/>
              <w:rPr>
                <w:sz w:val="10"/>
                <w:szCs w:val="10"/>
                <w:color w:val="auto"/>
              </w:rPr>
            </w:pPr>
          </w:p>
        </w:tc>
        <w:tc>
          <w:tcPr>
            <w:tcW w:w="8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58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8320" w:type="dxa"/>
            <w:vAlign w:val="bottom"/>
            <w:vMerge w:val="restart"/>
          </w:tcPr>
          <w:p>
            <w:pPr>
              <w:ind w:left="4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34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580" w:type="dxa"/>
            <w:vAlign w:val="bottom"/>
            <w:vMerge w:val="continue"/>
          </w:tcPr>
          <w:p>
            <w:pPr>
              <w:spacing w:after="0"/>
              <w:rPr>
                <w:sz w:val="5"/>
                <w:szCs w:val="5"/>
                <w:color w:val="auto"/>
              </w:rPr>
            </w:pPr>
          </w:p>
        </w:tc>
        <w:tc>
          <w:tcPr>
            <w:tcW w:w="1340" w:type="dxa"/>
            <w:vAlign w:val="bottom"/>
            <w:vMerge w:val="restart"/>
          </w:tcPr>
          <w:p>
            <w:pPr>
              <w:jc w:val="center"/>
              <w:ind w:left="270"/>
              <w:spacing w:after="0" w:line="199" w:lineRule="exact"/>
              <w:rPr>
                <w:sz w:val="20"/>
                <w:szCs w:val="20"/>
                <w:color w:val="auto"/>
              </w:rPr>
            </w:pPr>
            <w:r>
              <w:rPr>
                <w:rFonts w:ascii="Arial" w:cs="Arial" w:eastAsia="Arial" w:hAnsi="Arial"/>
                <w:sz w:val="18"/>
                <w:szCs w:val="18"/>
                <w:b w:val="1"/>
                <w:bCs w:val="1"/>
                <w:color w:val="auto"/>
                <w:w w:val="89"/>
              </w:rPr>
              <w:t>10</w:t>
            </w:r>
          </w:p>
        </w:tc>
        <w:tc>
          <w:tcPr>
            <w:tcW w:w="8320" w:type="dxa"/>
            <w:vAlign w:val="bottom"/>
            <w:vMerge w:val="restart"/>
          </w:tcPr>
          <w:p>
            <w:pPr>
              <w:ind w:left="400"/>
              <w:spacing w:after="0" w:line="199"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9"/>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340" w:type="dxa"/>
            <w:vAlign w:val="bottom"/>
            <w:vMerge w:val="continue"/>
          </w:tcPr>
          <w:p>
            <w:pPr>
              <w:spacing w:after="0"/>
              <w:rPr>
                <w:sz w:val="12"/>
                <w:szCs w:val="12"/>
                <w:color w:val="auto"/>
              </w:rPr>
            </w:pPr>
          </w:p>
        </w:tc>
        <w:tc>
          <w:tcPr>
            <w:tcW w:w="8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58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8320" w:type="dxa"/>
            <w:vAlign w:val="bottom"/>
            <w:vMerge w:val="restart"/>
          </w:tcPr>
          <w:p>
            <w:pPr>
              <w:ind w:left="400"/>
              <w:spacing w:after="0" w:line="283" w:lineRule="exact"/>
              <w:rPr>
                <w:sz w:val="20"/>
                <w:szCs w:val="20"/>
                <w:color w:val="auto"/>
              </w:rPr>
            </w:pPr>
            <w:r>
              <w:rPr>
                <w:rFonts w:ascii="Arial" w:cs="Arial" w:eastAsia="Arial" w:hAnsi="Arial"/>
                <w:sz w:val="18"/>
                <w:szCs w:val="18"/>
                <w:color w:val="auto"/>
              </w:rPr>
              <w:t>510,000</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91"/>
        </w:trPr>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40" w:hanging="1204"/>
        <w:spacing w:after="0"/>
        <w:tabs>
          <w:tab w:leader="none" w:pos="1640" w:val="left"/>
        </w:tabs>
        <w:numPr>
          <w:ilvl w:val="1"/>
          <w:numId w:val="3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640"/>
        <w:spacing w:after="0" w:line="195" w:lineRule="auto"/>
        <w:rPr>
          <w:rFonts w:ascii="Arial" w:cs="Arial" w:eastAsia="Arial" w:hAnsi="Arial"/>
          <w:sz w:val="18"/>
          <w:szCs w:val="18"/>
          <w:b w:val="1"/>
          <w:bCs w:val="1"/>
          <w:color w:val="auto"/>
        </w:rPr>
      </w:pPr>
      <w:r>
        <w:rPr>
          <w:rFonts w:ascii="Arial" w:cs="Arial" w:eastAsia="Arial" w:hAnsi="Arial"/>
          <w:sz w:val="18"/>
          <w:szCs w:val="18"/>
          <w:color w:val="auto"/>
        </w:rPr>
        <w:t>510,000</w:t>
      </w:r>
      <w:r>
        <w:rPr>
          <w:rFonts w:ascii="Arial" w:cs="Arial" w:eastAsia="Arial" w:hAnsi="Arial"/>
          <w:sz w:val="29"/>
          <w:szCs w:val="29"/>
          <w:color w:val="auto"/>
          <w:vertAlign w:val="superscript"/>
        </w:rPr>
        <w:t>1</w:t>
      </w:r>
    </w:p>
    <w:p>
      <w:pPr>
        <w:ind w:left="1640" w:hanging="1209"/>
        <w:spacing w:after="0"/>
        <w:tabs>
          <w:tab w:leader="none" w:pos="1640" w:val="left"/>
        </w:tabs>
        <w:numPr>
          <w:ilvl w:val="1"/>
          <w:numId w:val="32"/>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64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b w:val="1"/>
          <w:bCs w:val="1"/>
          <w:color w:val="auto"/>
        </w:rPr>
      </w:pPr>
    </w:p>
    <w:p>
      <w:pPr>
        <w:ind w:left="1640" w:hanging="1209"/>
        <w:spacing w:after="0"/>
        <w:tabs>
          <w:tab w:leader="none" w:pos="1640" w:val="left"/>
        </w:tabs>
        <w:numPr>
          <w:ilvl w:val="1"/>
          <w:numId w:val="32"/>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7" w:lineRule="exact"/>
        <w:rPr>
          <w:rFonts w:ascii="Arial" w:cs="Arial" w:eastAsia="Arial" w:hAnsi="Arial"/>
          <w:sz w:val="18"/>
          <w:szCs w:val="18"/>
          <w:b w:val="1"/>
          <w:bCs w:val="1"/>
          <w:color w:val="auto"/>
        </w:rPr>
      </w:pPr>
    </w:p>
    <w:p>
      <w:pPr>
        <w:ind w:left="1640"/>
        <w:spacing w:after="0" w:line="195" w:lineRule="auto"/>
        <w:rPr>
          <w:rFonts w:ascii="Arial" w:cs="Arial" w:eastAsia="Arial" w:hAnsi="Arial"/>
          <w:sz w:val="18"/>
          <w:szCs w:val="18"/>
          <w:b w:val="1"/>
          <w:bCs w:val="1"/>
          <w:color w:val="auto"/>
        </w:rPr>
      </w:pPr>
      <w:r>
        <w:rPr>
          <w:rFonts w:ascii="Arial" w:cs="Arial" w:eastAsia="Arial" w:hAnsi="Arial"/>
          <w:sz w:val="18"/>
          <w:szCs w:val="18"/>
          <w:color w:val="auto"/>
        </w:rPr>
        <w:t>1.1%</w:t>
      </w:r>
      <w:r>
        <w:rPr>
          <w:rFonts w:ascii="Arial" w:cs="Arial" w:eastAsia="Arial" w:hAnsi="Arial"/>
          <w:sz w:val="29"/>
          <w:szCs w:val="29"/>
          <w:color w:val="auto"/>
          <w:vertAlign w:val="superscript"/>
        </w:rPr>
        <w:t>2</w:t>
      </w:r>
    </w:p>
    <w:p>
      <w:pPr>
        <w:ind w:left="1640" w:right="5220" w:hanging="1209"/>
        <w:spacing w:after="0" w:line="258" w:lineRule="auto"/>
        <w:tabs>
          <w:tab w:leader="none" w:pos="1640" w:val="left"/>
        </w:tabs>
        <w:numPr>
          <w:ilvl w:val="1"/>
          <w:numId w:val="32"/>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27" w:lineRule="exact"/>
        <w:rPr>
          <w:rFonts w:ascii="Arial" w:cs="Arial" w:eastAsia="Arial" w:hAnsi="Arial"/>
          <w:sz w:val="18"/>
          <w:szCs w:val="18"/>
          <w:b w:val="1"/>
          <w:bCs w:val="1"/>
          <w:color w:val="auto"/>
        </w:rPr>
      </w:pPr>
    </w:p>
    <w:p>
      <w:pPr>
        <w:ind w:left="380" w:hanging="324"/>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 As described in Item 5 below, Atlas Venture Fund XII, L.P., a Delaware limited partnership (“Atlas XII”), Atlas Venture Associates XII, L.P., a Delaware limited partnership (“AVA XII LP”) and Atlas Venture Associates XII, LLC, a Delaware limited liability company (“AVA XII LLC” and together with Atlas XII and AVA XII LP, the “Fund XII Reporting Persons”) beneficially own the 510,000 shares of the Issuer’s Common Stock that are directly held by Atlas XII. AVA XII LP is the general partner of Atlas XII and AVA XII LLC is the general partner of AVA XII LP. Each of AVA XII LP and AVA XII LLC has voting and dispositive power over the shares held by Atlas XII. As such, each of the Fund XII Reporting Persons share voting and dispositive power with respect to the shares held by Atlas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-991235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-1273810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-1582420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-1865630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9" w:lineRule="exact"/>
        <w:rPr>
          <w:sz w:val="20"/>
          <w:szCs w:val="20"/>
          <w:color w:val="auto"/>
        </w:rPr>
      </w:pPr>
    </w:p>
    <w:p>
      <w:pPr>
        <w:ind w:left="380" w:hanging="318"/>
        <w:spacing w:after="0" w:line="308" w:lineRule="auto"/>
        <w:tabs>
          <w:tab w:leader="none" w:pos="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This percentage is calculated based upon 45,301,990 shares of Common Stock outstanding immediately after the Closing (as defined below), as reported in the Issuer’s Current Report on Form 8-K filed with the Securities and Exchange Commission on February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5" w:name="page6"/>
    <w:bookmarkEnd w:id="5"/>
    <w:p>
      <w:pPr>
        <w:ind w:left="20"/>
        <w:spacing w:after="0"/>
        <w:tabs>
          <w:tab w:leader="none" w:pos="1032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5"/>
          <w:szCs w:val="15"/>
          <w:color w:val="auto"/>
        </w:rPr>
        <w:t>Page 6 of 19</w:t>
      </w:r>
    </w:p>
    <w:p>
      <w:pPr>
        <w:spacing w:after="0" w:line="252" w:lineRule="exact"/>
        <w:rPr>
          <w:sz w:val="20"/>
          <w:szCs w:val="20"/>
          <w:color w:val="auto"/>
        </w:rPr>
      </w:pPr>
    </w:p>
    <w:p>
      <w:pPr>
        <w:ind w:left="1640" w:right="6380" w:hanging="1164"/>
        <w:spacing w:after="0" w:line="274" w:lineRule="auto"/>
        <w:tabs>
          <w:tab w:leader="none" w:pos="164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NAMES OF REPORTING PERSONS: ATLAS VENTURE ASSOCIATES XII,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40" w:hanging="1164"/>
        <w:spacing w:after="0"/>
        <w:tabs>
          <w:tab w:leader="none" w:pos="164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b w:val="1"/>
          <w:bCs w:val="1"/>
          <w:color w:val="auto"/>
        </w:rPr>
      </w:pPr>
    </w:p>
    <w:p>
      <w:pPr>
        <w:ind w:left="164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 w:lineRule="exact"/>
        <w:rPr>
          <w:sz w:val="20"/>
          <w:szCs w:val="20"/>
          <w:color w:val="auto"/>
        </w:rPr>
      </w:pPr>
    </w:p>
    <w:p>
      <w:pPr>
        <w:ind w:left="1640" w:hanging="1164"/>
        <w:spacing w:after="0"/>
        <w:tabs>
          <w:tab w:leader="none" w:pos="164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40" w:right="6100" w:hanging="1164"/>
        <w:spacing w:after="0" w:line="258" w:lineRule="auto"/>
        <w:tabs>
          <w:tab w:leader="none" w:pos="164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640" w:hanging="1164"/>
        <w:spacing w:after="0"/>
        <w:tabs>
          <w:tab w:leader="none" w:pos="164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7" w:lineRule="exact"/>
        <w:rPr>
          <w:rFonts w:ascii="Arial" w:cs="Arial" w:eastAsia="Arial" w:hAnsi="Arial"/>
          <w:sz w:val="18"/>
          <w:szCs w:val="18"/>
          <w:b w:val="1"/>
          <w:bCs w:val="1"/>
          <w:color w:val="auto"/>
        </w:rPr>
      </w:pPr>
    </w:p>
    <w:p>
      <w:pPr>
        <w:ind w:left="164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 w:lineRule="exact"/>
        <w:rPr>
          <w:sz w:val="20"/>
          <w:szCs w:val="20"/>
          <w:color w:val="auto"/>
        </w:rPr>
      </w:pPr>
    </w:p>
    <w:p>
      <w:pPr>
        <w:ind w:left="1640" w:right="5880" w:hanging="1164"/>
        <w:spacing w:after="0" w:line="258" w:lineRule="auto"/>
        <w:tabs>
          <w:tab w:leader="none" w:pos="164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0"/>
        </w:trPr>
        <w:tc>
          <w:tcPr>
            <w:tcW w:w="1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NUMBER</w:t>
            </w:r>
          </w:p>
        </w:tc>
        <w:tc>
          <w:tcPr>
            <w:tcW w:w="1340" w:type="dxa"/>
            <w:vAlign w:val="bottom"/>
            <w:tcBorders>
              <w:top w:val="single" w:sz="8" w:color="auto"/>
            </w:tcBorders>
          </w:tcPr>
          <w:p>
            <w:pPr>
              <w:jc w:val="center"/>
              <w:ind w:left="250"/>
              <w:spacing w:after="0" w:line="181" w:lineRule="exact"/>
              <w:rPr>
                <w:sz w:val="20"/>
                <w:szCs w:val="20"/>
                <w:color w:val="auto"/>
              </w:rPr>
            </w:pPr>
            <w:r>
              <w:rPr>
                <w:rFonts w:ascii="Arial" w:cs="Arial" w:eastAsia="Arial" w:hAnsi="Arial"/>
                <w:sz w:val="18"/>
                <w:szCs w:val="18"/>
                <w:b w:val="1"/>
                <w:bCs w:val="1"/>
                <w:color w:val="auto"/>
                <w:w w:val="79"/>
              </w:rPr>
              <w:t>7</w:t>
            </w:r>
          </w:p>
        </w:tc>
        <w:tc>
          <w:tcPr>
            <w:tcW w:w="8320" w:type="dxa"/>
            <w:vAlign w:val="bottom"/>
            <w:tcBorders>
              <w:top w:val="single" w:sz="8" w:color="auto"/>
            </w:tcBorders>
          </w:tcPr>
          <w:p>
            <w:pPr>
              <w:ind w:left="400"/>
              <w:spacing w:after="0" w:line="181"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76"/>
        </w:trPr>
        <w:tc>
          <w:tcPr>
            <w:tcW w:w="15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8320" w:type="dxa"/>
            <w:vAlign w:val="bottom"/>
          </w:tcPr>
          <w:p>
            <w:pPr>
              <w:ind w:left="400"/>
              <w:spacing w:after="0" w:line="176"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2"/>
              </w:rPr>
              <w:t>OF SHARES</w:t>
            </w:r>
          </w:p>
        </w:tc>
        <w:tc>
          <w:tcPr>
            <w:tcW w:w="1340" w:type="dxa"/>
            <w:vAlign w:val="bottom"/>
            <w:tcBorders>
              <w:bottom w:val="single" w:sz="8" w:color="auto"/>
            </w:tcBorders>
          </w:tcPr>
          <w:p>
            <w:pPr>
              <w:spacing w:after="0"/>
              <w:rPr>
                <w:sz w:val="4"/>
                <w:szCs w:val="4"/>
                <w:color w:val="auto"/>
              </w:rPr>
            </w:pPr>
          </w:p>
        </w:tc>
        <w:tc>
          <w:tcPr>
            <w:tcW w:w="8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580" w:type="dxa"/>
            <w:vAlign w:val="bottom"/>
            <w:vMerge w:val="continue"/>
          </w:tcPr>
          <w:p>
            <w:pPr>
              <w:spacing w:after="0"/>
              <w:rPr>
                <w:sz w:val="11"/>
                <w:szCs w:val="11"/>
                <w:color w:val="auto"/>
              </w:rPr>
            </w:pPr>
          </w:p>
        </w:tc>
        <w:tc>
          <w:tcPr>
            <w:tcW w:w="1340" w:type="dxa"/>
            <w:vAlign w:val="bottom"/>
            <w:vMerge w:val="restart"/>
          </w:tcPr>
          <w:p>
            <w:pPr>
              <w:jc w:val="center"/>
              <w:ind w:left="250"/>
              <w:spacing w:after="0" w:line="199" w:lineRule="exact"/>
              <w:rPr>
                <w:sz w:val="20"/>
                <w:szCs w:val="20"/>
                <w:color w:val="auto"/>
              </w:rPr>
            </w:pPr>
            <w:r>
              <w:rPr>
                <w:rFonts w:ascii="Arial" w:cs="Arial" w:eastAsia="Arial" w:hAnsi="Arial"/>
                <w:sz w:val="18"/>
                <w:szCs w:val="18"/>
                <w:b w:val="1"/>
                <w:bCs w:val="1"/>
                <w:color w:val="auto"/>
                <w:w w:val="79"/>
              </w:rPr>
              <w:t>8</w:t>
            </w:r>
          </w:p>
        </w:tc>
        <w:tc>
          <w:tcPr>
            <w:tcW w:w="8320" w:type="dxa"/>
            <w:vAlign w:val="bottom"/>
            <w:vMerge w:val="restart"/>
          </w:tcPr>
          <w:p>
            <w:pPr>
              <w:ind w:left="400"/>
              <w:spacing w:after="0" w:line="199"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71"/>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1340" w:type="dxa"/>
            <w:vAlign w:val="bottom"/>
            <w:vMerge w:val="continue"/>
          </w:tcPr>
          <w:p>
            <w:pPr>
              <w:spacing w:after="0"/>
              <w:rPr>
                <w:sz w:val="6"/>
                <w:szCs w:val="6"/>
                <w:color w:val="auto"/>
              </w:rPr>
            </w:pPr>
          </w:p>
        </w:tc>
        <w:tc>
          <w:tcPr>
            <w:tcW w:w="8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58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8320" w:type="dxa"/>
            <w:vAlign w:val="bottom"/>
            <w:vMerge w:val="restart"/>
          </w:tcPr>
          <w:p>
            <w:pPr>
              <w:ind w:left="400"/>
              <w:spacing w:after="0" w:line="267" w:lineRule="exact"/>
              <w:rPr>
                <w:sz w:val="20"/>
                <w:szCs w:val="20"/>
                <w:color w:val="auto"/>
              </w:rPr>
            </w:pPr>
            <w:r>
              <w:rPr>
                <w:rFonts w:ascii="Arial" w:cs="Arial" w:eastAsia="Arial" w:hAnsi="Arial"/>
                <w:sz w:val="18"/>
                <w:szCs w:val="18"/>
                <w:color w:val="auto"/>
              </w:rPr>
              <w:t>510,000</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22"/>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8"/>
              </w:rPr>
              <w:t>OWNED</w:t>
            </w:r>
          </w:p>
        </w:tc>
        <w:tc>
          <w:tcPr>
            <w:tcW w:w="1340" w:type="dxa"/>
            <w:vAlign w:val="bottom"/>
            <w:tcBorders>
              <w:bottom w:val="single" w:sz="8" w:color="auto"/>
            </w:tcBorders>
          </w:tcPr>
          <w:p>
            <w:pPr>
              <w:spacing w:after="0"/>
              <w:rPr>
                <w:sz w:val="10"/>
                <w:szCs w:val="10"/>
                <w:color w:val="auto"/>
              </w:rPr>
            </w:pPr>
          </w:p>
        </w:tc>
        <w:tc>
          <w:tcPr>
            <w:tcW w:w="8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340" w:type="dxa"/>
            <w:vAlign w:val="bottom"/>
            <w:vMerge w:val="restart"/>
          </w:tcPr>
          <w:p>
            <w:pPr>
              <w:jc w:val="center"/>
              <w:ind w:left="250"/>
              <w:spacing w:after="0" w:line="195" w:lineRule="exact"/>
              <w:rPr>
                <w:sz w:val="20"/>
                <w:szCs w:val="20"/>
                <w:color w:val="auto"/>
              </w:rPr>
            </w:pPr>
            <w:r>
              <w:rPr>
                <w:rFonts w:ascii="Arial" w:cs="Arial" w:eastAsia="Arial" w:hAnsi="Arial"/>
                <w:sz w:val="18"/>
                <w:szCs w:val="18"/>
                <w:b w:val="1"/>
                <w:bCs w:val="1"/>
                <w:color w:val="auto"/>
                <w:w w:val="79"/>
              </w:rPr>
              <w:t>9</w:t>
            </w:r>
          </w:p>
        </w:tc>
        <w:tc>
          <w:tcPr>
            <w:tcW w:w="8320" w:type="dxa"/>
            <w:vAlign w:val="bottom"/>
            <w:vMerge w:val="restart"/>
          </w:tcPr>
          <w:p>
            <w:pPr>
              <w:ind w:left="40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1340" w:type="dxa"/>
            <w:vAlign w:val="bottom"/>
            <w:vMerge w:val="continue"/>
          </w:tcPr>
          <w:p>
            <w:pPr>
              <w:spacing w:after="0"/>
              <w:rPr>
                <w:sz w:val="10"/>
                <w:szCs w:val="10"/>
                <w:color w:val="auto"/>
              </w:rPr>
            </w:pPr>
          </w:p>
        </w:tc>
        <w:tc>
          <w:tcPr>
            <w:tcW w:w="8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58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8320" w:type="dxa"/>
            <w:vAlign w:val="bottom"/>
            <w:vMerge w:val="restart"/>
          </w:tcPr>
          <w:p>
            <w:pPr>
              <w:ind w:left="4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34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580" w:type="dxa"/>
            <w:vAlign w:val="bottom"/>
            <w:vMerge w:val="continue"/>
          </w:tcPr>
          <w:p>
            <w:pPr>
              <w:spacing w:after="0"/>
              <w:rPr>
                <w:sz w:val="5"/>
                <w:szCs w:val="5"/>
                <w:color w:val="auto"/>
              </w:rPr>
            </w:pPr>
          </w:p>
        </w:tc>
        <w:tc>
          <w:tcPr>
            <w:tcW w:w="1340" w:type="dxa"/>
            <w:vAlign w:val="bottom"/>
            <w:vMerge w:val="restart"/>
          </w:tcPr>
          <w:p>
            <w:pPr>
              <w:jc w:val="center"/>
              <w:ind w:left="270"/>
              <w:spacing w:after="0" w:line="199" w:lineRule="exact"/>
              <w:rPr>
                <w:sz w:val="20"/>
                <w:szCs w:val="20"/>
                <w:color w:val="auto"/>
              </w:rPr>
            </w:pPr>
            <w:r>
              <w:rPr>
                <w:rFonts w:ascii="Arial" w:cs="Arial" w:eastAsia="Arial" w:hAnsi="Arial"/>
                <w:sz w:val="18"/>
                <w:szCs w:val="18"/>
                <w:b w:val="1"/>
                <w:bCs w:val="1"/>
                <w:color w:val="auto"/>
                <w:w w:val="89"/>
              </w:rPr>
              <w:t>10</w:t>
            </w:r>
          </w:p>
        </w:tc>
        <w:tc>
          <w:tcPr>
            <w:tcW w:w="8320" w:type="dxa"/>
            <w:vAlign w:val="bottom"/>
            <w:vMerge w:val="restart"/>
          </w:tcPr>
          <w:p>
            <w:pPr>
              <w:ind w:left="400"/>
              <w:spacing w:after="0" w:line="199"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9"/>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340" w:type="dxa"/>
            <w:vAlign w:val="bottom"/>
            <w:vMerge w:val="continue"/>
          </w:tcPr>
          <w:p>
            <w:pPr>
              <w:spacing w:after="0"/>
              <w:rPr>
                <w:sz w:val="12"/>
                <w:szCs w:val="12"/>
                <w:color w:val="auto"/>
              </w:rPr>
            </w:pPr>
          </w:p>
        </w:tc>
        <w:tc>
          <w:tcPr>
            <w:tcW w:w="8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58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8320" w:type="dxa"/>
            <w:vAlign w:val="bottom"/>
            <w:vMerge w:val="restart"/>
          </w:tcPr>
          <w:p>
            <w:pPr>
              <w:ind w:left="400"/>
              <w:spacing w:after="0" w:line="283" w:lineRule="exact"/>
              <w:rPr>
                <w:sz w:val="20"/>
                <w:szCs w:val="20"/>
                <w:color w:val="auto"/>
              </w:rPr>
            </w:pPr>
            <w:r>
              <w:rPr>
                <w:rFonts w:ascii="Arial" w:cs="Arial" w:eastAsia="Arial" w:hAnsi="Arial"/>
                <w:sz w:val="18"/>
                <w:szCs w:val="18"/>
                <w:color w:val="auto"/>
              </w:rPr>
              <w:t>510,000</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91"/>
        </w:trPr>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40" w:hanging="1204"/>
        <w:spacing w:after="0"/>
        <w:tabs>
          <w:tab w:leader="none" w:pos="1640" w:val="left"/>
        </w:tabs>
        <w:numPr>
          <w:ilvl w:val="1"/>
          <w:numId w:val="4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640"/>
        <w:spacing w:after="0" w:line="195" w:lineRule="auto"/>
        <w:rPr>
          <w:rFonts w:ascii="Arial" w:cs="Arial" w:eastAsia="Arial" w:hAnsi="Arial"/>
          <w:sz w:val="18"/>
          <w:szCs w:val="18"/>
          <w:b w:val="1"/>
          <w:bCs w:val="1"/>
          <w:color w:val="auto"/>
        </w:rPr>
      </w:pPr>
      <w:r>
        <w:rPr>
          <w:rFonts w:ascii="Arial" w:cs="Arial" w:eastAsia="Arial" w:hAnsi="Arial"/>
          <w:sz w:val="18"/>
          <w:szCs w:val="18"/>
          <w:color w:val="auto"/>
        </w:rPr>
        <w:t>510,000</w:t>
      </w:r>
      <w:r>
        <w:rPr>
          <w:rFonts w:ascii="Arial" w:cs="Arial" w:eastAsia="Arial" w:hAnsi="Arial"/>
          <w:sz w:val="29"/>
          <w:szCs w:val="29"/>
          <w:color w:val="auto"/>
          <w:vertAlign w:val="superscript"/>
        </w:rPr>
        <w:t>1</w:t>
      </w:r>
    </w:p>
    <w:p>
      <w:pPr>
        <w:ind w:left="1640" w:hanging="1209"/>
        <w:spacing w:after="0"/>
        <w:tabs>
          <w:tab w:leader="none" w:pos="1640" w:val="left"/>
        </w:tabs>
        <w:numPr>
          <w:ilvl w:val="1"/>
          <w:numId w:val="40"/>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64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b w:val="1"/>
          <w:bCs w:val="1"/>
          <w:color w:val="auto"/>
        </w:rPr>
      </w:pPr>
    </w:p>
    <w:p>
      <w:pPr>
        <w:ind w:left="1640" w:hanging="1209"/>
        <w:spacing w:after="0"/>
        <w:tabs>
          <w:tab w:leader="none" w:pos="1640" w:val="left"/>
        </w:tabs>
        <w:numPr>
          <w:ilvl w:val="1"/>
          <w:numId w:val="4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7" w:lineRule="exact"/>
        <w:rPr>
          <w:rFonts w:ascii="Arial" w:cs="Arial" w:eastAsia="Arial" w:hAnsi="Arial"/>
          <w:sz w:val="18"/>
          <w:szCs w:val="18"/>
          <w:b w:val="1"/>
          <w:bCs w:val="1"/>
          <w:color w:val="auto"/>
        </w:rPr>
      </w:pPr>
    </w:p>
    <w:p>
      <w:pPr>
        <w:ind w:left="1640"/>
        <w:spacing w:after="0" w:line="195" w:lineRule="auto"/>
        <w:rPr>
          <w:rFonts w:ascii="Arial" w:cs="Arial" w:eastAsia="Arial" w:hAnsi="Arial"/>
          <w:sz w:val="18"/>
          <w:szCs w:val="18"/>
          <w:b w:val="1"/>
          <w:bCs w:val="1"/>
          <w:color w:val="auto"/>
        </w:rPr>
      </w:pPr>
      <w:r>
        <w:rPr>
          <w:rFonts w:ascii="Arial" w:cs="Arial" w:eastAsia="Arial" w:hAnsi="Arial"/>
          <w:sz w:val="18"/>
          <w:szCs w:val="18"/>
          <w:color w:val="auto"/>
        </w:rPr>
        <w:t>1.1%</w:t>
      </w:r>
      <w:r>
        <w:rPr>
          <w:rFonts w:ascii="Arial" w:cs="Arial" w:eastAsia="Arial" w:hAnsi="Arial"/>
          <w:sz w:val="29"/>
          <w:szCs w:val="29"/>
          <w:color w:val="auto"/>
          <w:vertAlign w:val="superscript"/>
        </w:rPr>
        <w:t>2</w:t>
      </w:r>
    </w:p>
    <w:p>
      <w:pPr>
        <w:ind w:left="1640" w:right="5220" w:hanging="1209"/>
        <w:spacing w:after="0" w:line="258" w:lineRule="auto"/>
        <w:tabs>
          <w:tab w:leader="none" w:pos="1640" w:val="left"/>
        </w:tabs>
        <w:numPr>
          <w:ilvl w:val="1"/>
          <w:numId w:val="40"/>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27" w:lineRule="exact"/>
        <w:rPr>
          <w:rFonts w:ascii="Arial" w:cs="Arial" w:eastAsia="Arial" w:hAnsi="Arial"/>
          <w:sz w:val="18"/>
          <w:szCs w:val="18"/>
          <w:b w:val="1"/>
          <w:bCs w:val="1"/>
          <w:color w:val="auto"/>
        </w:rPr>
      </w:pPr>
    </w:p>
    <w:p>
      <w:pPr>
        <w:ind w:left="380" w:hanging="324"/>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 As described in Item 5 below, Atlas Venture Fund XII, L.P., a Delaware limited partnership (“Atlas XII”), Atlas Venture Associates XII, L.P., a Delaware limited partnership (“AVA XII LP”) and Atlas Venture Associates XII, LLC, a Delaware limited liability company (“AVA XII LLC” and together with Atlas XII and AVA XII LP, the “Fund XII Reporting Persons”) beneficially own the 510,000 shares of the Issuer’s Common Stock that are directly held by Atlas XII. AVA XII LP is the general partner of Atlas XII and AVA XII LLC is the general partner of AVA XII LP. Each of AVA XII LP and AVA XII LLC has voting and dispositive power over the shares held by Atlas XII. As such, each of the Fund XII Reporting Persons share voting and dispositive power with respect to the shares held by Atlas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-991235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-1273810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-1582420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-1865630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9" w:lineRule="exact"/>
        <w:rPr>
          <w:sz w:val="20"/>
          <w:szCs w:val="20"/>
          <w:color w:val="auto"/>
        </w:rPr>
      </w:pPr>
    </w:p>
    <w:p>
      <w:pPr>
        <w:ind w:left="380" w:hanging="318"/>
        <w:spacing w:after="0" w:line="308" w:lineRule="auto"/>
        <w:tabs>
          <w:tab w:leader="none" w:pos="3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This percentage is calculated based upon 45,301,990 shares of Common Stock outstanding immediately after the Closing (as defined below), as reported in the Issuer’s Current Report on Form 8-K filed with the Securities and Exchange Commission on February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6" w:name="page7"/>
    <w:bookmarkEnd w:id="6"/>
    <w:p>
      <w:pPr>
        <w:ind w:left="60"/>
        <w:spacing w:after="0"/>
        <w:tabs>
          <w:tab w:leader="none" w:pos="1026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5"/>
          <w:szCs w:val="15"/>
          <w:color w:val="auto"/>
        </w:rPr>
        <w:t>Page 7 of 19</w:t>
      </w:r>
    </w:p>
    <w:p>
      <w:pPr>
        <w:spacing w:after="0" w:line="252" w:lineRule="exact"/>
        <w:rPr>
          <w:sz w:val="20"/>
          <w:szCs w:val="20"/>
          <w:color w:val="auto"/>
        </w:rPr>
      </w:pPr>
    </w:p>
    <w:p>
      <w:pPr>
        <w:ind w:left="1600" w:right="6360" w:hanging="1144"/>
        <w:spacing w:after="0" w:line="274" w:lineRule="auto"/>
        <w:tabs>
          <w:tab w:leader="none" w:pos="1600" w:val="left"/>
        </w:tabs>
        <w:numPr>
          <w:ilvl w:val="0"/>
          <w:numId w:val="42"/>
        </w:numPr>
        <w:rPr>
          <w:rFonts w:ascii="Arial" w:cs="Arial" w:eastAsia="Arial" w:hAnsi="Arial"/>
          <w:sz w:val="17"/>
          <w:szCs w:val="17"/>
          <w:b w:val="1"/>
          <w:bCs w:val="1"/>
          <w:color w:val="auto"/>
        </w:rPr>
      </w:pPr>
      <w:r>
        <w:rPr>
          <w:rFonts w:ascii="Arial" w:cs="Arial" w:eastAsia="Arial" w:hAnsi="Arial"/>
          <w:sz w:val="17"/>
          <w:szCs w:val="17"/>
          <w:color w:val="auto"/>
        </w:rPr>
        <w:t>NAMES OF REPORTING PERSONS: ATLAS VENTURE ASSOCIATES XII,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00" w:hanging="1144"/>
        <w:spacing w:after="0"/>
        <w:tabs>
          <w:tab w:leader="none" w:pos="160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b w:val="1"/>
          <w:bCs w:val="1"/>
          <w:color w:val="auto"/>
        </w:rPr>
      </w:pPr>
    </w:p>
    <w:p>
      <w:pPr>
        <w:ind w:left="160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 w:lineRule="exact"/>
        <w:rPr>
          <w:sz w:val="20"/>
          <w:szCs w:val="20"/>
          <w:color w:val="auto"/>
        </w:rPr>
      </w:pPr>
    </w:p>
    <w:p>
      <w:pPr>
        <w:ind w:left="1600" w:hanging="1144"/>
        <w:spacing w:after="0"/>
        <w:tabs>
          <w:tab w:leader="none" w:pos="160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00" w:right="6140" w:hanging="1144"/>
        <w:spacing w:after="0" w:line="258" w:lineRule="auto"/>
        <w:tabs>
          <w:tab w:leader="none" w:pos="160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600" w:hanging="1144"/>
        <w:spacing w:after="0"/>
        <w:tabs>
          <w:tab w:leader="none" w:pos="160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7" w:lineRule="exact"/>
        <w:rPr>
          <w:rFonts w:ascii="Arial" w:cs="Arial" w:eastAsia="Arial" w:hAnsi="Arial"/>
          <w:sz w:val="18"/>
          <w:szCs w:val="18"/>
          <w:b w:val="1"/>
          <w:bCs w:val="1"/>
          <w:color w:val="auto"/>
        </w:rPr>
      </w:pPr>
    </w:p>
    <w:p>
      <w:pPr>
        <w:ind w:left="16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 w:lineRule="exact"/>
        <w:rPr>
          <w:sz w:val="20"/>
          <w:szCs w:val="20"/>
          <w:color w:val="auto"/>
        </w:rPr>
      </w:pPr>
    </w:p>
    <w:p>
      <w:pPr>
        <w:ind w:left="1600" w:right="5920" w:hanging="1144"/>
        <w:spacing w:after="0" w:line="258" w:lineRule="auto"/>
        <w:tabs>
          <w:tab w:leader="none" w:pos="160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0"/>
        </w:trPr>
        <w:tc>
          <w:tcPr>
            <w:tcW w:w="15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NUMBER</w:t>
            </w:r>
          </w:p>
        </w:tc>
        <w:tc>
          <w:tcPr>
            <w:tcW w:w="1340" w:type="dxa"/>
            <w:vAlign w:val="bottom"/>
            <w:tcBorders>
              <w:top w:val="single" w:sz="8" w:color="auto"/>
            </w:tcBorders>
          </w:tcPr>
          <w:p>
            <w:pPr>
              <w:jc w:val="center"/>
              <w:ind w:left="270"/>
              <w:spacing w:after="0" w:line="181" w:lineRule="exact"/>
              <w:rPr>
                <w:sz w:val="20"/>
                <w:szCs w:val="20"/>
                <w:color w:val="auto"/>
              </w:rPr>
            </w:pPr>
            <w:r>
              <w:rPr>
                <w:rFonts w:ascii="Arial" w:cs="Arial" w:eastAsia="Arial" w:hAnsi="Arial"/>
                <w:sz w:val="18"/>
                <w:szCs w:val="18"/>
                <w:b w:val="1"/>
                <w:bCs w:val="1"/>
                <w:color w:val="auto"/>
                <w:w w:val="99"/>
              </w:rPr>
              <w:t>7</w:t>
            </w:r>
          </w:p>
        </w:tc>
        <w:tc>
          <w:tcPr>
            <w:tcW w:w="8360" w:type="dxa"/>
            <w:vAlign w:val="bottom"/>
            <w:tcBorders>
              <w:top w:val="single" w:sz="8" w:color="auto"/>
            </w:tcBorders>
          </w:tcPr>
          <w:p>
            <w:pPr>
              <w:ind w:left="420"/>
              <w:spacing w:after="0" w:line="181"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76"/>
        </w:trPr>
        <w:tc>
          <w:tcPr>
            <w:tcW w:w="154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8360" w:type="dxa"/>
            <w:vAlign w:val="bottom"/>
          </w:tcPr>
          <w:p>
            <w:pPr>
              <w:ind w:left="420"/>
              <w:spacing w:after="0" w:line="176"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2"/>
              </w:rPr>
              <w:t>OF SHARES</w:t>
            </w:r>
          </w:p>
        </w:tc>
        <w:tc>
          <w:tcPr>
            <w:tcW w:w="1340" w:type="dxa"/>
            <w:vAlign w:val="bottom"/>
            <w:tcBorders>
              <w:bottom w:val="single" w:sz="8" w:color="auto"/>
            </w:tcBorders>
          </w:tcPr>
          <w:p>
            <w:pPr>
              <w:spacing w:after="0"/>
              <w:rPr>
                <w:sz w:val="4"/>
                <w:szCs w:val="4"/>
                <w:color w:val="auto"/>
              </w:rPr>
            </w:pPr>
          </w:p>
        </w:tc>
        <w:tc>
          <w:tcPr>
            <w:tcW w:w="8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540" w:type="dxa"/>
            <w:vAlign w:val="bottom"/>
            <w:vMerge w:val="continue"/>
          </w:tcPr>
          <w:p>
            <w:pPr>
              <w:spacing w:after="0"/>
              <w:rPr>
                <w:sz w:val="11"/>
                <w:szCs w:val="11"/>
                <w:color w:val="auto"/>
              </w:rPr>
            </w:pPr>
          </w:p>
        </w:tc>
        <w:tc>
          <w:tcPr>
            <w:tcW w:w="1340" w:type="dxa"/>
            <w:vAlign w:val="bottom"/>
            <w:vMerge w:val="restart"/>
          </w:tcPr>
          <w:p>
            <w:pPr>
              <w:jc w:val="center"/>
              <w:ind w:left="270"/>
              <w:spacing w:after="0" w:line="199" w:lineRule="exact"/>
              <w:rPr>
                <w:sz w:val="20"/>
                <w:szCs w:val="20"/>
                <w:color w:val="auto"/>
              </w:rPr>
            </w:pPr>
            <w:r>
              <w:rPr>
                <w:rFonts w:ascii="Arial" w:cs="Arial" w:eastAsia="Arial" w:hAnsi="Arial"/>
                <w:sz w:val="18"/>
                <w:szCs w:val="18"/>
                <w:b w:val="1"/>
                <w:bCs w:val="1"/>
                <w:color w:val="auto"/>
                <w:w w:val="99"/>
              </w:rPr>
              <w:t>8</w:t>
            </w:r>
          </w:p>
        </w:tc>
        <w:tc>
          <w:tcPr>
            <w:tcW w:w="8360" w:type="dxa"/>
            <w:vAlign w:val="bottom"/>
            <w:vMerge w:val="restart"/>
          </w:tcPr>
          <w:p>
            <w:pPr>
              <w:ind w:left="420"/>
              <w:spacing w:after="0" w:line="199"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71"/>
        </w:trPr>
        <w:tc>
          <w:tcPr>
            <w:tcW w:w="154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1340" w:type="dxa"/>
            <w:vAlign w:val="bottom"/>
            <w:vMerge w:val="continue"/>
          </w:tcPr>
          <w:p>
            <w:pPr>
              <w:spacing w:after="0"/>
              <w:rPr>
                <w:sz w:val="6"/>
                <w:szCs w:val="6"/>
                <w:color w:val="auto"/>
              </w:rPr>
            </w:pPr>
          </w:p>
        </w:tc>
        <w:tc>
          <w:tcPr>
            <w:tcW w:w="8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54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8360" w:type="dxa"/>
            <w:vAlign w:val="bottom"/>
            <w:vMerge w:val="restart"/>
          </w:tcPr>
          <w:p>
            <w:pPr>
              <w:ind w:left="420"/>
              <w:spacing w:after="0" w:line="267" w:lineRule="exact"/>
              <w:rPr>
                <w:sz w:val="20"/>
                <w:szCs w:val="20"/>
                <w:color w:val="auto"/>
              </w:rPr>
            </w:pPr>
            <w:r>
              <w:rPr>
                <w:rFonts w:ascii="Arial" w:cs="Arial" w:eastAsia="Arial" w:hAnsi="Arial"/>
                <w:sz w:val="18"/>
                <w:szCs w:val="18"/>
                <w:color w:val="auto"/>
              </w:rPr>
              <w:t>510,000</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22"/>
        </w:trPr>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8"/>
              </w:rPr>
              <w:t>OWNED</w:t>
            </w:r>
          </w:p>
        </w:tc>
        <w:tc>
          <w:tcPr>
            <w:tcW w:w="1340" w:type="dxa"/>
            <w:vAlign w:val="bottom"/>
            <w:tcBorders>
              <w:bottom w:val="single" w:sz="8" w:color="auto"/>
            </w:tcBorders>
          </w:tcPr>
          <w:p>
            <w:pPr>
              <w:spacing w:after="0"/>
              <w:rPr>
                <w:sz w:val="10"/>
                <w:szCs w:val="10"/>
                <w:color w:val="auto"/>
              </w:rPr>
            </w:pPr>
          </w:p>
        </w:tc>
        <w:tc>
          <w:tcPr>
            <w:tcW w:w="83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540" w:type="dxa"/>
            <w:vAlign w:val="bottom"/>
            <w:vMerge w:val="continue"/>
          </w:tcPr>
          <w:p>
            <w:pPr>
              <w:spacing w:after="0"/>
              <w:rPr>
                <w:sz w:val="6"/>
                <w:szCs w:val="6"/>
                <w:color w:val="auto"/>
              </w:rPr>
            </w:pPr>
          </w:p>
        </w:tc>
        <w:tc>
          <w:tcPr>
            <w:tcW w:w="1340" w:type="dxa"/>
            <w:vAlign w:val="bottom"/>
            <w:vMerge w:val="restart"/>
          </w:tcPr>
          <w:p>
            <w:pPr>
              <w:jc w:val="center"/>
              <w:ind w:left="270"/>
              <w:spacing w:after="0" w:line="195" w:lineRule="exact"/>
              <w:rPr>
                <w:sz w:val="20"/>
                <w:szCs w:val="20"/>
                <w:color w:val="auto"/>
              </w:rPr>
            </w:pPr>
            <w:r>
              <w:rPr>
                <w:rFonts w:ascii="Arial" w:cs="Arial" w:eastAsia="Arial" w:hAnsi="Arial"/>
                <w:sz w:val="18"/>
                <w:szCs w:val="18"/>
                <w:b w:val="1"/>
                <w:bCs w:val="1"/>
                <w:color w:val="auto"/>
                <w:w w:val="99"/>
              </w:rPr>
              <w:t>9</w:t>
            </w:r>
          </w:p>
        </w:tc>
        <w:tc>
          <w:tcPr>
            <w:tcW w:w="8360" w:type="dxa"/>
            <w:vAlign w:val="bottom"/>
            <w:vMerge w:val="restart"/>
          </w:tcPr>
          <w:p>
            <w:pPr>
              <w:ind w:left="42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1340" w:type="dxa"/>
            <w:vAlign w:val="bottom"/>
            <w:vMerge w:val="continue"/>
          </w:tcPr>
          <w:p>
            <w:pPr>
              <w:spacing w:after="0"/>
              <w:rPr>
                <w:sz w:val="10"/>
                <w:szCs w:val="10"/>
                <w:color w:val="auto"/>
              </w:rPr>
            </w:pPr>
          </w:p>
        </w:tc>
        <w:tc>
          <w:tcPr>
            <w:tcW w:w="8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5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836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340" w:type="dxa"/>
            <w:vAlign w:val="bottom"/>
            <w:tcBorders>
              <w:bottom w:val="single" w:sz="8" w:color="auto"/>
            </w:tcBorders>
          </w:tcPr>
          <w:p>
            <w:pPr>
              <w:spacing w:after="0"/>
              <w:rPr>
                <w:sz w:val="11"/>
                <w:szCs w:val="11"/>
                <w:color w:val="auto"/>
              </w:rPr>
            </w:pPr>
          </w:p>
        </w:tc>
        <w:tc>
          <w:tcPr>
            <w:tcW w:w="83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540" w:type="dxa"/>
            <w:vAlign w:val="bottom"/>
            <w:vMerge w:val="continue"/>
          </w:tcPr>
          <w:p>
            <w:pPr>
              <w:spacing w:after="0"/>
              <w:rPr>
                <w:sz w:val="5"/>
                <w:szCs w:val="5"/>
                <w:color w:val="auto"/>
              </w:rPr>
            </w:pPr>
          </w:p>
        </w:tc>
        <w:tc>
          <w:tcPr>
            <w:tcW w:w="1340" w:type="dxa"/>
            <w:vAlign w:val="bottom"/>
            <w:vMerge w:val="restart"/>
          </w:tcPr>
          <w:p>
            <w:pPr>
              <w:jc w:val="center"/>
              <w:ind w:left="270"/>
              <w:spacing w:after="0" w:line="199" w:lineRule="exact"/>
              <w:rPr>
                <w:sz w:val="20"/>
                <w:szCs w:val="20"/>
                <w:color w:val="auto"/>
              </w:rPr>
            </w:pPr>
            <w:r>
              <w:rPr>
                <w:rFonts w:ascii="Arial" w:cs="Arial" w:eastAsia="Arial" w:hAnsi="Arial"/>
                <w:sz w:val="18"/>
                <w:szCs w:val="18"/>
                <w:b w:val="1"/>
                <w:bCs w:val="1"/>
                <w:color w:val="auto"/>
                <w:w w:val="89"/>
              </w:rPr>
              <w:t>10</w:t>
            </w:r>
          </w:p>
        </w:tc>
        <w:tc>
          <w:tcPr>
            <w:tcW w:w="8360" w:type="dxa"/>
            <w:vAlign w:val="bottom"/>
            <w:vMerge w:val="restart"/>
          </w:tcPr>
          <w:p>
            <w:pPr>
              <w:ind w:left="420"/>
              <w:spacing w:after="0" w:line="199"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9"/>
        </w:trPr>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340" w:type="dxa"/>
            <w:vAlign w:val="bottom"/>
            <w:vMerge w:val="continue"/>
          </w:tcPr>
          <w:p>
            <w:pPr>
              <w:spacing w:after="0"/>
              <w:rPr>
                <w:sz w:val="12"/>
                <w:szCs w:val="12"/>
                <w:color w:val="auto"/>
              </w:rPr>
            </w:pPr>
          </w:p>
        </w:tc>
        <w:tc>
          <w:tcPr>
            <w:tcW w:w="8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54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8360" w:type="dxa"/>
            <w:vAlign w:val="bottom"/>
            <w:vMerge w:val="restart"/>
          </w:tcPr>
          <w:p>
            <w:pPr>
              <w:ind w:left="420"/>
              <w:spacing w:after="0" w:line="283" w:lineRule="exact"/>
              <w:rPr>
                <w:sz w:val="20"/>
                <w:szCs w:val="20"/>
                <w:color w:val="auto"/>
              </w:rPr>
            </w:pPr>
            <w:r>
              <w:rPr>
                <w:rFonts w:ascii="Arial" w:cs="Arial" w:eastAsia="Arial" w:hAnsi="Arial"/>
                <w:sz w:val="18"/>
                <w:szCs w:val="18"/>
                <w:color w:val="auto"/>
              </w:rPr>
              <w:t>510,000</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91"/>
        </w:trPr>
        <w:tc>
          <w:tcPr>
            <w:tcW w:w="1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00" w:hanging="1184"/>
        <w:spacing w:after="0"/>
        <w:tabs>
          <w:tab w:leader="none" w:pos="1600" w:val="left"/>
        </w:tabs>
        <w:numPr>
          <w:ilvl w:val="1"/>
          <w:numId w:val="4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600"/>
        <w:spacing w:after="0" w:line="195" w:lineRule="auto"/>
        <w:rPr>
          <w:rFonts w:ascii="Arial" w:cs="Arial" w:eastAsia="Arial" w:hAnsi="Arial"/>
          <w:sz w:val="18"/>
          <w:szCs w:val="18"/>
          <w:b w:val="1"/>
          <w:bCs w:val="1"/>
          <w:color w:val="auto"/>
        </w:rPr>
      </w:pPr>
      <w:r>
        <w:rPr>
          <w:rFonts w:ascii="Arial" w:cs="Arial" w:eastAsia="Arial" w:hAnsi="Arial"/>
          <w:sz w:val="18"/>
          <w:szCs w:val="18"/>
          <w:color w:val="auto"/>
        </w:rPr>
        <w:t>510,000</w:t>
      </w:r>
      <w:r>
        <w:rPr>
          <w:rFonts w:ascii="Arial" w:cs="Arial" w:eastAsia="Arial" w:hAnsi="Arial"/>
          <w:sz w:val="29"/>
          <w:szCs w:val="29"/>
          <w:color w:val="auto"/>
          <w:vertAlign w:val="superscript"/>
        </w:rPr>
        <w:t>1</w:t>
      </w:r>
    </w:p>
    <w:p>
      <w:pPr>
        <w:ind w:left="1600" w:hanging="1189"/>
        <w:spacing w:after="0"/>
        <w:tabs>
          <w:tab w:leader="none" w:pos="1600" w:val="left"/>
        </w:tabs>
        <w:numPr>
          <w:ilvl w:val="1"/>
          <w:numId w:val="48"/>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6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b w:val="1"/>
          <w:bCs w:val="1"/>
          <w:color w:val="auto"/>
        </w:rPr>
      </w:pPr>
    </w:p>
    <w:p>
      <w:pPr>
        <w:ind w:left="1600" w:hanging="1189"/>
        <w:spacing w:after="0"/>
        <w:tabs>
          <w:tab w:leader="none" w:pos="1600" w:val="left"/>
        </w:tabs>
        <w:numPr>
          <w:ilvl w:val="1"/>
          <w:numId w:val="4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7" w:lineRule="exact"/>
        <w:rPr>
          <w:rFonts w:ascii="Arial" w:cs="Arial" w:eastAsia="Arial" w:hAnsi="Arial"/>
          <w:sz w:val="18"/>
          <w:szCs w:val="18"/>
          <w:b w:val="1"/>
          <w:bCs w:val="1"/>
          <w:color w:val="auto"/>
        </w:rPr>
      </w:pPr>
    </w:p>
    <w:p>
      <w:pPr>
        <w:ind w:left="1600"/>
        <w:spacing w:after="0" w:line="195" w:lineRule="auto"/>
        <w:rPr>
          <w:rFonts w:ascii="Arial" w:cs="Arial" w:eastAsia="Arial" w:hAnsi="Arial"/>
          <w:sz w:val="18"/>
          <w:szCs w:val="18"/>
          <w:b w:val="1"/>
          <w:bCs w:val="1"/>
          <w:color w:val="auto"/>
        </w:rPr>
      </w:pPr>
      <w:r>
        <w:rPr>
          <w:rFonts w:ascii="Arial" w:cs="Arial" w:eastAsia="Arial" w:hAnsi="Arial"/>
          <w:sz w:val="18"/>
          <w:szCs w:val="18"/>
          <w:color w:val="auto"/>
        </w:rPr>
        <w:t>1.1%</w:t>
      </w:r>
      <w:r>
        <w:rPr>
          <w:rFonts w:ascii="Arial" w:cs="Arial" w:eastAsia="Arial" w:hAnsi="Arial"/>
          <w:sz w:val="29"/>
          <w:szCs w:val="29"/>
          <w:color w:val="auto"/>
          <w:vertAlign w:val="superscript"/>
        </w:rPr>
        <w:t>2</w:t>
      </w:r>
    </w:p>
    <w:p>
      <w:pPr>
        <w:ind w:left="1600" w:right="5260" w:hanging="1189"/>
        <w:spacing w:after="0" w:line="258" w:lineRule="auto"/>
        <w:tabs>
          <w:tab w:leader="none" w:pos="1600" w:val="left"/>
        </w:tabs>
        <w:numPr>
          <w:ilvl w:val="1"/>
          <w:numId w:val="4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OO</w:t>
      </w:r>
    </w:p>
    <w:p>
      <w:pPr>
        <w:spacing w:after="0" w:line="227" w:lineRule="exact"/>
        <w:rPr>
          <w:rFonts w:ascii="Arial" w:cs="Arial" w:eastAsia="Arial" w:hAnsi="Arial"/>
          <w:sz w:val="18"/>
          <w:szCs w:val="18"/>
          <w:b w:val="1"/>
          <w:bCs w:val="1"/>
          <w:color w:val="auto"/>
        </w:rPr>
      </w:pPr>
    </w:p>
    <w:p>
      <w:pPr>
        <w:ind w:left="380" w:hanging="324"/>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 As described in Item 5 below, Atlas Venture Fund XII, L.P., a Delaware limited partnership (“Atlas XII”), Atlas Venture Associates XII, L.P., a Delaware limited partnership (“AVA XII LP”) and Atlas Venture Associates XII, LLC, a Delaware limited liability company (“AVA XII LLC” and together with Atlas XII and AVA XII LP, the “Fund XII Reporting Persons”) beneficially own the 510,000 shares of the Issuer’s Common Stock that are directly held by Atlas XII. AVA XII LP is the general partner of Atlas XII and AVA XII LLC is the general partner of AVA XII LP. Each of AVA XII LP and AVA XII LLC has voting and dispositive power over the shares held by Atlas XII. As such, each of the Fund XII Reporting Persons share voting and dispositive power with respect to the shares held by Atlas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-991235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-1273810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-1582420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-1865630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9" w:lineRule="exact"/>
        <w:rPr>
          <w:sz w:val="20"/>
          <w:szCs w:val="20"/>
          <w:color w:val="auto"/>
        </w:rPr>
      </w:pPr>
    </w:p>
    <w:p>
      <w:pPr>
        <w:ind w:left="380" w:hanging="318"/>
        <w:spacing w:after="0" w:line="308" w:lineRule="auto"/>
        <w:tabs>
          <w:tab w:leader="none" w:pos="3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This percentage is calculated based upon 45,301,990 shares of Common Stock outstanding immediately after the Closing (as defined below), as reported in the Issuer’s Current Report on Form 8-K filed with the Securities and Exchange Commission on February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7" w:name="page8"/>
    <w:bookmarkEnd w:id="7"/>
    <w:p>
      <w:pPr>
        <w:ind w:left="60"/>
        <w:spacing w:after="0"/>
        <w:tabs>
          <w:tab w:leader="none" w:pos="1026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5"/>
          <w:szCs w:val="15"/>
          <w:color w:val="auto"/>
        </w:rPr>
        <w:t>Page 8 of 19</w:t>
      </w:r>
    </w:p>
    <w:p>
      <w:pPr>
        <w:spacing w:after="0" w:line="252" w:lineRule="exact"/>
        <w:rPr>
          <w:sz w:val="20"/>
          <w:szCs w:val="20"/>
          <w:color w:val="auto"/>
        </w:rPr>
      </w:pPr>
    </w:p>
    <w:p>
      <w:pPr>
        <w:ind w:left="1600" w:hanging="1144"/>
        <w:spacing w:after="0"/>
        <w:tabs>
          <w:tab w:leader="none" w:pos="160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600"/>
        <w:spacing w:after="0"/>
        <w:rPr>
          <w:rFonts w:ascii="Arial" w:cs="Arial" w:eastAsia="Arial" w:hAnsi="Arial"/>
          <w:sz w:val="18"/>
          <w:szCs w:val="18"/>
          <w:b w:val="1"/>
          <w:bCs w:val="1"/>
          <w:color w:val="auto"/>
        </w:rPr>
      </w:pPr>
      <w:r>
        <w:rPr>
          <w:rFonts w:ascii="Arial" w:cs="Arial" w:eastAsia="Arial" w:hAnsi="Arial"/>
          <w:sz w:val="18"/>
          <w:szCs w:val="18"/>
          <w:color w:val="auto"/>
        </w:rPr>
        <w:t>ATLAS VENTURE OPPORTUNITY FUND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00" w:hanging="1144"/>
        <w:spacing w:after="0"/>
        <w:tabs>
          <w:tab w:leader="none" w:pos="160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b w:val="1"/>
          <w:bCs w:val="1"/>
          <w:color w:val="auto"/>
        </w:rPr>
      </w:pPr>
    </w:p>
    <w:p>
      <w:pPr>
        <w:ind w:left="160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 w:lineRule="exact"/>
        <w:rPr>
          <w:sz w:val="20"/>
          <w:szCs w:val="20"/>
          <w:color w:val="auto"/>
        </w:rPr>
      </w:pPr>
    </w:p>
    <w:p>
      <w:pPr>
        <w:ind w:left="1600" w:hanging="1144"/>
        <w:spacing w:after="0"/>
        <w:tabs>
          <w:tab w:leader="none" w:pos="160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00" w:right="6140" w:hanging="1144"/>
        <w:spacing w:after="0" w:line="258" w:lineRule="auto"/>
        <w:tabs>
          <w:tab w:leader="none" w:pos="160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600" w:hanging="1144"/>
        <w:spacing w:after="0"/>
        <w:tabs>
          <w:tab w:leader="none" w:pos="160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7" w:lineRule="exact"/>
        <w:rPr>
          <w:rFonts w:ascii="Arial" w:cs="Arial" w:eastAsia="Arial" w:hAnsi="Arial"/>
          <w:sz w:val="18"/>
          <w:szCs w:val="18"/>
          <w:b w:val="1"/>
          <w:bCs w:val="1"/>
          <w:color w:val="auto"/>
        </w:rPr>
      </w:pPr>
    </w:p>
    <w:p>
      <w:pPr>
        <w:ind w:left="16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 w:lineRule="exact"/>
        <w:rPr>
          <w:sz w:val="20"/>
          <w:szCs w:val="20"/>
          <w:color w:val="auto"/>
        </w:rPr>
      </w:pPr>
    </w:p>
    <w:p>
      <w:pPr>
        <w:ind w:left="1600" w:right="5920" w:hanging="1144"/>
        <w:spacing w:after="0" w:line="258" w:lineRule="auto"/>
        <w:tabs>
          <w:tab w:leader="none" w:pos="160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0"/>
        </w:trPr>
        <w:tc>
          <w:tcPr>
            <w:tcW w:w="15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NUMBER</w:t>
            </w:r>
          </w:p>
        </w:tc>
        <w:tc>
          <w:tcPr>
            <w:tcW w:w="1340" w:type="dxa"/>
            <w:vAlign w:val="bottom"/>
            <w:tcBorders>
              <w:top w:val="single" w:sz="8" w:color="auto"/>
            </w:tcBorders>
          </w:tcPr>
          <w:p>
            <w:pPr>
              <w:jc w:val="center"/>
              <w:ind w:left="270"/>
              <w:spacing w:after="0" w:line="181" w:lineRule="exact"/>
              <w:rPr>
                <w:sz w:val="20"/>
                <w:szCs w:val="20"/>
                <w:color w:val="auto"/>
              </w:rPr>
            </w:pPr>
            <w:r>
              <w:rPr>
                <w:rFonts w:ascii="Arial" w:cs="Arial" w:eastAsia="Arial" w:hAnsi="Arial"/>
                <w:sz w:val="18"/>
                <w:szCs w:val="18"/>
                <w:b w:val="1"/>
                <w:bCs w:val="1"/>
                <w:color w:val="auto"/>
                <w:w w:val="99"/>
              </w:rPr>
              <w:t>7</w:t>
            </w:r>
          </w:p>
        </w:tc>
        <w:tc>
          <w:tcPr>
            <w:tcW w:w="8360" w:type="dxa"/>
            <w:vAlign w:val="bottom"/>
            <w:tcBorders>
              <w:top w:val="single" w:sz="8" w:color="auto"/>
            </w:tcBorders>
          </w:tcPr>
          <w:p>
            <w:pPr>
              <w:ind w:left="420"/>
              <w:spacing w:after="0" w:line="181"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76"/>
        </w:trPr>
        <w:tc>
          <w:tcPr>
            <w:tcW w:w="154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8360" w:type="dxa"/>
            <w:vAlign w:val="bottom"/>
          </w:tcPr>
          <w:p>
            <w:pPr>
              <w:ind w:left="420"/>
              <w:spacing w:after="0" w:line="176"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2"/>
              </w:rPr>
              <w:t>OF SHARES</w:t>
            </w:r>
          </w:p>
        </w:tc>
        <w:tc>
          <w:tcPr>
            <w:tcW w:w="1340" w:type="dxa"/>
            <w:vAlign w:val="bottom"/>
            <w:tcBorders>
              <w:bottom w:val="single" w:sz="8" w:color="auto"/>
            </w:tcBorders>
          </w:tcPr>
          <w:p>
            <w:pPr>
              <w:spacing w:after="0"/>
              <w:rPr>
                <w:sz w:val="4"/>
                <w:szCs w:val="4"/>
                <w:color w:val="auto"/>
              </w:rPr>
            </w:pPr>
          </w:p>
        </w:tc>
        <w:tc>
          <w:tcPr>
            <w:tcW w:w="8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540" w:type="dxa"/>
            <w:vAlign w:val="bottom"/>
            <w:vMerge w:val="continue"/>
          </w:tcPr>
          <w:p>
            <w:pPr>
              <w:spacing w:after="0"/>
              <w:rPr>
                <w:sz w:val="11"/>
                <w:szCs w:val="11"/>
                <w:color w:val="auto"/>
              </w:rPr>
            </w:pPr>
          </w:p>
        </w:tc>
        <w:tc>
          <w:tcPr>
            <w:tcW w:w="1340" w:type="dxa"/>
            <w:vAlign w:val="bottom"/>
            <w:vMerge w:val="restart"/>
          </w:tcPr>
          <w:p>
            <w:pPr>
              <w:jc w:val="center"/>
              <w:ind w:left="270"/>
              <w:spacing w:after="0" w:line="199" w:lineRule="exact"/>
              <w:rPr>
                <w:sz w:val="20"/>
                <w:szCs w:val="20"/>
                <w:color w:val="auto"/>
              </w:rPr>
            </w:pPr>
            <w:r>
              <w:rPr>
                <w:rFonts w:ascii="Arial" w:cs="Arial" w:eastAsia="Arial" w:hAnsi="Arial"/>
                <w:sz w:val="18"/>
                <w:szCs w:val="18"/>
                <w:b w:val="1"/>
                <w:bCs w:val="1"/>
                <w:color w:val="auto"/>
                <w:w w:val="99"/>
              </w:rPr>
              <w:t>8</w:t>
            </w:r>
          </w:p>
        </w:tc>
        <w:tc>
          <w:tcPr>
            <w:tcW w:w="8360" w:type="dxa"/>
            <w:vAlign w:val="bottom"/>
            <w:vMerge w:val="restart"/>
          </w:tcPr>
          <w:p>
            <w:pPr>
              <w:ind w:left="420"/>
              <w:spacing w:after="0" w:line="199"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71"/>
        </w:trPr>
        <w:tc>
          <w:tcPr>
            <w:tcW w:w="154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1340" w:type="dxa"/>
            <w:vAlign w:val="bottom"/>
            <w:vMerge w:val="continue"/>
          </w:tcPr>
          <w:p>
            <w:pPr>
              <w:spacing w:after="0"/>
              <w:rPr>
                <w:sz w:val="6"/>
                <w:szCs w:val="6"/>
                <w:color w:val="auto"/>
              </w:rPr>
            </w:pPr>
          </w:p>
        </w:tc>
        <w:tc>
          <w:tcPr>
            <w:tcW w:w="8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54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8360" w:type="dxa"/>
            <w:vAlign w:val="bottom"/>
            <w:vMerge w:val="restart"/>
          </w:tcPr>
          <w:p>
            <w:pPr>
              <w:ind w:left="420"/>
              <w:spacing w:after="0" w:line="267" w:lineRule="exact"/>
              <w:rPr>
                <w:sz w:val="20"/>
                <w:szCs w:val="20"/>
                <w:color w:val="auto"/>
              </w:rPr>
            </w:pPr>
            <w:r>
              <w:rPr>
                <w:rFonts w:ascii="Arial" w:cs="Arial" w:eastAsia="Arial" w:hAnsi="Arial"/>
                <w:sz w:val="18"/>
                <w:szCs w:val="18"/>
                <w:color w:val="auto"/>
              </w:rPr>
              <w:t>729,320</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22"/>
        </w:trPr>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5"/>
              </w:rPr>
              <w:t>OWNED</w:t>
            </w:r>
          </w:p>
        </w:tc>
        <w:tc>
          <w:tcPr>
            <w:tcW w:w="1340" w:type="dxa"/>
            <w:vAlign w:val="bottom"/>
            <w:tcBorders>
              <w:bottom w:val="single" w:sz="8" w:color="auto"/>
            </w:tcBorders>
          </w:tcPr>
          <w:p>
            <w:pPr>
              <w:spacing w:after="0"/>
              <w:rPr>
                <w:sz w:val="10"/>
                <w:szCs w:val="10"/>
                <w:color w:val="auto"/>
              </w:rPr>
            </w:pPr>
          </w:p>
        </w:tc>
        <w:tc>
          <w:tcPr>
            <w:tcW w:w="83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540" w:type="dxa"/>
            <w:vAlign w:val="bottom"/>
            <w:vMerge w:val="continue"/>
          </w:tcPr>
          <w:p>
            <w:pPr>
              <w:spacing w:after="0"/>
              <w:rPr>
                <w:sz w:val="6"/>
                <w:szCs w:val="6"/>
                <w:color w:val="auto"/>
              </w:rPr>
            </w:pPr>
          </w:p>
        </w:tc>
        <w:tc>
          <w:tcPr>
            <w:tcW w:w="1340" w:type="dxa"/>
            <w:vAlign w:val="bottom"/>
            <w:vMerge w:val="restart"/>
          </w:tcPr>
          <w:p>
            <w:pPr>
              <w:jc w:val="center"/>
              <w:ind w:left="270"/>
              <w:spacing w:after="0" w:line="195" w:lineRule="exact"/>
              <w:rPr>
                <w:sz w:val="20"/>
                <w:szCs w:val="20"/>
                <w:color w:val="auto"/>
              </w:rPr>
            </w:pPr>
            <w:r>
              <w:rPr>
                <w:rFonts w:ascii="Arial" w:cs="Arial" w:eastAsia="Arial" w:hAnsi="Arial"/>
                <w:sz w:val="18"/>
                <w:szCs w:val="18"/>
                <w:b w:val="1"/>
                <w:bCs w:val="1"/>
                <w:color w:val="auto"/>
                <w:w w:val="99"/>
              </w:rPr>
              <w:t>9</w:t>
            </w:r>
          </w:p>
        </w:tc>
        <w:tc>
          <w:tcPr>
            <w:tcW w:w="8360" w:type="dxa"/>
            <w:vAlign w:val="bottom"/>
            <w:vMerge w:val="restart"/>
          </w:tcPr>
          <w:p>
            <w:pPr>
              <w:ind w:left="42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1340" w:type="dxa"/>
            <w:vAlign w:val="bottom"/>
            <w:vMerge w:val="continue"/>
          </w:tcPr>
          <w:p>
            <w:pPr>
              <w:spacing w:after="0"/>
              <w:rPr>
                <w:sz w:val="10"/>
                <w:szCs w:val="10"/>
                <w:color w:val="auto"/>
              </w:rPr>
            </w:pPr>
          </w:p>
        </w:tc>
        <w:tc>
          <w:tcPr>
            <w:tcW w:w="8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5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836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340" w:type="dxa"/>
            <w:vAlign w:val="bottom"/>
            <w:tcBorders>
              <w:bottom w:val="single" w:sz="8" w:color="auto"/>
            </w:tcBorders>
          </w:tcPr>
          <w:p>
            <w:pPr>
              <w:spacing w:after="0"/>
              <w:rPr>
                <w:sz w:val="11"/>
                <w:szCs w:val="11"/>
                <w:color w:val="auto"/>
              </w:rPr>
            </w:pPr>
          </w:p>
        </w:tc>
        <w:tc>
          <w:tcPr>
            <w:tcW w:w="83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540" w:type="dxa"/>
            <w:vAlign w:val="bottom"/>
            <w:vMerge w:val="continue"/>
          </w:tcPr>
          <w:p>
            <w:pPr>
              <w:spacing w:after="0"/>
              <w:rPr>
                <w:sz w:val="5"/>
                <w:szCs w:val="5"/>
                <w:color w:val="auto"/>
              </w:rPr>
            </w:pPr>
          </w:p>
        </w:tc>
        <w:tc>
          <w:tcPr>
            <w:tcW w:w="1340" w:type="dxa"/>
            <w:vAlign w:val="bottom"/>
            <w:vMerge w:val="restart"/>
          </w:tcPr>
          <w:p>
            <w:pPr>
              <w:jc w:val="center"/>
              <w:ind w:left="270"/>
              <w:spacing w:after="0" w:line="199" w:lineRule="exact"/>
              <w:rPr>
                <w:sz w:val="20"/>
                <w:szCs w:val="20"/>
                <w:color w:val="auto"/>
              </w:rPr>
            </w:pPr>
            <w:r>
              <w:rPr>
                <w:rFonts w:ascii="Arial" w:cs="Arial" w:eastAsia="Arial" w:hAnsi="Arial"/>
                <w:sz w:val="18"/>
                <w:szCs w:val="18"/>
                <w:b w:val="1"/>
                <w:bCs w:val="1"/>
                <w:color w:val="auto"/>
                <w:w w:val="89"/>
              </w:rPr>
              <w:t>10</w:t>
            </w:r>
          </w:p>
        </w:tc>
        <w:tc>
          <w:tcPr>
            <w:tcW w:w="8360" w:type="dxa"/>
            <w:vAlign w:val="bottom"/>
            <w:vMerge w:val="restart"/>
          </w:tcPr>
          <w:p>
            <w:pPr>
              <w:ind w:left="420"/>
              <w:spacing w:after="0" w:line="199"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9"/>
        </w:trPr>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340" w:type="dxa"/>
            <w:vAlign w:val="bottom"/>
            <w:vMerge w:val="continue"/>
          </w:tcPr>
          <w:p>
            <w:pPr>
              <w:spacing w:after="0"/>
              <w:rPr>
                <w:sz w:val="12"/>
                <w:szCs w:val="12"/>
                <w:color w:val="auto"/>
              </w:rPr>
            </w:pPr>
          </w:p>
        </w:tc>
        <w:tc>
          <w:tcPr>
            <w:tcW w:w="8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54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8360" w:type="dxa"/>
            <w:vAlign w:val="bottom"/>
            <w:vMerge w:val="restart"/>
          </w:tcPr>
          <w:p>
            <w:pPr>
              <w:ind w:left="420"/>
              <w:spacing w:after="0" w:line="283" w:lineRule="exact"/>
              <w:rPr>
                <w:sz w:val="20"/>
                <w:szCs w:val="20"/>
                <w:color w:val="auto"/>
              </w:rPr>
            </w:pPr>
            <w:r>
              <w:rPr>
                <w:rFonts w:ascii="Arial" w:cs="Arial" w:eastAsia="Arial" w:hAnsi="Arial"/>
                <w:sz w:val="18"/>
                <w:szCs w:val="18"/>
                <w:color w:val="auto"/>
              </w:rPr>
              <w:t>729,320</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91"/>
        </w:trPr>
        <w:tc>
          <w:tcPr>
            <w:tcW w:w="1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00" w:hanging="1184"/>
        <w:spacing w:after="0"/>
        <w:tabs>
          <w:tab w:leader="none" w:pos="1600"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600"/>
        <w:spacing w:after="0" w:line="195" w:lineRule="auto"/>
        <w:rPr>
          <w:rFonts w:ascii="Arial" w:cs="Arial" w:eastAsia="Arial" w:hAnsi="Arial"/>
          <w:sz w:val="18"/>
          <w:szCs w:val="18"/>
          <w:b w:val="1"/>
          <w:bCs w:val="1"/>
          <w:color w:val="auto"/>
        </w:rPr>
      </w:pPr>
      <w:r>
        <w:rPr>
          <w:rFonts w:ascii="Arial" w:cs="Arial" w:eastAsia="Arial" w:hAnsi="Arial"/>
          <w:sz w:val="18"/>
          <w:szCs w:val="18"/>
          <w:color w:val="auto"/>
        </w:rPr>
        <w:t>729,320</w:t>
      </w:r>
      <w:r>
        <w:rPr>
          <w:rFonts w:ascii="Arial" w:cs="Arial" w:eastAsia="Arial" w:hAnsi="Arial"/>
          <w:sz w:val="29"/>
          <w:szCs w:val="29"/>
          <w:color w:val="auto"/>
          <w:vertAlign w:val="superscript"/>
        </w:rPr>
        <w:t>1</w:t>
      </w:r>
    </w:p>
    <w:p>
      <w:pPr>
        <w:ind w:left="1600" w:hanging="1189"/>
        <w:spacing w:after="0"/>
        <w:tabs>
          <w:tab w:leader="none" w:pos="1600"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6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b w:val="1"/>
          <w:bCs w:val="1"/>
          <w:color w:val="auto"/>
        </w:rPr>
      </w:pPr>
    </w:p>
    <w:p>
      <w:pPr>
        <w:ind w:left="1600" w:hanging="1189"/>
        <w:spacing w:after="0"/>
        <w:tabs>
          <w:tab w:leader="none" w:pos="1600"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7" w:lineRule="exact"/>
        <w:rPr>
          <w:rFonts w:ascii="Arial" w:cs="Arial" w:eastAsia="Arial" w:hAnsi="Arial"/>
          <w:sz w:val="18"/>
          <w:szCs w:val="18"/>
          <w:b w:val="1"/>
          <w:bCs w:val="1"/>
          <w:color w:val="auto"/>
        </w:rPr>
      </w:pPr>
    </w:p>
    <w:p>
      <w:pPr>
        <w:ind w:left="1600"/>
        <w:spacing w:after="0" w:line="195" w:lineRule="auto"/>
        <w:rPr>
          <w:rFonts w:ascii="Arial" w:cs="Arial" w:eastAsia="Arial" w:hAnsi="Arial"/>
          <w:sz w:val="18"/>
          <w:szCs w:val="18"/>
          <w:b w:val="1"/>
          <w:bCs w:val="1"/>
          <w:color w:val="auto"/>
        </w:rPr>
      </w:pPr>
      <w:r>
        <w:rPr>
          <w:rFonts w:ascii="Arial" w:cs="Arial" w:eastAsia="Arial" w:hAnsi="Arial"/>
          <w:sz w:val="18"/>
          <w:szCs w:val="18"/>
          <w:color w:val="auto"/>
        </w:rPr>
        <w:t>1.6%</w:t>
      </w:r>
      <w:r>
        <w:rPr>
          <w:rFonts w:ascii="Arial" w:cs="Arial" w:eastAsia="Arial" w:hAnsi="Arial"/>
          <w:sz w:val="29"/>
          <w:szCs w:val="29"/>
          <w:color w:val="auto"/>
          <w:vertAlign w:val="superscript"/>
        </w:rPr>
        <w:t>2</w:t>
      </w:r>
    </w:p>
    <w:p>
      <w:pPr>
        <w:ind w:left="1600" w:right="5260" w:hanging="1189"/>
        <w:spacing w:after="0" w:line="258" w:lineRule="auto"/>
        <w:tabs>
          <w:tab w:leader="none" w:pos="1600"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27" w:lineRule="exact"/>
        <w:rPr>
          <w:rFonts w:ascii="Arial" w:cs="Arial" w:eastAsia="Arial" w:hAnsi="Arial"/>
          <w:sz w:val="18"/>
          <w:szCs w:val="18"/>
          <w:b w:val="1"/>
          <w:bCs w:val="1"/>
          <w:color w:val="auto"/>
        </w:rPr>
      </w:pPr>
    </w:p>
    <w:p>
      <w:pPr>
        <w:ind w:left="380" w:hanging="324"/>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1 As described in Item 5 below, Atlas Venture Opportunity Fund I, L.P., a Delaware limited partnership (“AVOF”), Atlas Venture Associates Opportunity I, L.P., a Delaware limited partnership (“AVAO LP”) and Atlas Venture Associates Opportunity I, LLC, a Delaware limited liability company (“AVAO LLC” and together with AVOF and AVAO LP, the “Opportunity Fund Reporting Persons”) beneficially own 729,320 shares of the Issuer’s Common Stock. All of these shares are held by AVOF. AVAO LP is the general partner of AVOF and AVAO LLC is the general partner of AVAO LP Each of AVAO LP and AVAO LLC has voting and dispositive power over the shares held by AVOF. As such, each of the Opportunity Fund Reporting Persons share voting and dispositive power with respect to the shares held by AVOF.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-1000125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-1283335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-1591945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-1874520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5" w:lineRule="exact"/>
        <w:rPr>
          <w:sz w:val="20"/>
          <w:szCs w:val="20"/>
          <w:color w:val="auto"/>
        </w:rPr>
      </w:pPr>
    </w:p>
    <w:p>
      <w:pPr>
        <w:ind w:left="380" w:hanging="318"/>
        <w:spacing w:after="0" w:line="308" w:lineRule="auto"/>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This percentage is calculated based upon 45,301,990 shares of Common Stock outstanding immediately after the Closing (as defined below), as reported in the Issuer’s Current Report on Form 8-K filed with the Securities and Exchange Commission on February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8" w:name="page9"/>
    <w:bookmarkEnd w:id="8"/>
    <w:p>
      <w:pPr>
        <w:ind w:left="60"/>
        <w:spacing w:after="0"/>
        <w:tabs>
          <w:tab w:leader="none" w:pos="1026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5"/>
          <w:szCs w:val="15"/>
          <w:color w:val="auto"/>
        </w:rPr>
        <w:t>Page 9 of 19</w:t>
      </w:r>
    </w:p>
    <w:p>
      <w:pPr>
        <w:spacing w:after="0" w:line="252" w:lineRule="exact"/>
        <w:rPr>
          <w:sz w:val="20"/>
          <w:szCs w:val="20"/>
          <w:color w:val="auto"/>
        </w:rPr>
      </w:pPr>
    </w:p>
    <w:p>
      <w:pPr>
        <w:ind w:left="1640" w:hanging="1164"/>
        <w:spacing w:after="0"/>
        <w:tabs>
          <w:tab w:leader="none" w:pos="164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640"/>
        <w:spacing w:after="0"/>
        <w:rPr>
          <w:rFonts w:ascii="Arial" w:cs="Arial" w:eastAsia="Arial" w:hAnsi="Arial"/>
          <w:sz w:val="18"/>
          <w:szCs w:val="18"/>
          <w:b w:val="1"/>
          <w:bCs w:val="1"/>
          <w:color w:val="auto"/>
        </w:rPr>
      </w:pPr>
      <w:r>
        <w:rPr>
          <w:rFonts w:ascii="Arial" w:cs="Arial" w:eastAsia="Arial" w:hAnsi="Arial"/>
          <w:sz w:val="18"/>
          <w:szCs w:val="18"/>
          <w:color w:val="auto"/>
        </w:rPr>
        <w:t>ATLAS VENTURE ASSOCIATES OPPORTUNITY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40" w:hanging="1164"/>
        <w:spacing w:after="0"/>
        <w:tabs>
          <w:tab w:leader="none" w:pos="164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b w:val="1"/>
          <w:bCs w:val="1"/>
          <w:color w:val="auto"/>
        </w:rPr>
      </w:pPr>
    </w:p>
    <w:p>
      <w:pPr>
        <w:ind w:left="164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 w:lineRule="exact"/>
        <w:rPr>
          <w:sz w:val="20"/>
          <w:szCs w:val="20"/>
          <w:color w:val="auto"/>
        </w:rPr>
      </w:pPr>
    </w:p>
    <w:p>
      <w:pPr>
        <w:ind w:left="1640" w:hanging="1164"/>
        <w:spacing w:after="0"/>
        <w:tabs>
          <w:tab w:leader="none" w:pos="164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40" w:right="6100" w:hanging="1164"/>
        <w:spacing w:after="0" w:line="258" w:lineRule="auto"/>
        <w:tabs>
          <w:tab w:leader="none" w:pos="164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40" w:hanging="1164"/>
        <w:spacing w:after="0"/>
        <w:tabs>
          <w:tab w:leader="none" w:pos="164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7" w:lineRule="exact"/>
        <w:rPr>
          <w:rFonts w:ascii="Arial" w:cs="Arial" w:eastAsia="Arial" w:hAnsi="Arial"/>
          <w:sz w:val="18"/>
          <w:szCs w:val="18"/>
          <w:b w:val="1"/>
          <w:bCs w:val="1"/>
          <w:color w:val="auto"/>
        </w:rPr>
      </w:pPr>
    </w:p>
    <w:p>
      <w:pPr>
        <w:ind w:left="164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 w:lineRule="exact"/>
        <w:rPr>
          <w:sz w:val="20"/>
          <w:szCs w:val="20"/>
          <w:color w:val="auto"/>
        </w:rPr>
      </w:pPr>
    </w:p>
    <w:p>
      <w:pPr>
        <w:ind w:left="1640" w:right="5880" w:hanging="1164"/>
        <w:spacing w:after="0" w:line="258" w:lineRule="auto"/>
        <w:tabs>
          <w:tab w:leader="none" w:pos="164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0"/>
        </w:trPr>
        <w:tc>
          <w:tcPr>
            <w:tcW w:w="1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NUMBER</w:t>
            </w:r>
          </w:p>
        </w:tc>
        <w:tc>
          <w:tcPr>
            <w:tcW w:w="1340" w:type="dxa"/>
            <w:vAlign w:val="bottom"/>
            <w:tcBorders>
              <w:top w:val="single" w:sz="8" w:color="auto"/>
            </w:tcBorders>
          </w:tcPr>
          <w:p>
            <w:pPr>
              <w:jc w:val="center"/>
              <w:ind w:left="250"/>
              <w:spacing w:after="0" w:line="181" w:lineRule="exact"/>
              <w:rPr>
                <w:sz w:val="20"/>
                <w:szCs w:val="20"/>
                <w:color w:val="auto"/>
              </w:rPr>
            </w:pPr>
            <w:r>
              <w:rPr>
                <w:rFonts w:ascii="Arial" w:cs="Arial" w:eastAsia="Arial" w:hAnsi="Arial"/>
                <w:sz w:val="18"/>
                <w:szCs w:val="18"/>
                <w:b w:val="1"/>
                <w:bCs w:val="1"/>
                <w:color w:val="auto"/>
                <w:w w:val="79"/>
              </w:rPr>
              <w:t>7</w:t>
            </w:r>
          </w:p>
        </w:tc>
        <w:tc>
          <w:tcPr>
            <w:tcW w:w="8320" w:type="dxa"/>
            <w:vAlign w:val="bottom"/>
            <w:tcBorders>
              <w:top w:val="single" w:sz="8" w:color="auto"/>
            </w:tcBorders>
          </w:tcPr>
          <w:p>
            <w:pPr>
              <w:ind w:left="400"/>
              <w:spacing w:after="0" w:line="181"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76"/>
        </w:trPr>
        <w:tc>
          <w:tcPr>
            <w:tcW w:w="15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8320" w:type="dxa"/>
            <w:vAlign w:val="bottom"/>
          </w:tcPr>
          <w:p>
            <w:pPr>
              <w:ind w:left="400"/>
              <w:spacing w:after="0" w:line="176"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2"/>
              </w:rPr>
              <w:t>OF SHARES</w:t>
            </w:r>
          </w:p>
        </w:tc>
        <w:tc>
          <w:tcPr>
            <w:tcW w:w="1340" w:type="dxa"/>
            <w:vAlign w:val="bottom"/>
            <w:tcBorders>
              <w:bottom w:val="single" w:sz="8" w:color="auto"/>
            </w:tcBorders>
          </w:tcPr>
          <w:p>
            <w:pPr>
              <w:spacing w:after="0"/>
              <w:rPr>
                <w:sz w:val="4"/>
                <w:szCs w:val="4"/>
                <w:color w:val="auto"/>
              </w:rPr>
            </w:pPr>
          </w:p>
        </w:tc>
        <w:tc>
          <w:tcPr>
            <w:tcW w:w="8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580" w:type="dxa"/>
            <w:vAlign w:val="bottom"/>
            <w:vMerge w:val="continue"/>
          </w:tcPr>
          <w:p>
            <w:pPr>
              <w:spacing w:after="0"/>
              <w:rPr>
                <w:sz w:val="11"/>
                <w:szCs w:val="11"/>
                <w:color w:val="auto"/>
              </w:rPr>
            </w:pPr>
          </w:p>
        </w:tc>
        <w:tc>
          <w:tcPr>
            <w:tcW w:w="1340" w:type="dxa"/>
            <w:vAlign w:val="bottom"/>
            <w:vMerge w:val="restart"/>
          </w:tcPr>
          <w:p>
            <w:pPr>
              <w:jc w:val="center"/>
              <w:ind w:left="250"/>
              <w:spacing w:after="0" w:line="199" w:lineRule="exact"/>
              <w:rPr>
                <w:sz w:val="20"/>
                <w:szCs w:val="20"/>
                <w:color w:val="auto"/>
              </w:rPr>
            </w:pPr>
            <w:r>
              <w:rPr>
                <w:rFonts w:ascii="Arial" w:cs="Arial" w:eastAsia="Arial" w:hAnsi="Arial"/>
                <w:sz w:val="18"/>
                <w:szCs w:val="18"/>
                <w:b w:val="1"/>
                <w:bCs w:val="1"/>
                <w:color w:val="auto"/>
                <w:w w:val="79"/>
              </w:rPr>
              <w:t>8</w:t>
            </w:r>
          </w:p>
        </w:tc>
        <w:tc>
          <w:tcPr>
            <w:tcW w:w="8320" w:type="dxa"/>
            <w:vAlign w:val="bottom"/>
            <w:vMerge w:val="restart"/>
          </w:tcPr>
          <w:p>
            <w:pPr>
              <w:ind w:left="400"/>
              <w:spacing w:after="0" w:line="199"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71"/>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1340" w:type="dxa"/>
            <w:vAlign w:val="bottom"/>
            <w:vMerge w:val="continue"/>
          </w:tcPr>
          <w:p>
            <w:pPr>
              <w:spacing w:after="0"/>
              <w:rPr>
                <w:sz w:val="6"/>
                <w:szCs w:val="6"/>
                <w:color w:val="auto"/>
              </w:rPr>
            </w:pPr>
          </w:p>
        </w:tc>
        <w:tc>
          <w:tcPr>
            <w:tcW w:w="8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58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8320" w:type="dxa"/>
            <w:vAlign w:val="bottom"/>
            <w:vMerge w:val="restart"/>
          </w:tcPr>
          <w:p>
            <w:pPr>
              <w:ind w:left="400"/>
              <w:spacing w:after="0" w:line="267" w:lineRule="exact"/>
              <w:rPr>
                <w:sz w:val="20"/>
                <w:szCs w:val="20"/>
                <w:color w:val="auto"/>
              </w:rPr>
            </w:pPr>
            <w:r>
              <w:rPr>
                <w:rFonts w:ascii="Arial" w:cs="Arial" w:eastAsia="Arial" w:hAnsi="Arial"/>
                <w:sz w:val="18"/>
                <w:szCs w:val="18"/>
                <w:color w:val="auto"/>
              </w:rPr>
              <w:t>729,320</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22"/>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8"/>
              </w:rPr>
              <w:t>OWNED</w:t>
            </w:r>
          </w:p>
        </w:tc>
        <w:tc>
          <w:tcPr>
            <w:tcW w:w="1340" w:type="dxa"/>
            <w:vAlign w:val="bottom"/>
            <w:tcBorders>
              <w:bottom w:val="single" w:sz="8" w:color="auto"/>
            </w:tcBorders>
          </w:tcPr>
          <w:p>
            <w:pPr>
              <w:spacing w:after="0"/>
              <w:rPr>
                <w:sz w:val="10"/>
                <w:szCs w:val="10"/>
                <w:color w:val="auto"/>
              </w:rPr>
            </w:pPr>
          </w:p>
        </w:tc>
        <w:tc>
          <w:tcPr>
            <w:tcW w:w="8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340" w:type="dxa"/>
            <w:vAlign w:val="bottom"/>
            <w:vMerge w:val="restart"/>
          </w:tcPr>
          <w:p>
            <w:pPr>
              <w:jc w:val="center"/>
              <w:ind w:left="250"/>
              <w:spacing w:after="0" w:line="195" w:lineRule="exact"/>
              <w:rPr>
                <w:sz w:val="20"/>
                <w:szCs w:val="20"/>
                <w:color w:val="auto"/>
              </w:rPr>
            </w:pPr>
            <w:r>
              <w:rPr>
                <w:rFonts w:ascii="Arial" w:cs="Arial" w:eastAsia="Arial" w:hAnsi="Arial"/>
                <w:sz w:val="18"/>
                <w:szCs w:val="18"/>
                <w:b w:val="1"/>
                <w:bCs w:val="1"/>
                <w:color w:val="auto"/>
                <w:w w:val="79"/>
              </w:rPr>
              <w:t>9</w:t>
            </w:r>
          </w:p>
        </w:tc>
        <w:tc>
          <w:tcPr>
            <w:tcW w:w="8320" w:type="dxa"/>
            <w:vAlign w:val="bottom"/>
            <w:vMerge w:val="restart"/>
          </w:tcPr>
          <w:p>
            <w:pPr>
              <w:ind w:left="40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1340" w:type="dxa"/>
            <w:vAlign w:val="bottom"/>
            <w:vMerge w:val="continue"/>
          </w:tcPr>
          <w:p>
            <w:pPr>
              <w:spacing w:after="0"/>
              <w:rPr>
                <w:sz w:val="10"/>
                <w:szCs w:val="10"/>
                <w:color w:val="auto"/>
              </w:rPr>
            </w:pPr>
          </w:p>
        </w:tc>
        <w:tc>
          <w:tcPr>
            <w:tcW w:w="8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58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8320" w:type="dxa"/>
            <w:vAlign w:val="bottom"/>
            <w:vMerge w:val="restart"/>
          </w:tcPr>
          <w:p>
            <w:pPr>
              <w:ind w:left="4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34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580" w:type="dxa"/>
            <w:vAlign w:val="bottom"/>
            <w:vMerge w:val="continue"/>
          </w:tcPr>
          <w:p>
            <w:pPr>
              <w:spacing w:after="0"/>
              <w:rPr>
                <w:sz w:val="5"/>
                <w:szCs w:val="5"/>
                <w:color w:val="auto"/>
              </w:rPr>
            </w:pPr>
          </w:p>
        </w:tc>
        <w:tc>
          <w:tcPr>
            <w:tcW w:w="1340" w:type="dxa"/>
            <w:vAlign w:val="bottom"/>
            <w:vMerge w:val="restart"/>
          </w:tcPr>
          <w:p>
            <w:pPr>
              <w:jc w:val="center"/>
              <w:ind w:left="270"/>
              <w:spacing w:after="0" w:line="199" w:lineRule="exact"/>
              <w:rPr>
                <w:sz w:val="20"/>
                <w:szCs w:val="20"/>
                <w:color w:val="auto"/>
              </w:rPr>
            </w:pPr>
            <w:r>
              <w:rPr>
                <w:rFonts w:ascii="Arial" w:cs="Arial" w:eastAsia="Arial" w:hAnsi="Arial"/>
                <w:sz w:val="18"/>
                <w:szCs w:val="18"/>
                <w:b w:val="1"/>
                <w:bCs w:val="1"/>
                <w:color w:val="auto"/>
                <w:w w:val="89"/>
              </w:rPr>
              <w:t>10</w:t>
            </w:r>
          </w:p>
        </w:tc>
        <w:tc>
          <w:tcPr>
            <w:tcW w:w="8320" w:type="dxa"/>
            <w:vAlign w:val="bottom"/>
            <w:vMerge w:val="restart"/>
          </w:tcPr>
          <w:p>
            <w:pPr>
              <w:ind w:left="400"/>
              <w:spacing w:after="0" w:line="199"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9"/>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340" w:type="dxa"/>
            <w:vAlign w:val="bottom"/>
            <w:vMerge w:val="continue"/>
          </w:tcPr>
          <w:p>
            <w:pPr>
              <w:spacing w:after="0"/>
              <w:rPr>
                <w:sz w:val="12"/>
                <w:szCs w:val="12"/>
                <w:color w:val="auto"/>
              </w:rPr>
            </w:pPr>
          </w:p>
        </w:tc>
        <w:tc>
          <w:tcPr>
            <w:tcW w:w="8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58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8320" w:type="dxa"/>
            <w:vAlign w:val="bottom"/>
            <w:vMerge w:val="restart"/>
          </w:tcPr>
          <w:p>
            <w:pPr>
              <w:ind w:left="400"/>
              <w:spacing w:after="0" w:line="283" w:lineRule="exact"/>
              <w:rPr>
                <w:sz w:val="20"/>
                <w:szCs w:val="20"/>
                <w:color w:val="auto"/>
              </w:rPr>
            </w:pPr>
            <w:r>
              <w:rPr>
                <w:rFonts w:ascii="Arial" w:cs="Arial" w:eastAsia="Arial" w:hAnsi="Arial"/>
                <w:sz w:val="18"/>
                <w:szCs w:val="18"/>
                <w:color w:val="auto"/>
              </w:rPr>
              <w:t>729,320</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91"/>
        </w:trPr>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40" w:hanging="1204"/>
        <w:spacing w:after="0"/>
        <w:tabs>
          <w:tab w:leader="none" w:pos="1640"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640"/>
        <w:spacing w:after="0" w:line="195" w:lineRule="auto"/>
        <w:rPr>
          <w:rFonts w:ascii="Arial" w:cs="Arial" w:eastAsia="Arial" w:hAnsi="Arial"/>
          <w:sz w:val="18"/>
          <w:szCs w:val="18"/>
          <w:b w:val="1"/>
          <w:bCs w:val="1"/>
          <w:color w:val="auto"/>
        </w:rPr>
      </w:pPr>
      <w:r>
        <w:rPr>
          <w:rFonts w:ascii="Arial" w:cs="Arial" w:eastAsia="Arial" w:hAnsi="Arial"/>
          <w:sz w:val="18"/>
          <w:szCs w:val="18"/>
          <w:color w:val="auto"/>
        </w:rPr>
        <w:t>729,320</w:t>
      </w:r>
      <w:r>
        <w:rPr>
          <w:rFonts w:ascii="Arial" w:cs="Arial" w:eastAsia="Arial" w:hAnsi="Arial"/>
          <w:sz w:val="29"/>
          <w:szCs w:val="29"/>
          <w:color w:val="auto"/>
          <w:vertAlign w:val="superscript"/>
        </w:rPr>
        <w:t>1</w:t>
      </w:r>
    </w:p>
    <w:p>
      <w:pPr>
        <w:ind w:left="1640" w:hanging="1209"/>
        <w:spacing w:after="0"/>
        <w:tabs>
          <w:tab w:leader="none" w:pos="1640"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64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b w:val="1"/>
          <w:bCs w:val="1"/>
          <w:color w:val="auto"/>
        </w:rPr>
      </w:pPr>
    </w:p>
    <w:p>
      <w:pPr>
        <w:ind w:left="1640" w:hanging="1209"/>
        <w:spacing w:after="0"/>
        <w:tabs>
          <w:tab w:leader="none" w:pos="1640"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7" w:lineRule="exact"/>
        <w:rPr>
          <w:rFonts w:ascii="Arial" w:cs="Arial" w:eastAsia="Arial" w:hAnsi="Arial"/>
          <w:sz w:val="18"/>
          <w:szCs w:val="18"/>
          <w:b w:val="1"/>
          <w:bCs w:val="1"/>
          <w:color w:val="auto"/>
        </w:rPr>
      </w:pPr>
    </w:p>
    <w:p>
      <w:pPr>
        <w:ind w:left="1640"/>
        <w:spacing w:after="0" w:line="195" w:lineRule="auto"/>
        <w:rPr>
          <w:rFonts w:ascii="Arial" w:cs="Arial" w:eastAsia="Arial" w:hAnsi="Arial"/>
          <w:sz w:val="18"/>
          <w:szCs w:val="18"/>
          <w:b w:val="1"/>
          <w:bCs w:val="1"/>
          <w:color w:val="auto"/>
        </w:rPr>
      </w:pPr>
      <w:r>
        <w:rPr>
          <w:rFonts w:ascii="Arial" w:cs="Arial" w:eastAsia="Arial" w:hAnsi="Arial"/>
          <w:sz w:val="18"/>
          <w:szCs w:val="18"/>
          <w:color w:val="auto"/>
        </w:rPr>
        <w:t>1.6%</w:t>
      </w:r>
      <w:r>
        <w:rPr>
          <w:rFonts w:ascii="Arial" w:cs="Arial" w:eastAsia="Arial" w:hAnsi="Arial"/>
          <w:sz w:val="29"/>
          <w:szCs w:val="29"/>
          <w:color w:val="auto"/>
          <w:vertAlign w:val="superscript"/>
        </w:rPr>
        <w:t>2</w:t>
      </w:r>
    </w:p>
    <w:p>
      <w:pPr>
        <w:ind w:left="1640" w:right="5220" w:hanging="1209"/>
        <w:spacing w:after="0" w:line="258" w:lineRule="auto"/>
        <w:tabs>
          <w:tab w:leader="none" w:pos="1640"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27" w:lineRule="exact"/>
        <w:rPr>
          <w:rFonts w:ascii="Arial" w:cs="Arial" w:eastAsia="Arial" w:hAnsi="Arial"/>
          <w:sz w:val="18"/>
          <w:szCs w:val="18"/>
          <w:b w:val="1"/>
          <w:bCs w:val="1"/>
          <w:color w:val="auto"/>
        </w:rPr>
      </w:pPr>
    </w:p>
    <w:p>
      <w:pPr>
        <w:ind w:left="380" w:hanging="324"/>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1 As described in Item 5 below, Atlas Venture Opportunity Fund I, L.P., a Delaware limited partnership (“AVOF”), Atlas Venture Associates Opportunity I, L.P., a Delaware limited partnership (“AVAO LP”) and Atlas Venture Associates Opportunity I, LLC, a Delaware limited liability company (“AVAO LLC” and together with AVOF and AVAO LP, the “Opportunity Fund Reporting Persons”) beneficially own 729,320 shares of the Issuer’s Common Stock. All of these shares are held by AVOF. AVAO LP is the general partner of AVOF and AVAO LLC is the general partner of AVAO LP Each of AVAO LP and AVAO LLC has voting and dispositive power over the shares held by AVOF. As such, each of the Opportunity Fund Reporting Persons share voting and dispositive power with respect to the shares held by AVOF.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-1000125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-1283335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-1591945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-1874520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5" w:lineRule="exact"/>
        <w:rPr>
          <w:sz w:val="20"/>
          <w:szCs w:val="20"/>
          <w:color w:val="auto"/>
        </w:rPr>
      </w:pPr>
    </w:p>
    <w:p>
      <w:pPr>
        <w:ind w:left="380" w:hanging="318"/>
        <w:spacing w:after="0" w:line="308" w:lineRule="auto"/>
        <w:tabs>
          <w:tab w:leader="none" w:pos="3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This percentage is calculated based upon 45,301,990 shares of Common Stock outstanding immediately after the Closing (as defined below), as reported in the Issuer’s Current Report on Form 8-K filed with the Securities and Exchange Commission on February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9" w:name="page10"/>
    <w:bookmarkEnd w:id="9"/>
    <w:p>
      <w:pPr>
        <w:ind w:left="60"/>
        <w:spacing w:after="0"/>
        <w:tabs>
          <w:tab w:leader="none" w:pos="1016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6"/>
          <w:szCs w:val="16"/>
          <w:color w:val="auto"/>
        </w:rPr>
        <w:t>Page 10 of 19</w:t>
      </w:r>
    </w:p>
    <w:p>
      <w:pPr>
        <w:spacing w:after="0" w:line="252" w:lineRule="exact"/>
        <w:rPr>
          <w:sz w:val="20"/>
          <w:szCs w:val="20"/>
          <w:color w:val="auto"/>
        </w:rPr>
      </w:pPr>
    </w:p>
    <w:p>
      <w:pPr>
        <w:ind w:left="1640" w:hanging="1164"/>
        <w:spacing w:after="0"/>
        <w:tabs>
          <w:tab w:leader="none" w:pos="164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640"/>
        <w:spacing w:after="0"/>
        <w:rPr>
          <w:rFonts w:ascii="Arial" w:cs="Arial" w:eastAsia="Arial" w:hAnsi="Arial"/>
          <w:sz w:val="18"/>
          <w:szCs w:val="18"/>
          <w:b w:val="1"/>
          <w:bCs w:val="1"/>
          <w:color w:val="auto"/>
        </w:rPr>
      </w:pPr>
      <w:r>
        <w:rPr>
          <w:rFonts w:ascii="Arial" w:cs="Arial" w:eastAsia="Arial" w:hAnsi="Arial"/>
          <w:sz w:val="18"/>
          <w:szCs w:val="18"/>
          <w:color w:val="auto"/>
        </w:rPr>
        <w:t>ATLAS VENTURE ASSOCIATES OPPORTUNITY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40" w:hanging="1164"/>
        <w:spacing w:after="0"/>
        <w:tabs>
          <w:tab w:leader="none" w:pos="164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b w:val="1"/>
          <w:bCs w:val="1"/>
          <w:color w:val="auto"/>
        </w:rPr>
      </w:pPr>
    </w:p>
    <w:p>
      <w:pPr>
        <w:ind w:left="164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 w:lineRule="exact"/>
        <w:rPr>
          <w:sz w:val="20"/>
          <w:szCs w:val="20"/>
          <w:color w:val="auto"/>
        </w:rPr>
      </w:pPr>
    </w:p>
    <w:p>
      <w:pPr>
        <w:ind w:left="1640" w:hanging="1164"/>
        <w:spacing w:after="0"/>
        <w:tabs>
          <w:tab w:leader="none" w:pos="164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40" w:right="6100" w:hanging="1164"/>
        <w:spacing w:after="0" w:line="258" w:lineRule="auto"/>
        <w:tabs>
          <w:tab w:leader="none" w:pos="164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40" w:hanging="1164"/>
        <w:spacing w:after="0"/>
        <w:tabs>
          <w:tab w:leader="none" w:pos="164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7" w:lineRule="exact"/>
        <w:rPr>
          <w:rFonts w:ascii="Arial" w:cs="Arial" w:eastAsia="Arial" w:hAnsi="Arial"/>
          <w:sz w:val="18"/>
          <w:szCs w:val="18"/>
          <w:b w:val="1"/>
          <w:bCs w:val="1"/>
          <w:color w:val="auto"/>
        </w:rPr>
      </w:pPr>
    </w:p>
    <w:p>
      <w:pPr>
        <w:ind w:left="164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 w:lineRule="exact"/>
        <w:rPr>
          <w:sz w:val="20"/>
          <w:szCs w:val="20"/>
          <w:color w:val="auto"/>
        </w:rPr>
      </w:pPr>
    </w:p>
    <w:p>
      <w:pPr>
        <w:ind w:left="1640" w:right="5880" w:hanging="1164"/>
        <w:spacing w:after="0" w:line="258" w:lineRule="auto"/>
        <w:tabs>
          <w:tab w:leader="none" w:pos="164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0"/>
        </w:trPr>
        <w:tc>
          <w:tcPr>
            <w:tcW w:w="1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NUMBER</w:t>
            </w:r>
          </w:p>
        </w:tc>
        <w:tc>
          <w:tcPr>
            <w:tcW w:w="1340" w:type="dxa"/>
            <w:vAlign w:val="bottom"/>
            <w:tcBorders>
              <w:top w:val="single" w:sz="8" w:color="auto"/>
            </w:tcBorders>
          </w:tcPr>
          <w:p>
            <w:pPr>
              <w:jc w:val="center"/>
              <w:ind w:left="250"/>
              <w:spacing w:after="0" w:line="181" w:lineRule="exact"/>
              <w:rPr>
                <w:sz w:val="20"/>
                <w:szCs w:val="20"/>
                <w:color w:val="auto"/>
              </w:rPr>
            </w:pPr>
            <w:r>
              <w:rPr>
                <w:rFonts w:ascii="Arial" w:cs="Arial" w:eastAsia="Arial" w:hAnsi="Arial"/>
                <w:sz w:val="18"/>
                <w:szCs w:val="18"/>
                <w:b w:val="1"/>
                <w:bCs w:val="1"/>
                <w:color w:val="auto"/>
                <w:w w:val="79"/>
              </w:rPr>
              <w:t>7</w:t>
            </w:r>
          </w:p>
        </w:tc>
        <w:tc>
          <w:tcPr>
            <w:tcW w:w="8320" w:type="dxa"/>
            <w:vAlign w:val="bottom"/>
            <w:tcBorders>
              <w:top w:val="single" w:sz="8" w:color="auto"/>
            </w:tcBorders>
          </w:tcPr>
          <w:p>
            <w:pPr>
              <w:ind w:left="400"/>
              <w:spacing w:after="0" w:line="181"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76"/>
        </w:trPr>
        <w:tc>
          <w:tcPr>
            <w:tcW w:w="15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8320" w:type="dxa"/>
            <w:vAlign w:val="bottom"/>
          </w:tcPr>
          <w:p>
            <w:pPr>
              <w:ind w:left="400"/>
              <w:spacing w:after="0" w:line="176"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2"/>
              </w:rPr>
              <w:t>OF SHARES</w:t>
            </w:r>
          </w:p>
        </w:tc>
        <w:tc>
          <w:tcPr>
            <w:tcW w:w="1340" w:type="dxa"/>
            <w:vAlign w:val="bottom"/>
            <w:tcBorders>
              <w:bottom w:val="single" w:sz="8" w:color="auto"/>
            </w:tcBorders>
          </w:tcPr>
          <w:p>
            <w:pPr>
              <w:spacing w:after="0"/>
              <w:rPr>
                <w:sz w:val="4"/>
                <w:szCs w:val="4"/>
                <w:color w:val="auto"/>
              </w:rPr>
            </w:pPr>
          </w:p>
        </w:tc>
        <w:tc>
          <w:tcPr>
            <w:tcW w:w="8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580" w:type="dxa"/>
            <w:vAlign w:val="bottom"/>
            <w:vMerge w:val="continue"/>
          </w:tcPr>
          <w:p>
            <w:pPr>
              <w:spacing w:after="0"/>
              <w:rPr>
                <w:sz w:val="11"/>
                <w:szCs w:val="11"/>
                <w:color w:val="auto"/>
              </w:rPr>
            </w:pPr>
          </w:p>
        </w:tc>
        <w:tc>
          <w:tcPr>
            <w:tcW w:w="1340" w:type="dxa"/>
            <w:vAlign w:val="bottom"/>
            <w:vMerge w:val="restart"/>
          </w:tcPr>
          <w:p>
            <w:pPr>
              <w:jc w:val="center"/>
              <w:ind w:left="250"/>
              <w:spacing w:after="0" w:line="199" w:lineRule="exact"/>
              <w:rPr>
                <w:sz w:val="20"/>
                <w:szCs w:val="20"/>
                <w:color w:val="auto"/>
              </w:rPr>
            </w:pPr>
            <w:r>
              <w:rPr>
                <w:rFonts w:ascii="Arial" w:cs="Arial" w:eastAsia="Arial" w:hAnsi="Arial"/>
                <w:sz w:val="18"/>
                <w:szCs w:val="18"/>
                <w:b w:val="1"/>
                <w:bCs w:val="1"/>
                <w:color w:val="auto"/>
                <w:w w:val="79"/>
              </w:rPr>
              <w:t>8</w:t>
            </w:r>
          </w:p>
        </w:tc>
        <w:tc>
          <w:tcPr>
            <w:tcW w:w="8320" w:type="dxa"/>
            <w:vAlign w:val="bottom"/>
            <w:vMerge w:val="restart"/>
          </w:tcPr>
          <w:p>
            <w:pPr>
              <w:ind w:left="400"/>
              <w:spacing w:after="0" w:line="199"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71"/>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1340" w:type="dxa"/>
            <w:vAlign w:val="bottom"/>
            <w:vMerge w:val="continue"/>
          </w:tcPr>
          <w:p>
            <w:pPr>
              <w:spacing w:after="0"/>
              <w:rPr>
                <w:sz w:val="6"/>
                <w:szCs w:val="6"/>
                <w:color w:val="auto"/>
              </w:rPr>
            </w:pPr>
          </w:p>
        </w:tc>
        <w:tc>
          <w:tcPr>
            <w:tcW w:w="8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58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8320" w:type="dxa"/>
            <w:vAlign w:val="bottom"/>
            <w:vMerge w:val="restart"/>
          </w:tcPr>
          <w:p>
            <w:pPr>
              <w:ind w:left="400"/>
              <w:spacing w:after="0" w:line="267" w:lineRule="exact"/>
              <w:rPr>
                <w:sz w:val="20"/>
                <w:szCs w:val="20"/>
                <w:color w:val="auto"/>
              </w:rPr>
            </w:pPr>
            <w:r>
              <w:rPr>
                <w:rFonts w:ascii="Arial" w:cs="Arial" w:eastAsia="Arial" w:hAnsi="Arial"/>
                <w:sz w:val="18"/>
                <w:szCs w:val="18"/>
                <w:color w:val="auto"/>
              </w:rPr>
              <w:t>729,320</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22"/>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8"/>
              </w:rPr>
              <w:t>OWNED</w:t>
            </w:r>
          </w:p>
        </w:tc>
        <w:tc>
          <w:tcPr>
            <w:tcW w:w="1340" w:type="dxa"/>
            <w:vAlign w:val="bottom"/>
            <w:tcBorders>
              <w:bottom w:val="single" w:sz="8" w:color="auto"/>
            </w:tcBorders>
          </w:tcPr>
          <w:p>
            <w:pPr>
              <w:spacing w:after="0"/>
              <w:rPr>
                <w:sz w:val="10"/>
                <w:szCs w:val="10"/>
                <w:color w:val="auto"/>
              </w:rPr>
            </w:pPr>
          </w:p>
        </w:tc>
        <w:tc>
          <w:tcPr>
            <w:tcW w:w="8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340" w:type="dxa"/>
            <w:vAlign w:val="bottom"/>
            <w:vMerge w:val="restart"/>
          </w:tcPr>
          <w:p>
            <w:pPr>
              <w:jc w:val="center"/>
              <w:ind w:left="250"/>
              <w:spacing w:after="0" w:line="195" w:lineRule="exact"/>
              <w:rPr>
                <w:sz w:val="20"/>
                <w:szCs w:val="20"/>
                <w:color w:val="auto"/>
              </w:rPr>
            </w:pPr>
            <w:r>
              <w:rPr>
                <w:rFonts w:ascii="Arial" w:cs="Arial" w:eastAsia="Arial" w:hAnsi="Arial"/>
                <w:sz w:val="18"/>
                <w:szCs w:val="18"/>
                <w:b w:val="1"/>
                <w:bCs w:val="1"/>
                <w:color w:val="auto"/>
                <w:w w:val="79"/>
              </w:rPr>
              <w:t>9</w:t>
            </w:r>
          </w:p>
        </w:tc>
        <w:tc>
          <w:tcPr>
            <w:tcW w:w="8320" w:type="dxa"/>
            <w:vAlign w:val="bottom"/>
            <w:vMerge w:val="restart"/>
          </w:tcPr>
          <w:p>
            <w:pPr>
              <w:ind w:left="40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1340" w:type="dxa"/>
            <w:vAlign w:val="bottom"/>
            <w:vMerge w:val="continue"/>
          </w:tcPr>
          <w:p>
            <w:pPr>
              <w:spacing w:after="0"/>
              <w:rPr>
                <w:sz w:val="10"/>
                <w:szCs w:val="10"/>
                <w:color w:val="auto"/>
              </w:rPr>
            </w:pPr>
          </w:p>
        </w:tc>
        <w:tc>
          <w:tcPr>
            <w:tcW w:w="8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58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8320" w:type="dxa"/>
            <w:vAlign w:val="bottom"/>
            <w:vMerge w:val="restart"/>
          </w:tcPr>
          <w:p>
            <w:pPr>
              <w:ind w:left="4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34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580" w:type="dxa"/>
            <w:vAlign w:val="bottom"/>
            <w:vMerge w:val="continue"/>
          </w:tcPr>
          <w:p>
            <w:pPr>
              <w:spacing w:after="0"/>
              <w:rPr>
                <w:sz w:val="5"/>
                <w:szCs w:val="5"/>
                <w:color w:val="auto"/>
              </w:rPr>
            </w:pPr>
          </w:p>
        </w:tc>
        <w:tc>
          <w:tcPr>
            <w:tcW w:w="1340" w:type="dxa"/>
            <w:vAlign w:val="bottom"/>
            <w:vMerge w:val="restart"/>
          </w:tcPr>
          <w:p>
            <w:pPr>
              <w:jc w:val="center"/>
              <w:ind w:left="270"/>
              <w:spacing w:after="0" w:line="199" w:lineRule="exact"/>
              <w:rPr>
                <w:sz w:val="20"/>
                <w:szCs w:val="20"/>
                <w:color w:val="auto"/>
              </w:rPr>
            </w:pPr>
            <w:r>
              <w:rPr>
                <w:rFonts w:ascii="Arial" w:cs="Arial" w:eastAsia="Arial" w:hAnsi="Arial"/>
                <w:sz w:val="18"/>
                <w:szCs w:val="18"/>
                <w:b w:val="1"/>
                <w:bCs w:val="1"/>
                <w:color w:val="auto"/>
                <w:w w:val="89"/>
              </w:rPr>
              <w:t>10</w:t>
            </w:r>
          </w:p>
        </w:tc>
        <w:tc>
          <w:tcPr>
            <w:tcW w:w="8320" w:type="dxa"/>
            <w:vAlign w:val="bottom"/>
            <w:vMerge w:val="restart"/>
          </w:tcPr>
          <w:p>
            <w:pPr>
              <w:ind w:left="400"/>
              <w:spacing w:after="0" w:line="199"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9"/>
        </w:trPr>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340" w:type="dxa"/>
            <w:vAlign w:val="bottom"/>
            <w:vMerge w:val="continue"/>
          </w:tcPr>
          <w:p>
            <w:pPr>
              <w:spacing w:after="0"/>
              <w:rPr>
                <w:sz w:val="12"/>
                <w:szCs w:val="12"/>
                <w:color w:val="auto"/>
              </w:rPr>
            </w:pPr>
          </w:p>
        </w:tc>
        <w:tc>
          <w:tcPr>
            <w:tcW w:w="8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58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8320" w:type="dxa"/>
            <w:vAlign w:val="bottom"/>
            <w:vMerge w:val="restart"/>
          </w:tcPr>
          <w:p>
            <w:pPr>
              <w:ind w:left="400"/>
              <w:spacing w:after="0" w:line="283" w:lineRule="exact"/>
              <w:rPr>
                <w:sz w:val="20"/>
                <w:szCs w:val="20"/>
                <w:color w:val="auto"/>
              </w:rPr>
            </w:pPr>
            <w:r>
              <w:rPr>
                <w:rFonts w:ascii="Arial" w:cs="Arial" w:eastAsia="Arial" w:hAnsi="Arial"/>
                <w:sz w:val="18"/>
                <w:szCs w:val="18"/>
                <w:color w:val="auto"/>
              </w:rPr>
              <w:t>729,320</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91"/>
        </w:trPr>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40" w:hanging="1204"/>
        <w:spacing w:after="0"/>
        <w:tabs>
          <w:tab w:leader="none" w:pos="1640" w:val="left"/>
        </w:tabs>
        <w:numPr>
          <w:ilvl w:val="1"/>
          <w:numId w:val="7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640"/>
        <w:spacing w:after="0" w:line="195" w:lineRule="auto"/>
        <w:rPr>
          <w:rFonts w:ascii="Arial" w:cs="Arial" w:eastAsia="Arial" w:hAnsi="Arial"/>
          <w:sz w:val="18"/>
          <w:szCs w:val="18"/>
          <w:b w:val="1"/>
          <w:bCs w:val="1"/>
          <w:color w:val="auto"/>
        </w:rPr>
      </w:pPr>
      <w:r>
        <w:rPr>
          <w:rFonts w:ascii="Arial" w:cs="Arial" w:eastAsia="Arial" w:hAnsi="Arial"/>
          <w:sz w:val="18"/>
          <w:szCs w:val="18"/>
          <w:color w:val="auto"/>
        </w:rPr>
        <w:t>729,320</w:t>
      </w:r>
      <w:r>
        <w:rPr>
          <w:rFonts w:ascii="Arial" w:cs="Arial" w:eastAsia="Arial" w:hAnsi="Arial"/>
          <w:sz w:val="29"/>
          <w:szCs w:val="29"/>
          <w:color w:val="auto"/>
          <w:vertAlign w:val="superscript"/>
        </w:rPr>
        <w:t>1</w:t>
      </w:r>
    </w:p>
    <w:p>
      <w:pPr>
        <w:ind w:left="1640" w:hanging="1209"/>
        <w:spacing w:after="0"/>
        <w:tabs>
          <w:tab w:leader="none" w:pos="1640" w:val="left"/>
        </w:tabs>
        <w:numPr>
          <w:ilvl w:val="1"/>
          <w:numId w:val="72"/>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64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b w:val="1"/>
          <w:bCs w:val="1"/>
          <w:color w:val="auto"/>
        </w:rPr>
      </w:pPr>
    </w:p>
    <w:p>
      <w:pPr>
        <w:ind w:left="1640" w:hanging="1209"/>
        <w:spacing w:after="0"/>
        <w:tabs>
          <w:tab w:leader="none" w:pos="1640" w:val="left"/>
        </w:tabs>
        <w:numPr>
          <w:ilvl w:val="1"/>
          <w:numId w:val="72"/>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7" w:lineRule="exact"/>
        <w:rPr>
          <w:rFonts w:ascii="Arial" w:cs="Arial" w:eastAsia="Arial" w:hAnsi="Arial"/>
          <w:sz w:val="18"/>
          <w:szCs w:val="18"/>
          <w:b w:val="1"/>
          <w:bCs w:val="1"/>
          <w:color w:val="auto"/>
        </w:rPr>
      </w:pPr>
    </w:p>
    <w:p>
      <w:pPr>
        <w:ind w:left="1640"/>
        <w:spacing w:after="0" w:line="195" w:lineRule="auto"/>
        <w:rPr>
          <w:rFonts w:ascii="Arial" w:cs="Arial" w:eastAsia="Arial" w:hAnsi="Arial"/>
          <w:sz w:val="18"/>
          <w:szCs w:val="18"/>
          <w:b w:val="1"/>
          <w:bCs w:val="1"/>
          <w:color w:val="auto"/>
        </w:rPr>
      </w:pPr>
      <w:r>
        <w:rPr>
          <w:rFonts w:ascii="Arial" w:cs="Arial" w:eastAsia="Arial" w:hAnsi="Arial"/>
          <w:sz w:val="18"/>
          <w:szCs w:val="18"/>
          <w:color w:val="auto"/>
        </w:rPr>
        <w:t>1.6%</w:t>
      </w:r>
      <w:r>
        <w:rPr>
          <w:rFonts w:ascii="Arial" w:cs="Arial" w:eastAsia="Arial" w:hAnsi="Arial"/>
          <w:sz w:val="29"/>
          <w:szCs w:val="29"/>
          <w:color w:val="auto"/>
          <w:vertAlign w:val="superscript"/>
        </w:rPr>
        <w:t>2</w:t>
      </w:r>
    </w:p>
    <w:p>
      <w:pPr>
        <w:ind w:left="1640" w:right="5220" w:hanging="1209"/>
        <w:spacing w:after="0" w:line="258" w:lineRule="auto"/>
        <w:tabs>
          <w:tab w:leader="none" w:pos="1640" w:val="left"/>
        </w:tabs>
        <w:numPr>
          <w:ilvl w:val="1"/>
          <w:numId w:val="72"/>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OO</w:t>
      </w:r>
    </w:p>
    <w:p>
      <w:pPr>
        <w:spacing w:after="0" w:line="227" w:lineRule="exact"/>
        <w:rPr>
          <w:rFonts w:ascii="Arial" w:cs="Arial" w:eastAsia="Arial" w:hAnsi="Arial"/>
          <w:sz w:val="18"/>
          <w:szCs w:val="18"/>
          <w:b w:val="1"/>
          <w:bCs w:val="1"/>
          <w:color w:val="auto"/>
        </w:rPr>
      </w:pPr>
    </w:p>
    <w:p>
      <w:pPr>
        <w:ind w:left="380" w:hanging="324"/>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1 As described in Item 5 below, Atlas Venture Opportunity Fund I, L.P., a Delaware limited partnership (“AVOF”), Atlas Venture Associates Opportunity I, L.P., a Delaware limited partnership (“AVAO LP”) and Atlas Venture Associates Opportunity I, LLC, a Delaware limited liability company (“AVAO LLC” and together with AVOF and AVAO LP, the “Opportunity Fund Reporting Persons”) beneficially own 729,320 shares of the Issuer’s Common Stock. All of these shares are held by AVOF. AVAO LP is the general partner of AVOF and AVAO LLC is the general partner of AVAO LP Each of AVAO LP and AVAO LLC has voting and dispositive power over the shares held by AVOF. As such, each of the Opportunity Fund Reporting Persons share voting and dispositive power with respect to the shares held by AVOF.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-1000125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-1283335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-1591945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-1874520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5" w:lineRule="exact"/>
        <w:rPr>
          <w:sz w:val="20"/>
          <w:szCs w:val="20"/>
          <w:color w:val="auto"/>
        </w:rPr>
      </w:pPr>
    </w:p>
    <w:p>
      <w:pPr>
        <w:ind w:left="380" w:hanging="318"/>
        <w:spacing w:after="0" w:line="308" w:lineRule="auto"/>
        <w:tabs>
          <w:tab w:leader="none" w:pos="3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This percentage is calculated based upon 45,301,990 shares of Common Stock outstanding immediately after the Closing (as defined below), as reported in the Issuer’s Current Report on Form 8-K filed with the Securities and Exchange Commission on February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0" w:name="page11"/>
    <w:bookmarkEnd w:id="10"/>
    <w:p>
      <w:pPr>
        <w:ind w:left="60"/>
        <w:spacing w:after="0"/>
        <w:tabs>
          <w:tab w:leader="none" w:pos="1018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5"/>
          <w:szCs w:val="15"/>
          <w:color w:val="auto"/>
        </w:rPr>
        <w:t>Page 11 of 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constitutes the Schedule 13D filed by the undersigned (the “Schedule 13D”). This Schedule 13D is being filed by Atlas Venture Fund X, L.P., Atlas Venture Associates X, L.P., Atlas Venture Associates X, LLC, Atlas Venture Fund XII, L.P., Atlas Venture Associates XII, L.P., Atlas Venture Associates XII, LLC, Atlas Venture Opportunity Fund I, L.P., Atlas Venture Associates Opportunity I, L.P. and Atlas Venture Associates Opportunity I, LLC in connection with the transaction described in Item 3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class of equity securities to which this Schedule 13D relates is common stock, par value $0.0001 per share (the “Common Stock”) of Gemini Therapeutics, Inc., a Delaware corporation (the “Issuer” or “Gemini”). The principal executive offices of the Issuer are located at 300 One Kendall Square, 3rd Floor, Cambridge, Massachusetts 02139.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left="680" w:hanging="672"/>
        <w:spacing w:after="0" w:line="253" w:lineRule="auto"/>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This Schedule 13D is filed by (i) Atlas Venture Fund X, L.P., a Delaware limited partnership (“Atlas X”), (ii) Atlas Venture Associates X, L.P., a Delaware limited partnership (“AVA X LP”), (iii) Atlas Venture Associates X, LLC, a Delaware limited liability company (“AVA X LLC” and together with Atlas X and AVA X LP, the “Fund X Reporting Persons”), (vi) Atlas Venture Fund XII, L.P., a Delaware limited partnership (“Atlas XII”), (v) Atlas Venture Associates XII, L.P., a Delaware limited partnership (“AVA XII LP”), (vi) Atlas Venture Associates XII, LLC, a Delaware limited liability company (“AVA XII LLC” and together with Atlas XII and AVA XII LP, the “Fund XII Reporting Persons”) (vii) Atlas Venture Opportunity Fund I, L.P., a Delaware limited partnership (“AVOF”), (viii) Atlas Venture Associates Opportunity I, L.P., a Delaware limited partnership (“AVAO LP”) and (ix) Atlas Venture Associates Opportunity I, LLC, a Delaware limited liability company (“AVAO LLC” and together with AVOF and AVAO LP, the “Opportunity Fund Reporting Persons” and together with the Fund X Reporting Persons and Fund XII Reporting Persons, the “Reporting Persons”).</w:t>
      </w:r>
    </w:p>
    <w:p>
      <w:pPr>
        <w:spacing w:after="0" w:line="223" w:lineRule="exact"/>
        <w:rPr>
          <w:rFonts w:ascii="Arial" w:cs="Arial" w:eastAsia="Arial" w:hAnsi="Arial"/>
          <w:sz w:val="18"/>
          <w:szCs w:val="18"/>
          <w:color w:val="auto"/>
        </w:rPr>
      </w:pPr>
    </w:p>
    <w:p>
      <w:pPr>
        <w:ind w:left="680" w:right="1020" w:hanging="672"/>
        <w:spacing w:after="0" w:line="277" w:lineRule="auto"/>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address of the principal place of business of each of the Reporting Persons is c/o 300 Technology Square, 8th Floor, Cambridge, Massachusetts 02139.</w:t>
      </w:r>
    </w:p>
    <w:p>
      <w:pPr>
        <w:spacing w:after="0" w:line="197" w:lineRule="exact"/>
        <w:rPr>
          <w:rFonts w:ascii="Arial" w:cs="Arial" w:eastAsia="Arial" w:hAnsi="Arial"/>
          <w:sz w:val="18"/>
          <w:szCs w:val="18"/>
          <w:color w:val="auto"/>
        </w:rPr>
      </w:pPr>
    </w:p>
    <w:p>
      <w:pPr>
        <w:ind w:left="680" w:hanging="672"/>
        <w:spacing w:after="0"/>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principal business of each of the Reporting Persons is the venture capital investment business.</w:t>
      </w:r>
    </w:p>
    <w:p>
      <w:pPr>
        <w:spacing w:after="0" w:line="252" w:lineRule="exact"/>
        <w:rPr>
          <w:rFonts w:ascii="Arial" w:cs="Arial" w:eastAsia="Arial" w:hAnsi="Arial"/>
          <w:sz w:val="18"/>
          <w:szCs w:val="18"/>
          <w:color w:val="auto"/>
        </w:rPr>
      </w:pPr>
    </w:p>
    <w:p>
      <w:pPr>
        <w:ind w:left="680" w:right="280" w:hanging="672"/>
        <w:spacing w:after="0" w:line="277" w:lineRule="auto"/>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has been convicted in any criminal proceeding (excluding traffic violations or similar misdemeanors).</w:t>
      </w:r>
    </w:p>
    <w:p>
      <w:pPr>
        <w:spacing w:after="0" w:line="170" w:lineRule="exact"/>
        <w:rPr>
          <w:rFonts w:ascii="Arial" w:cs="Arial" w:eastAsia="Arial" w:hAnsi="Arial"/>
          <w:sz w:val="18"/>
          <w:szCs w:val="18"/>
          <w:color w:val="auto"/>
        </w:rPr>
      </w:pPr>
    </w:p>
    <w:p>
      <w:pPr>
        <w:jc w:val="both"/>
        <w:ind w:left="680" w:right="180" w:hanging="672"/>
        <w:spacing w:after="0" w:line="286" w:lineRule="auto"/>
        <w:tabs>
          <w:tab w:leader="none" w:pos="6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92" w:lineRule="exact"/>
        <w:rPr>
          <w:rFonts w:ascii="Arial" w:cs="Arial" w:eastAsia="Arial" w:hAnsi="Arial"/>
          <w:sz w:val="17"/>
          <w:szCs w:val="17"/>
          <w:color w:val="auto"/>
        </w:rPr>
      </w:pPr>
    </w:p>
    <w:p>
      <w:pPr>
        <w:ind w:left="680" w:right="60" w:hanging="672"/>
        <w:spacing w:after="0" w:line="277" w:lineRule="auto"/>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of Atlas X, AVA X LP, Atlas XII, AVA XII LP, AVOF and AVAO LP is a Delaware limited partnership. Each of AVA X LLC, AVA XII LLC and AVAO LLC is a Delaware limited liability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5, 2021, the Issuer, completed the transactions contemplated by the Agreement and Plan of Merger Agreement, dated as of October 15, 2020 (the “Merger Agreement”), among the Issuer, FSG Merger Sub, Inc., a Delaware corporation and a wholly-owned subsidiary of the Issuer (“Merger Sub”), Gemini Therapeutics Sub, Inc., a Delaware corporation (“Old Gemini”), and Shareholder Representative Services LLC (the “Closing”), pursuant to which Merger Sub merged with and into Old Gemini (the “Business Combination”), with Old Gemini surviving the merger as a wholly-owned subsidiary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1" w:name="page12"/>
    <w:bookmarkEnd w:id="11"/>
    <w:p>
      <w:pPr>
        <w:ind w:left="60"/>
        <w:spacing w:after="0"/>
        <w:tabs>
          <w:tab w:leader="none" w:pos="1016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6"/>
          <w:szCs w:val="16"/>
          <w:color w:val="auto"/>
        </w:rPr>
        <w:t>Page 12 of 19</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Immediately prior to the Closing, Atlas XII purchased 510,000 shares of Common Stock for an aggregate purchase price of $5,100,000 pursuant to a subscription agreement between the Issuer and certain investors and as a result of the Closing, Atlas X and AVOF received 4,015,045 and 729,320 shares of Common Stock, respectively, in the Business Combination in exchange for shares of Old Gemini.</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funds used by Atlas XII to acquire the securities described above were obtained from its general and limited partners.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Reporting Persons acquired the Common Stock for investment purposes. Except as set forth herein and except that the Reporting Persons or any of their affiliates may, from time to time or at any time, subject to market conditions and other factors, purchase additional Common Stock in the open market, in privately negotiated transactions or otherwise, or sell at any time all or a portion of the Common Stock now owned or hereafter acquired by them to one or more purchasers, as of the date of this Schedule 13D, none of the Reporting Persons has any present plans which relate to or would result in:</w:t>
      </w:r>
    </w:p>
    <w:p>
      <w:pPr>
        <w:spacing w:after="0" w:line="157" w:lineRule="exact"/>
        <w:rPr>
          <w:sz w:val="20"/>
          <w:szCs w:val="20"/>
          <w:color w:val="auto"/>
        </w:rPr>
      </w:pPr>
    </w:p>
    <w:p>
      <w:pPr>
        <w:ind w:left="1360" w:hanging="677"/>
        <w:spacing w:after="0"/>
        <w:tabs>
          <w:tab w:leader="none" w:pos="13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acquisition by any person of additional securities of the Issuer, or the disposition of securities of the Issuer;</w:t>
      </w:r>
    </w:p>
    <w:p>
      <w:pPr>
        <w:spacing w:after="0" w:line="252" w:lineRule="exact"/>
        <w:rPr>
          <w:rFonts w:ascii="Arial" w:cs="Arial" w:eastAsia="Arial" w:hAnsi="Arial"/>
          <w:sz w:val="18"/>
          <w:szCs w:val="18"/>
          <w:color w:val="auto"/>
        </w:rPr>
      </w:pPr>
    </w:p>
    <w:p>
      <w:pPr>
        <w:ind w:left="1360" w:hanging="677"/>
        <w:spacing w:after="0"/>
        <w:tabs>
          <w:tab w:leader="none" w:pos="13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 extraordinary corporate transaction, such as a merger, reorganization or liquidation, involving the Issuer or any of its subsidiaries;</w:t>
      </w:r>
    </w:p>
    <w:p>
      <w:pPr>
        <w:spacing w:after="0" w:line="275" w:lineRule="exact"/>
        <w:rPr>
          <w:rFonts w:ascii="Arial" w:cs="Arial" w:eastAsia="Arial" w:hAnsi="Arial"/>
          <w:sz w:val="16"/>
          <w:szCs w:val="16"/>
          <w:color w:val="auto"/>
        </w:rPr>
      </w:pPr>
    </w:p>
    <w:p>
      <w:pPr>
        <w:ind w:left="1360" w:hanging="677"/>
        <w:spacing w:after="0"/>
        <w:tabs>
          <w:tab w:leader="none" w:pos="13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sale or transfer of a material amount of assets of the Issuer or any of its subsidiaries;</w:t>
      </w:r>
    </w:p>
    <w:p>
      <w:pPr>
        <w:spacing w:after="0" w:line="225" w:lineRule="exact"/>
        <w:rPr>
          <w:rFonts w:ascii="Arial" w:cs="Arial" w:eastAsia="Arial" w:hAnsi="Arial"/>
          <w:sz w:val="18"/>
          <w:szCs w:val="18"/>
          <w:color w:val="auto"/>
        </w:rPr>
      </w:pPr>
    </w:p>
    <w:p>
      <w:pPr>
        <w:ind w:left="1360" w:right="380" w:hanging="677"/>
        <w:spacing w:after="0" w:line="277" w:lineRule="auto"/>
        <w:tabs>
          <w:tab w:leader="none" w:pos="13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change in the present board of directors or management of the Issuer, including any plans or proposals to change the number or term of directors or to fill any existing vacancies on the board;</w:t>
      </w:r>
    </w:p>
    <w:p>
      <w:pPr>
        <w:spacing w:after="0" w:line="197" w:lineRule="exact"/>
        <w:rPr>
          <w:rFonts w:ascii="Arial" w:cs="Arial" w:eastAsia="Arial" w:hAnsi="Arial"/>
          <w:sz w:val="18"/>
          <w:szCs w:val="18"/>
          <w:color w:val="auto"/>
        </w:rPr>
      </w:pPr>
    </w:p>
    <w:p>
      <w:pPr>
        <w:ind w:left="1360" w:hanging="677"/>
        <w:spacing w:after="0"/>
        <w:tabs>
          <w:tab w:leader="none" w:pos="13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material change in the present capitalization or dividend policy of the Issuer;</w:t>
      </w:r>
    </w:p>
    <w:p>
      <w:pPr>
        <w:spacing w:after="0" w:line="225" w:lineRule="exact"/>
        <w:rPr>
          <w:rFonts w:ascii="Arial" w:cs="Arial" w:eastAsia="Arial" w:hAnsi="Arial"/>
          <w:sz w:val="18"/>
          <w:szCs w:val="18"/>
          <w:color w:val="auto"/>
        </w:rPr>
      </w:pPr>
    </w:p>
    <w:p>
      <w:pPr>
        <w:jc w:val="both"/>
        <w:ind w:left="1360" w:right="80" w:hanging="677"/>
        <w:spacing w:after="0" w:line="263" w:lineRule="auto"/>
        <w:tabs>
          <w:tab w:leader="none" w:pos="13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other material change in the Issuer’s business or corporate structure including but not limited to, if the Issuer is a registered closed-end investment company, any plans or proposals to make any changes in its investment policy for which a vote is required by section 13 of the Investment Company Act of 1940;</w:t>
      </w:r>
    </w:p>
    <w:p>
      <w:pPr>
        <w:spacing w:after="0" w:line="210" w:lineRule="exact"/>
        <w:rPr>
          <w:rFonts w:ascii="Arial" w:cs="Arial" w:eastAsia="Arial" w:hAnsi="Arial"/>
          <w:sz w:val="18"/>
          <w:szCs w:val="18"/>
          <w:color w:val="auto"/>
        </w:rPr>
      </w:pPr>
    </w:p>
    <w:p>
      <w:pPr>
        <w:ind w:left="1360" w:right="500" w:hanging="677"/>
        <w:spacing w:after="0" w:line="277" w:lineRule="auto"/>
        <w:tabs>
          <w:tab w:leader="none" w:pos="13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Changes in the Issuer’s charter, bylaws or instruments corresponding thereto or other actions which may impede the acquisition of control of the Issuer by any person;</w:t>
      </w:r>
    </w:p>
    <w:p>
      <w:pPr>
        <w:spacing w:after="0" w:line="197" w:lineRule="exact"/>
        <w:rPr>
          <w:rFonts w:ascii="Arial" w:cs="Arial" w:eastAsia="Arial" w:hAnsi="Arial"/>
          <w:sz w:val="18"/>
          <w:szCs w:val="18"/>
          <w:color w:val="auto"/>
        </w:rPr>
      </w:pPr>
    </w:p>
    <w:p>
      <w:pPr>
        <w:ind w:left="1360" w:right="180" w:hanging="677"/>
        <w:spacing w:after="0" w:line="277" w:lineRule="auto"/>
        <w:tabs>
          <w:tab w:leader="none" w:pos="13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Causing a class of securities of the Issuer to be delisted from a national securities exchange or to cease to be authorized to be quoted in an inter-dealer quotation system of a registered national securities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2" w:name="page13"/>
    <w:bookmarkEnd w:id="12"/>
    <w:p>
      <w:pPr>
        <w:ind w:left="60"/>
        <w:spacing w:after="0"/>
        <w:tabs>
          <w:tab w:leader="none" w:pos="1016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6"/>
          <w:szCs w:val="16"/>
          <w:color w:val="auto"/>
        </w:rPr>
        <w:t>Page 13 of 19</w:t>
      </w:r>
    </w:p>
    <w:p>
      <w:pPr>
        <w:spacing w:after="0" w:line="252" w:lineRule="exact"/>
        <w:rPr>
          <w:sz w:val="20"/>
          <w:szCs w:val="20"/>
          <w:color w:val="auto"/>
        </w:rPr>
      </w:pPr>
    </w:p>
    <w:p>
      <w:pPr>
        <w:ind w:left="1360" w:hanging="677"/>
        <w:spacing w:after="0"/>
        <w:tabs>
          <w:tab w:leader="none" w:pos="13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 class of equity securities of the Issuer becoming eligible for termination of registration pursuant to Section 12(g)(4) of the Act; or</w:t>
      </w:r>
    </w:p>
    <w:p>
      <w:pPr>
        <w:spacing w:after="0" w:line="263" w:lineRule="exact"/>
        <w:rPr>
          <w:rFonts w:ascii="Arial" w:cs="Arial" w:eastAsia="Arial" w:hAnsi="Arial"/>
          <w:sz w:val="17"/>
          <w:szCs w:val="17"/>
          <w:color w:val="auto"/>
        </w:rPr>
      </w:pPr>
    </w:p>
    <w:p>
      <w:pPr>
        <w:ind w:left="1360" w:hanging="677"/>
        <w:spacing w:after="0"/>
        <w:tabs>
          <w:tab w:leader="none" w:pos="13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action similar to any of those enumerated above.</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Jason Rhodes, a member of Atlas X, Atlas XII and AVOF, served on the board of directors of Old Gemini prior to the Closing and, following the Closing, Mr. Rhodes joined the board of directors of the Issuer. As a director of the Issuer, Mr. Rhodes may have influence over the corporate activities of the Issuer, including activities which may relate to the transactions described in clauses (a) through (j) of this Item 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ectPr>
          <w:pgSz w:w="11900" w:h="16838" w:orient="portrait"/>
          <w:cols w:equalWidth="0" w:num="1">
            <w:col w:w="11240"/>
          </w:cols>
          <w:pgMar w:left="320" w:top="827" w:right="339" w:bottom="1440" w:gutter="0" w:footer="0" w:header="0"/>
        </w:sectPr>
      </w:pP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(a)(b)</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the date hereof, Atlas X is the record owner of 4,015,045 shares of Common Stock. AVA X LP is the general partner of Atlas X and AVA X LLC is the general partner of AVA X LP. Each of Atlas X, AVA X LP and AVA X LLC has shared voting and dispositive power over the shares held by Atlas X and AVA X LLC has shared voting and dispositive power over the shares held by AVA X LP. As such, each of Atlas X, AVA X LP and AVA X LLC may be deemed to beneficially own the shares held by Atlas X.</w:t>
      </w:r>
    </w:p>
    <w:p>
      <w:pPr>
        <w:spacing w:after="0" w:line="171" w:lineRule="exact"/>
        <w:rPr>
          <w:sz w:val="20"/>
          <w:szCs w:val="20"/>
          <w:color w:val="auto"/>
        </w:rPr>
      </w:pPr>
    </w:p>
    <w:p>
      <w:pPr>
        <w:sectPr>
          <w:pgSz w:w="11900" w:h="16838" w:orient="portrait"/>
          <w:cols w:equalWidth="0" w:num="2">
            <w:col w:w="640" w:space="720"/>
            <w:col w:w="9880"/>
          </w:cols>
          <w:pgMar w:left="320" w:top="827" w:right="339" w:bottom="1440" w:gutter="0" w:footer="0" w:header="0"/>
          <w:type w:val="continuous"/>
        </w:sectPr>
      </w:pPr>
    </w:p>
    <w:p>
      <w:pPr>
        <w:jc w:val="both"/>
        <w:ind w:left="1300"/>
        <w:spacing w:after="0" w:line="257" w:lineRule="auto"/>
        <w:rPr>
          <w:sz w:val="20"/>
          <w:szCs w:val="20"/>
          <w:color w:val="auto"/>
        </w:rPr>
      </w:pPr>
      <w:r>
        <w:rPr>
          <w:rFonts w:ascii="Arial" w:cs="Arial" w:eastAsia="Arial" w:hAnsi="Arial"/>
          <w:sz w:val="18"/>
          <w:szCs w:val="18"/>
          <w:color w:val="auto"/>
        </w:rPr>
        <w:t>As of the date hereof, Atlas XII is the record owner of 510,000 shares of Common Stock. AVA XII LP is the general partner of Atlas XII and AVA XII LLC is the general partner of AVA XII LP. Each of Atlas XII, AVA XII LP and AVA XII LLC has shared voting and dispositive power over the shares held by Atlas XII and AVA XII LLC has shared voting and dispositive power over the shares held by AVA XII LP. As such, each of Atlas XII, AVA XII LP and AVA XII LLC may be deemed to beneficially own the shares held by Atlas XII.</w:t>
      </w:r>
    </w:p>
    <w:p>
      <w:pPr>
        <w:spacing w:after="0" w:line="188"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As of the date hereof, AVOF is the record owner of 729,320 shares of Common Stock. AVAO LP is the general partner of AVOF and AVAO LLC is the general partner of AVAO LP. Each of AVOF, AVAO LP and AVAO LLC has shared voting and dispositive power over the shares held by AVOF. As such, each of AVOF, AVAO LP and AVAO LLC may be deemed to beneficially own the shares held by AVOF.</w:t>
      </w:r>
    </w:p>
    <w:p>
      <w:pPr>
        <w:spacing w:after="0" w:line="187"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color w:val="auto"/>
        </w:rPr>
        <w:t>Each of the Fund X Reporting Persons, Fund XII Reporting Persons and Opportunity Fund Reporting Persons may be deemed to beneficially own 8.9%, 1.1% and 1.6%, respectively, of the Issuer’s outstanding Common Stock, which percentages are calculated based upon 45,301,990 shares of Common Stock outstanding immediately after the Closing, as reported in the Issuer’s Current Report on Form 8-K filed with the Securities and Exchange Commission on February 11, 2021.</w:t>
      </w:r>
    </w:p>
    <w:p>
      <w:pPr>
        <w:spacing w:after="0" w:line="171" w:lineRule="exact"/>
        <w:rPr>
          <w:sz w:val="20"/>
          <w:szCs w:val="20"/>
          <w:color w:val="auto"/>
        </w:rPr>
      </w:pPr>
    </w:p>
    <w:p>
      <w:pPr>
        <w:jc w:val="both"/>
        <w:ind w:left="1300"/>
        <w:spacing w:after="0" w:line="275" w:lineRule="auto"/>
        <w:rPr>
          <w:sz w:val="20"/>
          <w:szCs w:val="20"/>
          <w:color w:val="auto"/>
        </w:rPr>
      </w:pPr>
      <w:r>
        <w:rPr>
          <w:rFonts w:ascii="Arial" w:cs="Arial" w:eastAsia="Arial" w:hAnsi="Arial"/>
          <w:sz w:val="17"/>
          <w:szCs w:val="17"/>
          <w:color w:val="auto"/>
        </w:rPr>
        <w:t>Collectively, the Reporting Persons beneficially own an aggregate of 5,254,365 shares of Common Stock, which represents 11.6% of the Issuer’s outstanding Common Stock. The Fund X Reporting Persons, Fund XII Reporting Persons and the Opportunity Fund Reporting Persons are under common control and as a result, the Reporting Persons may be deemed to be members of a group. However, the Reporting Persons disclaim such group membership, and this Schedule 13D shall not be deemed an admission that the Reporting Persons are members of a group for purposes of Section 13 or for any other purposes.</w:t>
      </w:r>
    </w:p>
    <w:p>
      <w:pPr>
        <w:sectPr>
          <w:pgSz w:w="11900" w:h="16838" w:orient="portrait"/>
          <w:cols w:equalWidth="0" w:num="1">
            <w:col w:w="11240"/>
          </w:cols>
          <w:pgMar w:left="320" w:top="827" w:right="339" w:bottom="1440" w:gutter="0" w:footer="0" w:header="0"/>
          <w:type w:val="continuous"/>
        </w:sectPr>
      </w:pPr>
    </w:p>
    <w:p>
      <w:pPr>
        <w:spacing w:after="0" w:line="176" w:lineRule="exact"/>
        <w:rPr>
          <w:sz w:val="20"/>
          <w:szCs w:val="20"/>
          <w:color w:val="auto"/>
        </w:rPr>
      </w:pPr>
    </w:p>
    <w:p>
      <w:pPr>
        <w:ind w:left="1360" w:hanging="1298"/>
        <w:spacing w:after="0"/>
        <w:tabs>
          <w:tab w:leader="none" w:pos="13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Except as described herein, none of the Reporting Persons have purchased or sold any shares of Common Stock during the past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type w:val="continuous"/>
        </w:sectPr>
      </w:pPr>
    </w:p>
    <w:bookmarkStart w:id="13" w:name="page14"/>
    <w:bookmarkEnd w:id="13"/>
    <w:p>
      <w:pPr>
        <w:ind w:left="60"/>
        <w:spacing w:after="0"/>
        <w:tabs>
          <w:tab w:leader="none" w:pos="1016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6"/>
          <w:szCs w:val="16"/>
          <w:color w:val="auto"/>
        </w:rPr>
        <w:t>Page 14 of 19</w:t>
      </w:r>
    </w:p>
    <w:p>
      <w:pPr>
        <w:spacing w:after="0" w:line="252" w:lineRule="exact"/>
        <w:rPr>
          <w:sz w:val="20"/>
          <w:szCs w:val="20"/>
          <w:color w:val="auto"/>
        </w:rPr>
      </w:pPr>
    </w:p>
    <w:p>
      <w:pPr>
        <w:ind w:left="1360" w:right="20" w:hanging="1298"/>
        <w:spacing w:after="0" w:line="308" w:lineRule="auto"/>
        <w:tabs>
          <w:tab w:leader="none" w:pos="13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No other person is known by the Reporting Persons to have the right to receive or the power to direct the receipt of dividends from, or the proceeds from the sale of, the shares of Common Stock beneficially owned by the Reporting Persons.</w:t>
      </w:r>
    </w:p>
    <w:p>
      <w:pPr>
        <w:spacing w:after="0" w:line="173" w:lineRule="exact"/>
        <w:rPr>
          <w:rFonts w:ascii="Arial" w:cs="Arial" w:eastAsia="Arial" w:hAnsi="Arial"/>
          <w:sz w:val="17"/>
          <w:szCs w:val="17"/>
          <w:color w:val="auto"/>
        </w:rPr>
      </w:pPr>
    </w:p>
    <w:p>
      <w:pPr>
        <w:ind w:left="1760" w:hanging="1293"/>
        <w:spacing w:after="0"/>
        <w:tabs>
          <w:tab w:leader="none" w:pos="17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920" w:right="380" w:hanging="903"/>
        <w:spacing w:after="0" w:line="282" w:lineRule="auto"/>
        <w:tabs>
          <w:tab w:leader="none" w:pos="900" w:val="left"/>
        </w:tabs>
        <w:rPr>
          <w:sz w:val="20"/>
          <w:szCs w:val="20"/>
          <w:color w:val="auto"/>
        </w:rPr>
      </w:pPr>
      <w:r>
        <w:rPr>
          <w:rFonts w:ascii="Arial" w:cs="Arial" w:eastAsia="Arial" w:hAnsi="Arial"/>
          <w:sz w:val="18"/>
          <w:szCs w:val="18"/>
          <w:b w:val="1"/>
          <w:bCs w:val="1"/>
          <w:color w:val="auto"/>
        </w:rPr>
        <w:t>ITEM 6.</w:t>
        <w:tab/>
        <w:t>CONTRACTS, ARRANGEMENTS, UNDERSTANDINGS OR RELATIONSHIPS WITH RESPECT TO SECURITIES OF THE ISSUER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5, 2021 (the “Closing Date”), New Gemini, Old Gemini, the FSDC Investors (as defined below) and the Major Gemini Investors (as defined below) entered into a Registration Rights Agreement (the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pursuant to which, among other things, the FSDC Investors and the Major Gemini Investors (collectively, the “</w:t>
      </w:r>
      <w:r>
        <w:rPr>
          <w:rFonts w:ascii="Arial" w:cs="Arial" w:eastAsia="Arial" w:hAnsi="Arial"/>
          <w:sz w:val="17"/>
          <w:szCs w:val="17"/>
          <w:u w:val="single" w:color="auto"/>
          <w:color w:val="auto"/>
        </w:rPr>
        <w:t>Investors</w:t>
      </w:r>
      <w:r>
        <w:rPr>
          <w:rFonts w:ascii="Arial" w:cs="Arial" w:eastAsia="Arial" w:hAnsi="Arial"/>
          <w:sz w:val="17"/>
          <w:szCs w:val="17"/>
          <w:color w:val="auto"/>
        </w:rPr>
        <w:t>”) were granted certain registration rights with respect to registrable securities (as defined in the Registration Rights Agreement) held by them. The FSDC Investors include FS Development Holdings, LLC (the “</w:t>
      </w:r>
      <w:r>
        <w:rPr>
          <w:rFonts w:ascii="Arial" w:cs="Arial" w:eastAsia="Arial" w:hAnsi="Arial"/>
          <w:sz w:val="17"/>
          <w:szCs w:val="17"/>
          <w:u w:val="single" w:color="auto"/>
          <w:color w:val="auto"/>
        </w:rPr>
        <w:t>Sponsor</w:t>
      </w:r>
      <w:r>
        <w:rPr>
          <w:rFonts w:ascii="Arial" w:cs="Arial" w:eastAsia="Arial" w:hAnsi="Arial"/>
          <w:sz w:val="17"/>
          <w:szCs w:val="17"/>
          <w:color w:val="auto"/>
        </w:rPr>
        <w:t>”), Robert Carey, Daniel Dubin and Deepka Pakianathan. The Major Gemini Investors include Atlas X, AVOF, Lightstone Singapore L.P., Lightstone Ventures (A), L.P., Lightstone Ventures, L.P., OrbiMed Private Investments VI, LP and Wu Capital Investment LLC.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particular, the Registration Rights Agreement provides for the following registration rights:</w:t>
      </w:r>
    </w:p>
    <w:p>
      <w:pPr>
        <w:spacing w:after="0" w:line="225" w:lineRule="exact"/>
        <w:rPr>
          <w:sz w:val="20"/>
          <w:szCs w:val="20"/>
          <w:color w:val="auto"/>
        </w:rPr>
      </w:pPr>
    </w:p>
    <w:p>
      <w:pPr>
        <w:jc w:val="both"/>
        <w:ind w:left="1140" w:hanging="336"/>
        <w:spacing w:after="0" w:line="273" w:lineRule="auto"/>
        <w:tabs>
          <w:tab w:leader="none" w:pos="1140"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Demand registration rights</w:t>
      </w:r>
      <w:r>
        <w:rPr>
          <w:rFonts w:ascii="Arial" w:cs="Arial" w:eastAsia="Arial" w:hAnsi="Arial"/>
          <w:sz w:val="17"/>
          <w:szCs w:val="17"/>
          <w:color w:val="auto"/>
        </w:rPr>
        <w:t>. At any time after the Closing Date, and following the expiration of any lock-up to which an Investor may be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New Gemini will be required, upon the written request of either (i) FSDC Investors holding a majority of the Registrable Securities held by all FSDC Investors or (ii) Major Gemini Investors holding a majority of the Registrable Securities held by all Major Gemini Investors, to file a registration statement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on Form S-1 or any similar long-form registration statement or, if then available, on Form S-3, and use reasonable best efforts to effect the registration of all or part of their registrable securities requested to be included in such registration by the Investors.</w:t>
      </w:r>
    </w:p>
    <w:p>
      <w:pPr>
        <w:spacing w:after="0" w:line="204" w:lineRule="exact"/>
        <w:rPr>
          <w:rFonts w:ascii="Arial" w:cs="Arial" w:eastAsia="Arial" w:hAnsi="Arial"/>
          <w:sz w:val="17"/>
          <w:szCs w:val="17"/>
          <w:color w:val="auto"/>
        </w:rPr>
      </w:pPr>
    </w:p>
    <w:p>
      <w:pPr>
        <w:jc w:val="both"/>
        <w:ind w:left="1140" w:hanging="336"/>
        <w:spacing w:after="0" w:line="273" w:lineRule="auto"/>
        <w:tabs>
          <w:tab w:leader="none" w:pos="1140"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Shelf registration rights</w:t>
      </w:r>
      <w:r>
        <w:rPr>
          <w:rFonts w:ascii="Arial" w:cs="Arial" w:eastAsia="Arial" w:hAnsi="Arial"/>
          <w:sz w:val="17"/>
          <w:szCs w:val="17"/>
          <w:color w:val="auto"/>
        </w:rPr>
        <w:t>. New Gemini will be required, to file a shelf registration statement pursuant to Rule 415 of Securities Act as soon</w:t>
      </w:r>
      <w:r>
        <w:rPr>
          <w:rFonts w:ascii="Arial" w:cs="Arial" w:eastAsia="Arial" w:hAnsi="Arial"/>
          <w:sz w:val="17"/>
          <w:szCs w:val="17"/>
          <w:i w:val="1"/>
          <w:iCs w:val="1"/>
          <w:color w:val="auto"/>
        </w:rPr>
        <w:t xml:space="preserve"> </w:t>
      </w:r>
      <w:r>
        <w:rPr>
          <w:rFonts w:ascii="Arial" w:cs="Arial" w:eastAsia="Arial" w:hAnsi="Arial"/>
          <w:sz w:val="17"/>
          <w:szCs w:val="17"/>
          <w:color w:val="auto"/>
        </w:rPr>
        <w:t>as practicable after the Closing Date and use reasonable best efforts to effect the registration of all of the registrable securities then held by Investors that are not covered by an effective registration statement as of the date that is 30 days after the Closing Date. At any time New Gemini has an effective shelf registration statement, if the Company shall receive a request from Investors holding registrable securities with an estimated market value of at least $5,000,000, to effect an underwritten shelf takedown, New Gemini shall use its reasonable best efforts to as expeditiously as possible to effect the underwritten shelf takedown.</w:t>
      </w:r>
    </w:p>
    <w:p>
      <w:pPr>
        <w:spacing w:after="0" w:line="204" w:lineRule="exact"/>
        <w:rPr>
          <w:rFonts w:ascii="Arial" w:cs="Arial" w:eastAsia="Arial" w:hAnsi="Arial"/>
          <w:sz w:val="17"/>
          <w:szCs w:val="17"/>
          <w:color w:val="auto"/>
        </w:rPr>
      </w:pPr>
    </w:p>
    <w:p>
      <w:pPr>
        <w:jc w:val="both"/>
        <w:ind w:left="1140" w:hanging="336"/>
        <w:spacing w:after="0" w:line="255" w:lineRule="auto"/>
        <w:tabs>
          <w:tab w:leader="none" w:pos="114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Limits on demand registration rights and shelf registration rights. </w:t>
      </w:r>
      <w:r>
        <w:rPr>
          <w:rFonts w:ascii="Arial" w:cs="Arial" w:eastAsia="Arial" w:hAnsi="Arial"/>
          <w:sz w:val="18"/>
          <w:szCs w:val="18"/>
          <w:color w:val="auto"/>
        </w:rPr>
        <w:t>New Gemini shall not be obligated to effect: (a) more than one (1)</w:t>
      </w:r>
      <w:r>
        <w:rPr>
          <w:rFonts w:ascii="Arial" w:cs="Arial" w:eastAsia="Arial" w:hAnsi="Arial"/>
          <w:sz w:val="18"/>
          <w:szCs w:val="18"/>
          <w:i w:val="1"/>
          <w:iCs w:val="1"/>
          <w:color w:val="auto"/>
        </w:rPr>
        <w:t xml:space="preserve"> </w:t>
      </w:r>
      <w:r>
        <w:rPr>
          <w:rFonts w:ascii="Arial" w:cs="Arial" w:eastAsia="Arial" w:hAnsi="Arial"/>
          <w:sz w:val="18"/>
          <w:szCs w:val="18"/>
          <w:color w:val="auto"/>
        </w:rPr>
        <w:t>demand registration or underwritten shelf takedown during any six-month period; (b) any demand registration at any time there is an effective resale shelf registration statement on file with the SEC; (c) more than two underwritten demand registrations in respect of all registrable securities held by the FSDC Investors, including those made under a shelf registration statement, or (d) more than two underwritten demand registrations in respect of all registrable securities held by the Major Gemini Investors, including those made under a shelf registration statement.</w:t>
      </w:r>
    </w:p>
    <w:p>
      <w:pPr>
        <w:spacing w:after="0" w:line="192" w:lineRule="exact"/>
        <w:rPr>
          <w:rFonts w:ascii="Arial" w:cs="Arial" w:eastAsia="Arial" w:hAnsi="Arial"/>
          <w:sz w:val="18"/>
          <w:szCs w:val="18"/>
          <w:color w:val="auto"/>
        </w:rPr>
      </w:pPr>
    </w:p>
    <w:p>
      <w:pPr>
        <w:jc w:val="both"/>
        <w:ind w:left="1140" w:hanging="336"/>
        <w:spacing w:after="0" w:line="259" w:lineRule="auto"/>
        <w:tabs>
          <w:tab w:leader="none" w:pos="114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Piggyback registration rights</w:t>
      </w:r>
      <w:r>
        <w:rPr>
          <w:rFonts w:ascii="Arial" w:cs="Arial" w:eastAsia="Arial" w:hAnsi="Arial"/>
          <w:sz w:val="18"/>
          <w:szCs w:val="18"/>
          <w:color w:val="auto"/>
        </w:rPr>
        <w:t>. At any time after the first anniversary of the Closing Date, if New Gemini proposes to file a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to register any of its equity securities under the Securities Act or to conduct a public offering, either for its own account or for the account of any other person, subject to certain exceptions, the Investors are entitled to include their registrable securities in such registration statement, subject to customary cut-back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4" w:name="page15"/>
    <w:bookmarkEnd w:id="14"/>
    <w:p>
      <w:pPr>
        <w:ind w:left="60"/>
        <w:spacing w:after="0"/>
        <w:tabs>
          <w:tab w:leader="none" w:pos="1016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6"/>
          <w:szCs w:val="16"/>
          <w:color w:val="auto"/>
        </w:rPr>
        <w:t>Page 15 of 19</w:t>
      </w:r>
    </w:p>
    <w:p>
      <w:pPr>
        <w:spacing w:after="0" w:line="252" w:lineRule="exact"/>
        <w:rPr>
          <w:sz w:val="20"/>
          <w:szCs w:val="20"/>
          <w:color w:val="auto"/>
        </w:rPr>
      </w:pPr>
    </w:p>
    <w:p>
      <w:pPr>
        <w:jc w:val="both"/>
        <w:ind w:left="1140" w:hanging="336"/>
        <w:spacing w:after="0" w:line="275" w:lineRule="auto"/>
        <w:tabs>
          <w:tab w:leader="none" w:pos="1140"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Expenses and indemnification</w:t>
      </w:r>
      <w:r>
        <w:rPr>
          <w:rFonts w:ascii="Arial" w:cs="Arial" w:eastAsia="Arial" w:hAnsi="Arial"/>
          <w:sz w:val="17"/>
          <w:szCs w:val="17"/>
          <w:color w:val="auto"/>
        </w:rPr>
        <w:t>. All fees, costs and expenses of underwritten registrations will be borne by New Gemini and underwriting</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discounts and selling commissions will be borne by the holders of the shares being registered. The Registration Rights Agreement contains customary cross-indemnification provisions, under which New Gemini is obligated to indemnify holders of registrable securities in the event of material misstatements or omissions in the registration statement attributable to New Gemini, and holders of registrable securities are obligated to indemnify New Gemini for material misstatements or omissions attributable to them.</w:t>
      </w:r>
    </w:p>
    <w:p>
      <w:pPr>
        <w:spacing w:after="0" w:line="203" w:lineRule="exact"/>
        <w:rPr>
          <w:rFonts w:ascii="Arial" w:cs="Arial" w:eastAsia="Arial" w:hAnsi="Arial"/>
          <w:sz w:val="17"/>
          <w:szCs w:val="17"/>
          <w:color w:val="auto"/>
        </w:rPr>
      </w:pPr>
    </w:p>
    <w:p>
      <w:pPr>
        <w:jc w:val="both"/>
        <w:ind w:left="1140" w:hanging="336"/>
        <w:spacing w:after="0" w:line="285" w:lineRule="auto"/>
        <w:tabs>
          <w:tab w:leader="none" w:pos="114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Registrable securities</w:t>
      </w:r>
      <w:r>
        <w:rPr>
          <w:rFonts w:ascii="Arial" w:cs="Arial" w:eastAsia="Arial" w:hAnsi="Arial"/>
          <w:sz w:val="16"/>
          <w:szCs w:val="16"/>
          <w:color w:val="auto"/>
        </w:rPr>
        <w:t>. Securities of New Gemini shall cease to be registrable securities upon the earlier of (i) tenth anniversary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Date and (ii) the date as of which (1) a registration statement with respect to the sale of such securities shall have become effective under the Securities Act and such securities shall have been disposed of in accordance with such registration statement, or (2) such securities shall have been transferred pursuant to Rule 144 of the Securities Act, or with respect to any Investor, securities of such Investor shall cease to be registrable securities, on the earlier of (x) the date such Investor ceases to hold at least 1% of the registrable securities or</w:t>
      </w:r>
    </w:p>
    <w:p>
      <w:pPr>
        <w:spacing w:after="0" w:line="1" w:lineRule="exact"/>
        <w:rPr>
          <w:rFonts w:ascii="Arial" w:cs="Arial" w:eastAsia="Arial" w:hAnsi="Arial"/>
          <w:sz w:val="16"/>
          <w:szCs w:val="16"/>
          <w:color w:val="auto"/>
        </w:rPr>
      </w:pPr>
    </w:p>
    <w:p>
      <w:pPr>
        <w:jc w:val="both"/>
        <w:ind w:left="1140" w:firstLine="2"/>
        <w:spacing w:after="0" w:line="277" w:lineRule="auto"/>
        <w:tabs>
          <w:tab w:leader="none" w:pos="1402" w:val="left"/>
        </w:tabs>
        <w:numPr>
          <w:ilvl w:val="1"/>
          <w:numId w:val="80"/>
        </w:numPr>
        <w:rPr>
          <w:rFonts w:ascii="Arial" w:cs="Arial" w:eastAsia="Arial" w:hAnsi="Arial"/>
          <w:sz w:val="17"/>
          <w:szCs w:val="17"/>
          <w:color w:val="auto"/>
        </w:rPr>
      </w:pPr>
      <w:r>
        <w:rPr>
          <w:rFonts w:ascii="Arial" w:cs="Arial" w:eastAsia="Arial" w:hAnsi="Arial"/>
          <w:sz w:val="17"/>
          <w:szCs w:val="17"/>
          <w:color w:val="auto"/>
        </w:rPr>
        <w:t>if such Investor is an individual and such Investor is a director or an executive officer of Old Gemini or FSDC as of immediately prior to the consummation of the Merger, the date when such Investor is permitted to sell the Registrable Securities under Rule 144 (or any similar provision) under the Securities Act without limitation on the amount of securities sold or the manner of sale.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description of the Registration Rights Agreement does not purport to be complete and is qualified in its entirety by the full text of the Registration Rights Agreement, a copy of which is filed herewith as Exhibit B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Agreement.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the Closing Date, New Gemini, the Sponsor and the Major Gemini Investors (collectively, the “</w:t>
      </w:r>
      <w:r>
        <w:rPr>
          <w:rFonts w:ascii="Arial" w:cs="Arial" w:eastAsia="Arial" w:hAnsi="Arial"/>
          <w:sz w:val="16"/>
          <w:szCs w:val="16"/>
          <w:u w:val="single" w:color="auto"/>
          <w:color w:val="auto"/>
        </w:rPr>
        <w:t>Voting Parties</w:t>
      </w:r>
      <w:r>
        <w:rPr>
          <w:rFonts w:ascii="Arial" w:cs="Arial" w:eastAsia="Arial" w:hAnsi="Arial"/>
          <w:sz w:val="16"/>
          <w:szCs w:val="16"/>
          <w:color w:val="auto"/>
        </w:rPr>
        <w:t>”) entered into a Voting Agreement, pursuant to which each Voting Party agrees to vote all voting securities of New Gemini that it owns from time to time and that it may vote in an election of the Company’s directors in accordance with the provisions of the Voting Agreement, whether at a regular or special meeting of stockholders.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Voting Agreement, the post-Closing Board shall be comprised of seven directors, which must include Jason Meyenburg, Dr. Jim Tananbaum and Dr. Carl Gordon, divided into three classes, designated Class I, II and III, with Class I consisting of two directors, Class II consisting of three directors and Class III consisting of two Directors. Jean George and Dr. Carl Gordon shall constitute the initial members of Class I and shall be nominated in Class I, the members of which shall have an initial term that expires at the annual meeting of stockholders of New Gemini held in 2021; David Lubner, Dr. Tuyen Ong and Jason Rhodes shall constitute the initial members of Class II and shall be nominated in Class II, the members of which shall have an initial term that expires at the annual meeting of stockholders of New Gemini held in 2022; and Jason Meyenburg and Dr. Jim Tananbaum shall constitute the initial members of Class III and shall be nominated in Class III, the members of which shall have an initial term that expires at the annual meeting of stockholders of New Gemini held in 2023.</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Voting Agreement, until the earlier of (i) fifth anniversary of the Closing Date or (ii) the date on which Sponsor owns less than 1,217,563 shares of Common Stock, at each annual or special meeting of stockholders of New Gemini, Sponsor shall have the right to designate for election as a member of the Board, and the Board (including any committee thereof) shall nominate (and recommend for election and include such recommendation in a timely manner in any proxy statement or other applicable announcement to New Gemini’s stockholders), one individual to serve as a Class III Director. If Sponsor ceases to be entitled to nominate any directors, then such directors shall be nominated by the Board and approved by the holders of the outstanding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5" w:name="page16"/>
    <w:bookmarkEnd w:id="15"/>
    <w:p>
      <w:pPr>
        <w:ind w:left="60"/>
        <w:spacing w:after="0"/>
        <w:tabs>
          <w:tab w:leader="none" w:pos="1016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6"/>
          <w:szCs w:val="16"/>
          <w:color w:val="auto"/>
        </w:rPr>
        <w:t>Page 16 of 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Voting Agreement, Old Gemini shall have the authority to appoint four directors to the Board, with such procedures as are determined by Old Gemini’s Board.</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directors elected pursuant to the terms of the Voting Agreement shall be removed from the Board only upon the vote or written consent of the Voting Party that is entitled to nominate, appoint or elect such director. Upon any decrease in the rights of any such Voting Party to nominate, appoint or elect any director, the applicable Voting Party shall promptly cause the removal or resignation of an applicable directors if requested by the Board. Upon any individual elected to serve as a director pursuant to the Voting Agreement ceasing to be a member of the Board, whether by death, resignation or removal or otherwise, only the Voting Party that was entitled to nominate, appoint or elect such individual shall have the right to fill any resulting vacancy in the Board; provided that such Voting Party still has the right to nominate, appoint or elect the applicable director.</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description of the Voting Agreement does not purport to be complete and is qualified in its entirety by the full text of the Voting Agreement, a copy of which is attached hereto as Exhibit C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Lockup Agreement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the Closing Date, New Gemini and certain of its stockholders, including Atlas X, Atlas XII and AVOF and optionholders entered into a Lockup Agreement pursuant to which such Stockholder Parties agreed not to transfer any shares of Common Stock or options to purchase Common Stock received as Merger consideration for a period of 180 days following the Closing Date.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description of the Lockup Agreement does not purport to be complete and is qualified in its entirety by the full text of the Lockup Agreement, a copy of which is attached hereto as Exhibit D and is incorporated herein by reference.</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Reporting Persons disclaim the membership in a group with any other parties to the Registration Rights Agreement or Voting Agreement, and this Schedule 13D shall not be deemed an admission that the Reporting Persons are members of a group for purposes of Section 13 or for any other purposes.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ind w:left="660" w:hanging="315"/>
        <w:spacing w:after="0"/>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Joint Filing Agreement</w:t>
      </w:r>
    </w:p>
    <w:p>
      <w:pPr>
        <w:spacing w:after="0" w:line="252" w:lineRule="exact"/>
        <w:rPr>
          <w:rFonts w:ascii="Arial" w:cs="Arial" w:eastAsia="Arial" w:hAnsi="Arial"/>
          <w:sz w:val="18"/>
          <w:szCs w:val="18"/>
          <w:color w:val="auto"/>
        </w:rPr>
      </w:pPr>
    </w:p>
    <w:p>
      <w:pPr>
        <w:ind w:left="380" w:hanging="318"/>
        <w:spacing w:after="0" w:line="277" w:lineRule="auto"/>
        <w:tabs>
          <w:tab w:leader="none" w:pos="3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Registration Rights Agreement (Incorporated by reference to Exhibit 10.1 to Amendment No. 1 to the Issuer’s Registration Statement on Form 8-A (SEC File No. 001-39438), filed with the Securities and Exchange Commission on February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 w:name="page17"/>
    <w:bookmarkEnd w:id="16"/>
    <w:p>
      <w:pPr>
        <w:spacing w:after="0"/>
        <w:tabs>
          <w:tab w:leader="none" w:pos="1010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6"/>
          <w:szCs w:val="16"/>
          <w:color w:val="auto"/>
        </w:rPr>
        <w:t>Page 17 of 19</w:t>
      </w:r>
    </w:p>
    <w:p>
      <w:pPr>
        <w:spacing w:after="0" w:line="252" w:lineRule="exact"/>
        <w:rPr>
          <w:sz w:val="20"/>
          <w:szCs w:val="20"/>
          <w:color w:val="auto"/>
        </w:rPr>
      </w:pPr>
    </w:p>
    <w:p>
      <w:pPr>
        <w:ind w:left="320" w:right="20" w:hanging="318"/>
        <w:spacing w:after="0" w:line="277" w:lineRule="auto"/>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Voting Agreement (Incorporated by reference to Exhibit 10.2 to the Issuer’s Current Report on Form 8-K (SEC File No. 001-39438), filed with the Securities and Exchange Commission on February 11, 2021).</w:t>
      </w:r>
    </w:p>
    <w:p>
      <w:pPr>
        <w:spacing w:after="0" w:line="197" w:lineRule="exact"/>
        <w:rPr>
          <w:rFonts w:ascii="Arial" w:cs="Arial" w:eastAsia="Arial" w:hAnsi="Arial"/>
          <w:sz w:val="18"/>
          <w:szCs w:val="18"/>
          <w:color w:val="auto"/>
        </w:rPr>
      </w:pPr>
    </w:p>
    <w:p>
      <w:pPr>
        <w:ind w:left="320" w:hanging="318"/>
        <w:spacing w:after="0" w:line="277" w:lineRule="auto"/>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Form of Lockup Agreement (Incorporated by reference to Exhibit 10.3 to the Issuer’s Current Report on Form 8-K (SEC File No. 001-39438), filed with the Securities and Exchange Commission on February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357505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827" w:right="339" w:bottom="1440" w:gutter="0" w:footer="0" w:header="0"/>
        </w:sectPr>
      </w:pPr>
    </w:p>
    <w:bookmarkStart w:id="17" w:name="page18"/>
    <w:bookmarkEnd w:id="17"/>
    <w:p>
      <w:pPr>
        <w:ind w:left="60"/>
        <w:spacing w:after="0"/>
        <w:tabs>
          <w:tab w:leader="none" w:pos="1016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6"/>
          <w:szCs w:val="16"/>
          <w:color w:val="auto"/>
        </w:rPr>
        <w:t>Page 18 of 19</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16, 2021</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ATLAS VENTURE FUND X, 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 L.P., its general partner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 LLC, its general partner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425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Ommer Chohan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ATLAS VENTURE ASSOCIATES X, 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 LLC, its general partner</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4257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Ommer Chohan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ATLAS VENTURE ASSOCIATES X, LLC</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4257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Ommer Chohan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ATLAS VENTURE FUND XII, 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XII, L.P., its general partner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XII, LLC, its general partner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425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Ommer Chohan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ATLAS VENTURE ASSOCIATES XII, 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XII, LLC, its general partner</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4257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Ommer Chohan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827" w:right="399" w:bottom="1440" w:gutter="0" w:footer="0" w:header="0"/>
        </w:sectPr>
      </w:pPr>
    </w:p>
    <w:bookmarkStart w:id="18" w:name="page19"/>
    <w:bookmarkEnd w:id="18"/>
    <w:p>
      <w:pPr>
        <w:ind w:left="40"/>
        <w:spacing w:after="0"/>
        <w:tabs>
          <w:tab w:leader="none" w:pos="1014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6"/>
          <w:szCs w:val="16"/>
          <w:color w:val="auto"/>
        </w:rPr>
        <w:t>Page 19 of 19</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ATLAS VENTURE ASSOCIATES XII, LLC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14605</wp:posOffset>
            </wp:positionV>
            <wp:extent cx="35661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ATLAS VENTURE OPPORTUNITY FUND 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Atlas Venture Associates Opportunity I, L.P., its general partner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Atlas Venture Associates Opportunity I, LLC, its general partner</w:t>
      </w:r>
    </w:p>
    <w:p>
      <w:pPr>
        <w:spacing w:after="0" w:line="21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14605</wp:posOffset>
            </wp:positionV>
            <wp:extent cx="3566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ATLAS VENTURE ASSOCIATES OPPORTUNITY 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Atlas Venture Associates Opportunity I, LLC, its general partner</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14605</wp:posOffset>
            </wp:positionV>
            <wp:extent cx="37115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ATLAS VENTURE ASSOCIATES OPPORTUNITY I, LLC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14605</wp:posOffset>
            </wp:positionV>
            <wp:extent cx="37115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382905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40" w:top="827" w:right="399" w:bottom="1440" w:gutter="0" w:footer="0" w:header="0"/>
        </w:sectPr>
      </w:pPr>
    </w:p>
    <w:bookmarkStart w:id="19" w:name="page20"/>
    <w:bookmarkEnd w:id="19"/>
    <w:p>
      <w:pPr>
        <w:spacing w:after="0"/>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hyperlink w:anchor="page1">
        <w:r>
          <w:rPr>
            <w:rFonts w:ascii="Arial" w:cs="Arial" w:eastAsia="Arial" w:hAnsi="Arial"/>
            <w:sz w:val="22"/>
            <w:szCs w:val="22"/>
            <w:u w:val="single" w:color="auto"/>
            <w:color w:val="0000EE"/>
          </w:rPr>
          <w:t>ATLAS VENTURE FUND X, L.P. SC 13D</w:t>
        </w:r>
      </w:hyperlink>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Rule 13d-1(k)(1) promulgated pursuant to the Securities Exchange Act of 1934, as amended, the undersigned agree that the attached Schedule 13D is being filed on behalf of each of the undersigned.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16, 2021</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ATLAS VENTURE FUND X, 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 L.P., its general partner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 LLC, its general partner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4257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Ommer Chohan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ATLAS VENTURE ASSOCIATES X, 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 LLC, its general partner</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4257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Ommer Chohan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ATLAS VENTURE ASSOCIATES X, LLC</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425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Ommer Chohan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ATLAS VENTURE FUND XII, 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XII, L.P., its general partner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XII, LLC, its general partner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4257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Ommer Chohan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ATLAS VENTURE ASSOCIATES XII, 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XII, LLC, its general partner</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425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Ommer Chohan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ATLAS VENTURE ASSOCIATES XII, LLC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14605</wp:posOffset>
            </wp:positionV>
            <wp:extent cx="3566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ATLAS VENTURE OPPORTUNITY FUND I, L.P.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By: Atlas Venture Associates Opportunity I, L.P., its general partner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By: Atlas Venture Associates Opportunity I, LLC, its general partner</w:t>
      </w:r>
    </w:p>
    <w:p>
      <w:pPr>
        <w:spacing w:after="0" w:line="23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14605</wp:posOffset>
            </wp:positionV>
            <wp:extent cx="35661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ATLAS VENTURE ASSOCIATES OPPORTUNITY I, L.P.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By: Atlas Venture Associates Opportunity I, LLC, its general partner</w:t>
      </w:r>
    </w:p>
    <w:p>
      <w:pPr>
        <w:spacing w:after="0" w:line="24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14605</wp:posOffset>
            </wp:positionV>
            <wp:extent cx="37115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ATLAS VENTURE ASSOCIATES OPPORTUNITY I, LLC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14605</wp:posOffset>
            </wp:positionV>
            <wp:extent cx="37115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382905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19"/>
      </w:cols>
      <w:pgMar w:left="340" w:top="104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1"/>
      <w:numFmt w:val="bullet"/>
      <w:start w:val="1"/>
    </w:lvl>
  </w:abstractNum>
  <w:abstractNum w:abstractNumId="2">
    <w:nsid w:val="2A487CB0"/>
    <w:multiLevelType w:val="hybridMultilevel"/>
    <w:lvl w:ilvl="0">
      <w:lvlJc w:val="left"/>
      <w:lvlText w:val="2"/>
      <w:numFmt w:val="bullet"/>
      <w:start w:val="1"/>
    </w:lvl>
  </w:abstractNum>
  <w:abstractNum w:abstractNumId="3">
    <w:nsid w:val="1D4ED43B"/>
    <w:multiLevelType w:val="hybridMultilevel"/>
    <w:lvl w:ilvl="0">
      <w:lvlJc w:val="left"/>
      <w:lvlText w:val="3"/>
      <w:numFmt w:val="bullet"/>
      <w:start w:val="1"/>
    </w:lvl>
  </w:abstractNum>
  <w:abstractNum w:abstractNumId="4">
    <w:nsid w:val="725A06FB"/>
    <w:multiLevelType w:val="hybridMultilevel"/>
    <w:lvl w:ilvl="0">
      <w:lvlJc w:val="left"/>
      <w:lvlText w:val="4"/>
      <w:numFmt w:val="bullet"/>
      <w:start w:val="1"/>
    </w:lvl>
  </w:abstractNum>
  <w:abstractNum w:abstractNumId="5">
    <w:nsid w:val="2CD89A32"/>
    <w:multiLevelType w:val="hybridMultilevel"/>
    <w:lvl w:ilvl="0">
      <w:lvlJc w:val="left"/>
      <w:lvlText w:val="5"/>
      <w:numFmt w:val="bullet"/>
      <w:start w:val="1"/>
    </w:lvl>
  </w:abstractNum>
  <w:abstractNum w:abstractNumId="6">
    <w:nsid w:val="57E4CCAF"/>
    <w:multiLevelType w:val="hybridMultilevel"/>
    <w:lvl w:ilvl="0">
      <w:lvlJc w:val="left"/>
      <w:lvlText w:val="6"/>
      <w:numFmt w:val="bullet"/>
      <w:start w:val="1"/>
    </w:lvl>
  </w:abstractNum>
  <w:abstractNum w:abstractNumId="7">
    <w:nsid w:val="7A6D8D3C"/>
    <w:multiLevelType w:val="hybridMultilevel"/>
    <w:lvl w:ilvl="0">
      <w:lvlJc w:val="left"/>
      <w:lvlText w:val="%1"/>
      <w:numFmt w:val="decimal"/>
      <w:start w:val="1"/>
    </w:lvl>
    <w:lvl w:ilvl="1">
      <w:lvlJc w:val="left"/>
      <w:lvlText w:val="%2"/>
      <w:numFmt w:val="decimal"/>
      <w:start w:val="11"/>
    </w:lvl>
  </w:abstractNum>
  <w:abstractNum w:abstractNumId="8">
    <w:nsid w:val="4B588F54"/>
    <w:multiLevelType w:val="hybridMultilevel"/>
    <w:lvl w:ilvl="0">
      <w:lvlJc w:val="left"/>
      <w:lvlText w:val="2"/>
      <w:numFmt w:val="bullet"/>
      <w:start w:val="1"/>
    </w:lvl>
  </w:abstractNum>
  <w:abstractNum w:abstractNumId="9">
    <w:nsid w:val="542289EC"/>
    <w:multiLevelType w:val="hybridMultilevel"/>
    <w:lvl w:ilvl="0">
      <w:lvlJc w:val="left"/>
      <w:lvlText w:val="1"/>
      <w:numFmt w:val="bullet"/>
      <w:start w:val="1"/>
    </w:lvl>
  </w:abstractNum>
  <w:abstractNum w:abstractNumId="10">
    <w:nsid w:val="6DE91B18"/>
    <w:multiLevelType w:val="hybridMultilevel"/>
    <w:lvl w:ilvl="0">
      <w:lvlJc w:val="left"/>
      <w:lvlText w:val="2"/>
      <w:numFmt w:val="bullet"/>
      <w:start w:val="1"/>
    </w:lvl>
  </w:abstractNum>
  <w:abstractNum w:abstractNumId="11">
    <w:nsid w:val="38437FDB"/>
    <w:multiLevelType w:val="hybridMultilevel"/>
    <w:lvl w:ilvl="0">
      <w:lvlJc w:val="left"/>
      <w:lvlText w:val="3"/>
      <w:numFmt w:val="bullet"/>
      <w:start w:val="1"/>
    </w:lvl>
  </w:abstractNum>
  <w:abstractNum w:abstractNumId="12">
    <w:nsid w:val="7644A45C"/>
    <w:multiLevelType w:val="hybridMultilevel"/>
    <w:lvl w:ilvl="0">
      <w:lvlJc w:val="left"/>
      <w:lvlText w:val="4"/>
      <w:numFmt w:val="bullet"/>
      <w:start w:val="1"/>
    </w:lvl>
  </w:abstractNum>
  <w:abstractNum w:abstractNumId="13">
    <w:nsid w:val="32FFF902"/>
    <w:multiLevelType w:val="hybridMultilevel"/>
    <w:lvl w:ilvl="0">
      <w:lvlJc w:val="left"/>
      <w:lvlText w:val="5"/>
      <w:numFmt w:val="bullet"/>
      <w:start w:val="1"/>
    </w:lvl>
  </w:abstractNum>
  <w:abstractNum w:abstractNumId="14">
    <w:nsid w:val="684A481A"/>
    <w:multiLevelType w:val="hybridMultilevel"/>
    <w:lvl w:ilvl="0">
      <w:lvlJc w:val="left"/>
      <w:lvlText w:val="6"/>
      <w:numFmt w:val="bullet"/>
      <w:start w:val="1"/>
    </w:lvl>
  </w:abstractNum>
  <w:abstractNum w:abstractNumId="15">
    <w:nsid w:val="579478FE"/>
    <w:multiLevelType w:val="hybridMultilevel"/>
    <w:lvl w:ilvl="0">
      <w:lvlJc w:val="left"/>
      <w:lvlText w:val="%1"/>
      <w:numFmt w:val="decimal"/>
      <w:start w:val="1"/>
    </w:lvl>
    <w:lvl w:ilvl="1">
      <w:lvlJc w:val="left"/>
      <w:lvlText w:val="%2"/>
      <w:numFmt w:val="decimal"/>
      <w:start w:val="11"/>
    </w:lvl>
  </w:abstractNum>
  <w:abstractNum w:abstractNumId="16">
    <w:nsid w:val="749ABB43"/>
    <w:multiLevelType w:val="hybridMultilevel"/>
    <w:lvl w:ilvl="0">
      <w:lvlJc w:val="left"/>
      <w:lvlText w:val="2"/>
      <w:numFmt w:val="bullet"/>
      <w:start w:val="1"/>
    </w:lvl>
  </w:abstractNum>
  <w:abstractNum w:abstractNumId="17">
    <w:nsid w:val="3DC240FB"/>
    <w:multiLevelType w:val="hybridMultilevel"/>
    <w:lvl w:ilvl="0">
      <w:lvlJc w:val="left"/>
      <w:lvlText w:val="1"/>
      <w:numFmt w:val="bullet"/>
      <w:start w:val="1"/>
    </w:lvl>
  </w:abstractNum>
  <w:abstractNum w:abstractNumId="18">
    <w:nsid w:val="1BA026FA"/>
    <w:multiLevelType w:val="hybridMultilevel"/>
    <w:lvl w:ilvl="0">
      <w:lvlJc w:val="left"/>
      <w:lvlText w:val="2"/>
      <w:numFmt w:val="bullet"/>
      <w:start w:val="1"/>
    </w:lvl>
  </w:abstractNum>
  <w:abstractNum w:abstractNumId="19">
    <w:nsid w:val="79A1DEAA"/>
    <w:multiLevelType w:val="hybridMultilevel"/>
    <w:lvl w:ilvl="0">
      <w:lvlJc w:val="left"/>
      <w:lvlText w:val="3"/>
      <w:numFmt w:val="bullet"/>
      <w:start w:val="1"/>
    </w:lvl>
  </w:abstractNum>
  <w:abstractNum w:abstractNumId="20">
    <w:nsid w:val="75C6C33A"/>
    <w:multiLevelType w:val="hybridMultilevel"/>
    <w:lvl w:ilvl="0">
      <w:lvlJc w:val="left"/>
      <w:lvlText w:val="4"/>
      <w:numFmt w:val="bullet"/>
      <w:start w:val="1"/>
    </w:lvl>
  </w:abstractNum>
  <w:abstractNum w:abstractNumId="21">
    <w:nsid w:val="12E685FB"/>
    <w:multiLevelType w:val="hybridMultilevel"/>
    <w:lvl w:ilvl="0">
      <w:lvlJc w:val="left"/>
      <w:lvlText w:val="5"/>
      <w:numFmt w:val="bullet"/>
      <w:start w:val="1"/>
    </w:lvl>
  </w:abstractNum>
  <w:abstractNum w:abstractNumId="22">
    <w:nsid w:val="70C6A529"/>
    <w:multiLevelType w:val="hybridMultilevel"/>
    <w:lvl w:ilvl="0">
      <w:lvlJc w:val="left"/>
      <w:lvlText w:val="6"/>
      <w:numFmt w:val="bullet"/>
      <w:start w:val="1"/>
    </w:lvl>
  </w:abstractNum>
  <w:abstractNum w:abstractNumId="23">
    <w:nsid w:val="520EEDD1"/>
    <w:multiLevelType w:val="hybridMultilevel"/>
    <w:lvl w:ilvl="0">
      <w:lvlJc w:val="left"/>
      <w:lvlText w:val="%1"/>
      <w:numFmt w:val="decimal"/>
      <w:start w:val="1"/>
    </w:lvl>
    <w:lvl w:ilvl="1">
      <w:lvlJc w:val="left"/>
      <w:lvlText w:val="%2"/>
      <w:numFmt w:val="decimal"/>
      <w:start w:val="11"/>
    </w:lvl>
  </w:abstractNum>
  <w:abstractNum w:abstractNumId="24">
    <w:nsid w:val="374A3FE6"/>
    <w:multiLevelType w:val="hybridMultilevel"/>
    <w:lvl w:ilvl="0">
      <w:lvlJc w:val="left"/>
      <w:lvlText w:val="2"/>
      <w:numFmt w:val="bullet"/>
      <w:start w:val="1"/>
    </w:lvl>
  </w:abstractNum>
  <w:abstractNum w:abstractNumId="25">
    <w:nsid w:val="4F4EF005"/>
    <w:multiLevelType w:val="hybridMultilevel"/>
    <w:lvl w:ilvl="0">
      <w:lvlJc w:val="left"/>
      <w:lvlText w:val="1"/>
      <w:numFmt w:val="bullet"/>
      <w:start w:val="1"/>
    </w:lvl>
  </w:abstractNum>
  <w:abstractNum w:abstractNumId="26">
    <w:nsid w:val="23F9C13C"/>
    <w:multiLevelType w:val="hybridMultilevel"/>
    <w:lvl w:ilvl="0">
      <w:lvlJc w:val="left"/>
      <w:lvlText w:val="2"/>
      <w:numFmt w:val="bullet"/>
      <w:start w:val="1"/>
    </w:lvl>
  </w:abstractNum>
  <w:abstractNum w:abstractNumId="27">
    <w:nsid w:val="649BB77C"/>
    <w:multiLevelType w:val="hybridMultilevel"/>
    <w:lvl w:ilvl="0">
      <w:lvlJc w:val="left"/>
      <w:lvlText w:val="3"/>
      <w:numFmt w:val="bullet"/>
      <w:start w:val="1"/>
    </w:lvl>
  </w:abstractNum>
  <w:abstractNum w:abstractNumId="28">
    <w:nsid w:val="275AC794"/>
    <w:multiLevelType w:val="hybridMultilevel"/>
    <w:lvl w:ilvl="0">
      <w:lvlJc w:val="left"/>
      <w:lvlText w:val="4"/>
      <w:numFmt w:val="bullet"/>
      <w:start w:val="1"/>
    </w:lvl>
  </w:abstractNum>
  <w:abstractNum w:abstractNumId="29">
    <w:nsid w:val="39386575"/>
    <w:multiLevelType w:val="hybridMultilevel"/>
    <w:lvl w:ilvl="0">
      <w:lvlJc w:val="left"/>
      <w:lvlText w:val="5"/>
      <w:numFmt w:val="bullet"/>
      <w:start w:val="1"/>
    </w:lvl>
  </w:abstractNum>
  <w:abstractNum w:abstractNumId="30">
    <w:nsid w:val="1CF10FD8"/>
    <w:multiLevelType w:val="hybridMultilevel"/>
    <w:lvl w:ilvl="0">
      <w:lvlJc w:val="left"/>
      <w:lvlText w:val="6"/>
      <w:numFmt w:val="bullet"/>
      <w:start w:val="1"/>
    </w:lvl>
  </w:abstractNum>
  <w:abstractNum w:abstractNumId="31">
    <w:nsid w:val="180115BE"/>
    <w:multiLevelType w:val="hybridMultilevel"/>
    <w:lvl w:ilvl="0">
      <w:lvlJc w:val="left"/>
      <w:lvlText w:val="%1"/>
      <w:numFmt w:val="decimal"/>
      <w:start w:val="1"/>
    </w:lvl>
    <w:lvl w:ilvl="1">
      <w:lvlJc w:val="left"/>
      <w:lvlText w:val="%2"/>
      <w:numFmt w:val="decimal"/>
      <w:start w:val="11"/>
    </w:lvl>
  </w:abstractNum>
  <w:abstractNum w:abstractNumId="32">
    <w:nsid w:val="235BA861"/>
    <w:multiLevelType w:val="hybridMultilevel"/>
    <w:lvl w:ilvl="0">
      <w:lvlJc w:val="left"/>
      <w:lvlText w:val="2"/>
      <w:numFmt w:val="bullet"/>
      <w:start w:val="1"/>
    </w:lvl>
  </w:abstractNum>
  <w:abstractNum w:abstractNumId="33">
    <w:nsid w:val="47398C89"/>
    <w:multiLevelType w:val="hybridMultilevel"/>
    <w:lvl w:ilvl="0">
      <w:lvlJc w:val="left"/>
      <w:lvlText w:val="1"/>
      <w:numFmt w:val="bullet"/>
      <w:start w:val="1"/>
    </w:lvl>
  </w:abstractNum>
  <w:abstractNum w:abstractNumId="34">
    <w:nsid w:val="354FE9F9"/>
    <w:multiLevelType w:val="hybridMultilevel"/>
    <w:lvl w:ilvl="0">
      <w:lvlJc w:val="left"/>
      <w:lvlText w:val="2"/>
      <w:numFmt w:val="bullet"/>
      <w:start w:val="1"/>
    </w:lvl>
  </w:abstractNum>
  <w:abstractNum w:abstractNumId="35">
    <w:nsid w:val="15B5AF5C"/>
    <w:multiLevelType w:val="hybridMultilevel"/>
    <w:lvl w:ilvl="0">
      <w:lvlJc w:val="left"/>
      <w:lvlText w:val="3"/>
      <w:numFmt w:val="bullet"/>
      <w:start w:val="1"/>
    </w:lvl>
  </w:abstractNum>
  <w:abstractNum w:abstractNumId="36">
    <w:nsid w:val="741226BB"/>
    <w:multiLevelType w:val="hybridMultilevel"/>
    <w:lvl w:ilvl="0">
      <w:lvlJc w:val="left"/>
      <w:lvlText w:val="4"/>
      <w:numFmt w:val="bullet"/>
      <w:start w:val="1"/>
    </w:lvl>
  </w:abstractNum>
  <w:abstractNum w:abstractNumId="37">
    <w:nsid w:val="D34B6A8"/>
    <w:multiLevelType w:val="hybridMultilevel"/>
    <w:lvl w:ilvl="0">
      <w:lvlJc w:val="left"/>
      <w:lvlText w:val="5"/>
      <w:numFmt w:val="bullet"/>
      <w:start w:val="1"/>
    </w:lvl>
  </w:abstractNum>
  <w:abstractNum w:abstractNumId="38">
    <w:nsid w:val="10233C99"/>
    <w:multiLevelType w:val="hybridMultilevel"/>
    <w:lvl w:ilvl="0">
      <w:lvlJc w:val="left"/>
      <w:lvlText w:val="6"/>
      <w:numFmt w:val="bullet"/>
      <w:start w:val="1"/>
    </w:lvl>
  </w:abstractNum>
  <w:abstractNum w:abstractNumId="39">
    <w:nsid w:val="3F6AB60F"/>
    <w:multiLevelType w:val="hybridMultilevel"/>
    <w:lvl w:ilvl="0">
      <w:lvlJc w:val="left"/>
      <w:lvlText w:val="%1"/>
      <w:numFmt w:val="decimal"/>
      <w:start w:val="1"/>
    </w:lvl>
    <w:lvl w:ilvl="1">
      <w:lvlJc w:val="left"/>
      <w:lvlText w:val="%2"/>
      <w:numFmt w:val="decimal"/>
      <w:start w:val="11"/>
    </w:lvl>
  </w:abstractNum>
  <w:abstractNum w:abstractNumId="40">
    <w:nsid w:val="61574095"/>
    <w:multiLevelType w:val="hybridMultilevel"/>
    <w:lvl w:ilvl="0">
      <w:lvlJc w:val="left"/>
      <w:lvlText w:val="2"/>
      <w:numFmt w:val="bullet"/>
      <w:start w:val="1"/>
    </w:lvl>
  </w:abstractNum>
  <w:abstractNum w:abstractNumId="41">
    <w:nsid w:val="7E0C57B1"/>
    <w:multiLevelType w:val="hybridMultilevel"/>
    <w:lvl w:ilvl="0">
      <w:lvlJc w:val="left"/>
      <w:lvlText w:val="1"/>
      <w:numFmt w:val="bullet"/>
      <w:start w:val="1"/>
    </w:lvl>
  </w:abstractNum>
  <w:abstractNum w:abstractNumId="42">
    <w:nsid w:val="77AE35EB"/>
    <w:multiLevelType w:val="hybridMultilevel"/>
    <w:lvl w:ilvl="0">
      <w:lvlJc w:val="left"/>
      <w:lvlText w:val="2"/>
      <w:numFmt w:val="bullet"/>
      <w:start w:val="1"/>
    </w:lvl>
  </w:abstractNum>
  <w:abstractNum w:abstractNumId="43">
    <w:nsid w:val="579BE4F1"/>
    <w:multiLevelType w:val="hybridMultilevel"/>
    <w:lvl w:ilvl="0">
      <w:lvlJc w:val="left"/>
      <w:lvlText w:val="3"/>
      <w:numFmt w:val="bullet"/>
      <w:start w:val="1"/>
    </w:lvl>
  </w:abstractNum>
  <w:abstractNum w:abstractNumId="44">
    <w:nsid w:val="310C50B3"/>
    <w:multiLevelType w:val="hybridMultilevel"/>
    <w:lvl w:ilvl="0">
      <w:lvlJc w:val="left"/>
      <w:lvlText w:val="4"/>
      <w:numFmt w:val="bullet"/>
      <w:start w:val="1"/>
    </w:lvl>
  </w:abstractNum>
  <w:abstractNum w:abstractNumId="45">
    <w:nsid w:val="5FF87E05"/>
    <w:multiLevelType w:val="hybridMultilevel"/>
    <w:lvl w:ilvl="0">
      <w:lvlJc w:val="left"/>
      <w:lvlText w:val="5"/>
      <w:numFmt w:val="bullet"/>
      <w:start w:val="1"/>
    </w:lvl>
  </w:abstractNum>
  <w:abstractNum w:abstractNumId="46">
    <w:nsid w:val="2F305DEF"/>
    <w:multiLevelType w:val="hybridMultilevel"/>
    <w:lvl w:ilvl="0">
      <w:lvlJc w:val="left"/>
      <w:lvlText w:val="6"/>
      <w:numFmt w:val="bullet"/>
      <w:start w:val="1"/>
    </w:lvl>
  </w:abstractNum>
  <w:abstractNum w:abstractNumId="47">
    <w:nsid w:val="25A70BF7"/>
    <w:multiLevelType w:val="hybridMultilevel"/>
    <w:lvl w:ilvl="0">
      <w:lvlJc w:val="left"/>
      <w:lvlText w:val="%1"/>
      <w:numFmt w:val="decimal"/>
      <w:start w:val="1"/>
    </w:lvl>
    <w:lvl w:ilvl="1">
      <w:lvlJc w:val="left"/>
      <w:lvlText w:val="%2"/>
      <w:numFmt w:val="decimal"/>
      <w:start w:val="11"/>
    </w:lvl>
  </w:abstractNum>
  <w:abstractNum w:abstractNumId="48">
    <w:nsid w:val="1DBABF00"/>
    <w:multiLevelType w:val="hybridMultilevel"/>
    <w:lvl w:ilvl="0">
      <w:lvlJc w:val="left"/>
      <w:lvlText w:val="2"/>
      <w:numFmt w:val="bullet"/>
      <w:start w:val="1"/>
    </w:lvl>
  </w:abstractNum>
  <w:abstractNum w:abstractNumId="49">
    <w:nsid w:val="4AD084E9"/>
    <w:multiLevelType w:val="hybridMultilevel"/>
    <w:lvl w:ilvl="0">
      <w:lvlJc w:val="left"/>
      <w:lvlText w:val="1"/>
      <w:numFmt w:val="bullet"/>
      <w:start w:val="1"/>
    </w:lvl>
  </w:abstractNum>
  <w:abstractNum w:abstractNumId="50">
    <w:nsid w:val="1F48EAA1"/>
    <w:multiLevelType w:val="hybridMultilevel"/>
    <w:lvl w:ilvl="0">
      <w:lvlJc w:val="left"/>
      <w:lvlText w:val="2"/>
      <w:numFmt w:val="bullet"/>
      <w:start w:val="1"/>
    </w:lvl>
  </w:abstractNum>
  <w:abstractNum w:abstractNumId="51">
    <w:nsid w:val="1381823A"/>
    <w:multiLevelType w:val="hybridMultilevel"/>
    <w:lvl w:ilvl="0">
      <w:lvlJc w:val="left"/>
      <w:lvlText w:val="3"/>
      <w:numFmt w:val="bullet"/>
      <w:start w:val="1"/>
    </w:lvl>
  </w:abstractNum>
  <w:abstractNum w:abstractNumId="52">
    <w:nsid w:val="5DB70AE5"/>
    <w:multiLevelType w:val="hybridMultilevel"/>
    <w:lvl w:ilvl="0">
      <w:lvlJc w:val="left"/>
      <w:lvlText w:val="4"/>
      <w:numFmt w:val="bullet"/>
      <w:start w:val="1"/>
    </w:lvl>
  </w:abstractNum>
  <w:abstractNum w:abstractNumId="53">
    <w:nsid w:val="100F8FCA"/>
    <w:multiLevelType w:val="hybridMultilevel"/>
    <w:lvl w:ilvl="0">
      <w:lvlJc w:val="left"/>
      <w:lvlText w:val="5"/>
      <w:numFmt w:val="bullet"/>
      <w:start w:val="1"/>
    </w:lvl>
  </w:abstractNum>
  <w:abstractNum w:abstractNumId="54">
    <w:nsid w:val="6590700B"/>
    <w:multiLevelType w:val="hybridMultilevel"/>
    <w:lvl w:ilvl="0">
      <w:lvlJc w:val="left"/>
      <w:lvlText w:val="6"/>
      <w:numFmt w:val="bullet"/>
      <w:start w:val="1"/>
    </w:lvl>
  </w:abstractNum>
  <w:abstractNum w:abstractNumId="55">
    <w:nsid w:val="15014ACB"/>
    <w:multiLevelType w:val="hybridMultilevel"/>
    <w:lvl w:ilvl="0">
      <w:lvlJc w:val="left"/>
      <w:lvlText w:val="%1"/>
      <w:numFmt w:val="decimal"/>
      <w:start w:val="1"/>
    </w:lvl>
    <w:lvl w:ilvl="1">
      <w:lvlJc w:val="left"/>
      <w:lvlText w:val="%2"/>
      <w:numFmt w:val="decimal"/>
      <w:start w:val="11"/>
    </w:lvl>
  </w:abstractNum>
  <w:abstractNum w:abstractNumId="56">
    <w:nsid w:val="5F5E7FD0"/>
    <w:multiLevelType w:val="hybridMultilevel"/>
    <w:lvl w:ilvl="0">
      <w:lvlJc w:val="left"/>
      <w:lvlText w:val="2"/>
      <w:numFmt w:val="bullet"/>
      <w:start w:val="1"/>
    </w:lvl>
  </w:abstractNum>
  <w:abstractNum w:abstractNumId="57">
    <w:nsid w:val="98A3148"/>
    <w:multiLevelType w:val="hybridMultilevel"/>
    <w:lvl w:ilvl="0">
      <w:lvlJc w:val="left"/>
      <w:lvlText w:val="1"/>
      <w:numFmt w:val="bullet"/>
      <w:start w:val="1"/>
    </w:lvl>
  </w:abstractNum>
  <w:abstractNum w:abstractNumId="58">
    <w:nsid w:val="799D0247"/>
    <w:multiLevelType w:val="hybridMultilevel"/>
    <w:lvl w:ilvl="0">
      <w:lvlJc w:val="left"/>
      <w:lvlText w:val="2"/>
      <w:numFmt w:val="bullet"/>
      <w:start w:val="1"/>
    </w:lvl>
  </w:abstractNum>
  <w:abstractNum w:abstractNumId="59">
    <w:nsid w:val="6B94764"/>
    <w:multiLevelType w:val="hybridMultilevel"/>
    <w:lvl w:ilvl="0">
      <w:lvlJc w:val="left"/>
      <w:lvlText w:val="3"/>
      <w:numFmt w:val="bullet"/>
      <w:start w:val="1"/>
    </w:lvl>
  </w:abstractNum>
  <w:abstractNum w:abstractNumId="60">
    <w:nsid w:val="42C296BD"/>
    <w:multiLevelType w:val="hybridMultilevel"/>
    <w:lvl w:ilvl="0">
      <w:lvlJc w:val="left"/>
      <w:lvlText w:val="4"/>
      <w:numFmt w:val="bullet"/>
      <w:start w:val="1"/>
    </w:lvl>
  </w:abstractNum>
  <w:abstractNum w:abstractNumId="61">
    <w:nsid w:val="168E121F"/>
    <w:multiLevelType w:val="hybridMultilevel"/>
    <w:lvl w:ilvl="0">
      <w:lvlJc w:val="left"/>
      <w:lvlText w:val="5"/>
      <w:numFmt w:val="bullet"/>
      <w:start w:val="1"/>
    </w:lvl>
  </w:abstractNum>
  <w:abstractNum w:abstractNumId="62">
    <w:nsid w:val="1EBA5D23"/>
    <w:multiLevelType w:val="hybridMultilevel"/>
    <w:lvl w:ilvl="0">
      <w:lvlJc w:val="left"/>
      <w:lvlText w:val="6"/>
      <w:numFmt w:val="bullet"/>
      <w:start w:val="1"/>
    </w:lvl>
  </w:abstractNum>
  <w:abstractNum w:abstractNumId="63">
    <w:nsid w:val="661E3F1E"/>
    <w:multiLevelType w:val="hybridMultilevel"/>
    <w:lvl w:ilvl="0">
      <w:lvlJc w:val="left"/>
      <w:lvlText w:val="%1"/>
      <w:numFmt w:val="decimal"/>
      <w:start w:val="1"/>
    </w:lvl>
    <w:lvl w:ilvl="1">
      <w:lvlJc w:val="left"/>
      <w:lvlText w:val="%2"/>
      <w:numFmt w:val="decimal"/>
      <w:start w:val="11"/>
    </w:lvl>
  </w:abstractNum>
  <w:abstractNum w:abstractNumId="64">
    <w:nsid w:val="5DC79EA8"/>
    <w:multiLevelType w:val="hybridMultilevel"/>
    <w:lvl w:ilvl="0">
      <w:lvlJc w:val="left"/>
      <w:lvlText w:val="2"/>
      <w:numFmt w:val="bullet"/>
      <w:start w:val="1"/>
    </w:lvl>
  </w:abstractNum>
  <w:abstractNum w:abstractNumId="65">
    <w:nsid w:val="540A471C"/>
    <w:multiLevelType w:val="hybridMultilevel"/>
    <w:lvl w:ilvl="0">
      <w:lvlJc w:val="left"/>
      <w:lvlText w:val="1"/>
      <w:numFmt w:val="bullet"/>
      <w:start w:val="1"/>
    </w:lvl>
  </w:abstractNum>
  <w:abstractNum w:abstractNumId="66">
    <w:nsid w:val="7BD3EE7B"/>
    <w:multiLevelType w:val="hybridMultilevel"/>
    <w:lvl w:ilvl="0">
      <w:lvlJc w:val="left"/>
      <w:lvlText w:val="2"/>
      <w:numFmt w:val="bullet"/>
      <w:start w:val="1"/>
    </w:lvl>
  </w:abstractNum>
  <w:abstractNum w:abstractNumId="67">
    <w:nsid w:val="51D9C564"/>
    <w:multiLevelType w:val="hybridMultilevel"/>
    <w:lvl w:ilvl="0">
      <w:lvlJc w:val="left"/>
      <w:lvlText w:val="3"/>
      <w:numFmt w:val="bullet"/>
      <w:start w:val="1"/>
    </w:lvl>
  </w:abstractNum>
  <w:abstractNum w:abstractNumId="68">
    <w:nsid w:val="613EFDC5"/>
    <w:multiLevelType w:val="hybridMultilevel"/>
    <w:lvl w:ilvl="0">
      <w:lvlJc w:val="left"/>
      <w:lvlText w:val="4"/>
      <w:numFmt w:val="bullet"/>
      <w:start w:val="1"/>
    </w:lvl>
  </w:abstractNum>
  <w:abstractNum w:abstractNumId="69">
    <w:nsid w:val="BF72B14"/>
    <w:multiLevelType w:val="hybridMultilevel"/>
    <w:lvl w:ilvl="0">
      <w:lvlJc w:val="left"/>
      <w:lvlText w:val="5"/>
      <w:numFmt w:val="bullet"/>
      <w:start w:val="1"/>
    </w:lvl>
  </w:abstractNum>
  <w:abstractNum w:abstractNumId="70">
    <w:nsid w:val="11447B73"/>
    <w:multiLevelType w:val="hybridMultilevel"/>
    <w:lvl w:ilvl="0">
      <w:lvlJc w:val="left"/>
      <w:lvlText w:val="6"/>
      <w:numFmt w:val="bullet"/>
      <w:start w:val="1"/>
    </w:lvl>
  </w:abstractNum>
  <w:abstractNum w:abstractNumId="71">
    <w:nsid w:val="42963E5A"/>
    <w:multiLevelType w:val="hybridMultilevel"/>
    <w:lvl w:ilvl="0">
      <w:lvlJc w:val="left"/>
      <w:lvlText w:val="%1"/>
      <w:numFmt w:val="decimal"/>
      <w:start w:val="1"/>
    </w:lvl>
    <w:lvl w:ilvl="1">
      <w:lvlJc w:val="left"/>
      <w:lvlText w:val="%2"/>
      <w:numFmt w:val="decimal"/>
      <w:start w:val="11"/>
    </w:lvl>
  </w:abstractNum>
  <w:abstractNum w:abstractNumId="72">
    <w:nsid w:val="A0382C5"/>
    <w:multiLevelType w:val="hybridMultilevel"/>
    <w:lvl w:ilvl="0">
      <w:lvlJc w:val="left"/>
      <w:lvlText w:val="2"/>
      <w:numFmt w:val="bullet"/>
      <w:start w:val="1"/>
    </w:lvl>
  </w:abstractNum>
  <w:abstractNum w:abstractNumId="73">
    <w:nsid w:val="8F2B15E"/>
    <w:multiLevelType w:val="hybridMultilevel"/>
    <w:lvl w:ilvl="0">
      <w:lvlJc w:val="left"/>
      <w:lvlText w:val="(%1)"/>
      <w:numFmt w:val="lowerLetter"/>
      <w:start w:val="1"/>
    </w:lvl>
  </w:abstractNum>
  <w:abstractNum w:abstractNumId="74">
    <w:nsid w:val="1A32234B"/>
    <w:multiLevelType w:val="hybridMultilevel"/>
    <w:lvl w:ilvl="0">
      <w:lvlJc w:val="left"/>
      <w:lvlText w:val="(%1)"/>
      <w:numFmt w:val="lowerLetter"/>
      <w:start w:val="1"/>
    </w:lvl>
  </w:abstractNum>
  <w:abstractNum w:abstractNumId="75">
    <w:nsid w:val="3B0FD379"/>
    <w:multiLevelType w:val="hybridMultilevel"/>
    <w:lvl w:ilvl="0">
      <w:lvlJc w:val="left"/>
      <w:lvlText w:val="(%1)"/>
      <w:numFmt w:val="lowerLetter"/>
      <w:start w:val="9"/>
    </w:lvl>
  </w:abstractNum>
  <w:abstractNum w:abstractNumId="76">
    <w:nsid w:val="68EB2F63"/>
    <w:multiLevelType w:val="hybridMultilevel"/>
    <w:lvl w:ilvl="0">
      <w:lvlJc w:val="left"/>
      <w:lvlText w:val="(%1)"/>
      <w:numFmt w:val="lowerLetter"/>
      <w:start w:val="3"/>
    </w:lvl>
  </w:abstractNum>
  <w:abstractNum w:abstractNumId="77">
    <w:nsid w:val="4962813B"/>
    <w:multiLevelType w:val="hybridMultilevel"/>
    <w:lvl w:ilvl="0">
      <w:lvlJc w:val="left"/>
      <w:lvlText w:val="(%1)"/>
      <w:numFmt w:val="lowerLetter"/>
      <w:start w:val="4"/>
    </w:lvl>
    <w:lvl w:ilvl="1">
      <w:lvlJc w:val="left"/>
      <w:lvlText w:val="(%2)"/>
      <w:numFmt w:val="lowerLetter"/>
      <w:start w:val="5"/>
    </w:lvl>
  </w:abstractNum>
  <w:abstractNum w:abstractNumId="78">
    <w:nsid w:val="60B6DF70"/>
    <w:multiLevelType w:val="hybridMultilevel"/>
    <w:lvl w:ilvl="0">
      <w:lvlJc w:val="left"/>
      <w:lvlText w:val="●"/>
      <w:numFmt w:val="bullet"/>
      <w:start w:val="1"/>
    </w:lvl>
  </w:abstractNum>
  <w:abstractNum w:abstractNumId="79">
    <w:nsid w:val="6A5EE64"/>
    <w:multiLevelType w:val="hybridMultilevel"/>
    <w:lvl w:ilvl="0">
      <w:lvlJc w:val="left"/>
      <w:lvlText w:val="●"/>
      <w:numFmt w:val="bullet"/>
      <w:start w:val="1"/>
    </w:lvl>
    <w:lvl w:ilvl="1">
      <w:lvlJc w:val="left"/>
      <w:lvlText w:val="(%2)"/>
      <w:numFmt w:val="lowerLetter"/>
      <w:start w:val="25"/>
    </w:lvl>
  </w:abstractNum>
  <w:abstractNum w:abstractNumId="80">
    <w:nsid w:val="14330624"/>
    <w:multiLevelType w:val="hybridMultilevel"/>
    <w:lvl w:ilvl="0">
      <w:lvlJc w:val="left"/>
      <w:lvlText w:val="%1"/>
      <w:numFmt w:val="upperLetter"/>
      <w:start w:val="1"/>
    </w:lvl>
    <w:lvl w:ilvl="1">
      <w:lvlJc w:val="left"/>
      <w:lvlText w:val="%2."/>
      <w:numFmt w:val="upperLetter"/>
      <w:start w:val="1"/>
    </w:lvl>
  </w:abstractNum>
  <w:abstractNum w:abstractNumId="81">
    <w:nsid w:val="7FFFCA11"/>
    <w:multiLevelType w:val="hybridMultilevel"/>
    <w:lvl w:ilvl="0">
      <w:lvlJc w:val="left"/>
      <w:lvlText w:val="%1."/>
      <w:numFmt w:val="upperLetter"/>
      <w:start w:val="2"/>
    </w:lvl>
    <w:lvl w:ilvl="1">
      <w:lvlJc w:val="left"/>
      <w:lvlText w:val="%2"/>
      <w:numFmt w:val="upperLetter"/>
      <w:start w:val="1"/>
    </w:lvl>
  </w:abstractNum>
  <w:abstractNum w:abstractNumId="82">
    <w:nsid w:val="1A27709E"/>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2021-02-16T17:02:52Z</dcterms:created>
  <dcterms:modified xsi:type="dcterms:W3CDTF">2021-02-16T17:02:52Z</dcterms:modified>
</cp:coreProperties>
</file>