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January 17, 2023</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1" w:lineRule="exact"/>
        <w:rPr>
          <w:sz w:val="24"/>
          <w:szCs w:val="24"/>
          <w:color w:val="auto"/>
        </w:rPr>
      </w:pPr>
    </w:p>
    <w:tbl>
      <w:tblPr>
        <w:tblLayout w:type="fixed"/>
        <w:tblInd w:w="2020" w:type="dxa"/>
        <w:tblCellMar>
          <w:top w:w="0" w:type="dxa"/>
          <w:left w:w="0" w:type="dxa"/>
          <w:bottom w:w="0" w:type="dxa"/>
          <w:right w:w="0" w:type="dxa"/>
        </w:tblCellMar>
      </w:tblPr>
      <w:tr>
        <w:trPr>
          <w:trHeight w:val="172"/>
        </w:trPr>
        <w:tc>
          <w:tcPr>
            <w:tcW w:w="3760" w:type="dxa"/>
            <w:vAlign w:val="bottom"/>
          </w:tcPr>
          <w:p>
            <w:pPr>
              <w:jc w:val="center"/>
              <w:ind w:right="1950"/>
              <w:spacing w:after="0"/>
              <w:rPr>
                <w:sz w:val="20"/>
                <w:szCs w:val="20"/>
                <w:color w:val="auto"/>
              </w:rPr>
            </w:pPr>
            <w:r>
              <w:rPr>
                <w:rFonts w:ascii="Arial" w:cs="Arial" w:eastAsia="Arial" w:hAnsi="Arial"/>
                <w:sz w:val="15"/>
                <w:szCs w:val="15"/>
                <w:b w:val="1"/>
                <w:bCs w:val="1"/>
                <w:color w:val="auto"/>
                <w:w w:val="94"/>
              </w:rPr>
              <w:t>Delaware</w:t>
            </w:r>
          </w:p>
        </w:tc>
        <w:tc>
          <w:tcPr>
            <w:tcW w:w="3340" w:type="dxa"/>
            <w:vAlign w:val="bottom"/>
          </w:tcPr>
          <w:p>
            <w:pPr>
              <w:jc w:val="center"/>
              <w:ind w:left="1930"/>
              <w:spacing w:after="0"/>
              <w:rPr>
                <w:sz w:val="20"/>
                <w:szCs w:val="20"/>
                <w:color w:val="auto"/>
              </w:rPr>
            </w:pPr>
            <w:r>
              <w:rPr>
                <w:rFonts w:ascii="Arial" w:cs="Arial" w:eastAsia="Arial" w:hAnsi="Arial"/>
                <w:sz w:val="15"/>
                <w:szCs w:val="15"/>
                <w:b w:val="1"/>
                <w:bCs w:val="1"/>
                <w:color w:val="auto"/>
                <w:w w:val="92"/>
              </w:rPr>
              <w:t>82-3220679</w:t>
            </w:r>
          </w:p>
        </w:tc>
      </w:tr>
      <w:tr>
        <w:trPr>
          <w:trHeight w:val="148"/>
        </w:trPr>
        <w:tc>
          <w:tcPr>
            <w:tcW w:w="3760" w:type="dxa"/>
            <w:vAlign w:val="bottom"/>
          </w:tcPr>
          <w:p>
            <w:pPr>
              <w:jc w:val="center"/>
              <w:ind w:right="1930"/>
              <w:spacing w:after="0"/>
              <w:rPr>
                <w:sz w:val="20"/>
                <w:szCs w:val="20"/>
                <w:color w:val="auto"/>
              </w:rPr>
            </w:pPr>
            <w:r>
              <w:rPr>
                <w:rFonts w:ascii="Arial" w:cs="Arial" w:eastAsia="Arial" w:hAnsi="Arial"/>
                <w:sz w:val="13"/>
                <w:szCs w:val="13"/>
                <w:b w:val="1"/>
                <w:bCs w:val="1"/>
                <w:color w:val="auto"/>
                <w:w w:val="94"/>
              </w:rPr>
              <w:t>(State or other jurisdiction of</w:t>
            </w:r>
          </w:p>
        </w:tc>
        <w:tc>
          <w:tcPr>
            <w:tcW w:w="3340" w:type="dxa"/>
            <w:vAlign w:val="bottom"/>
          </w:tcPr>
          <w:p>
            <w:pPr>
              <w:jc w:val="center"/>
              <w:ind w:left="1950"/>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760" w:type="dxa"/>
            <w:vAlign w:val="bottom"/>
          </w:tcPr>
          <w:p>
            <w:pPr>
              <w:jc w:val="center"/>
              <w:ind w:right="1930"/>
              <w:spacing w:after="0"/>
              <w:rPr>
                <w:sz w:val="20"/>
                <w:szCs w:val="20"/>
                <w:color w:val="auto"/>
              </w:rPr>
            </w:pPr>
            <w:r>
              <w:rPr>
                <w:rFonts w:ascii="Arial" w:cs="Arial" w:eastAsia="Arial" w:hAnsi="Arial"/>
                <w:sz w:val="13"/>
                <w:szCs w:val="13"/>
                <w:b w:val="1"/>
                <w:bCs w:val="1"/>
                <w:color w:val="auto"/>
                <w:w w:val="94"/>
              </w:rPr>
              <w:t>incorporation or organization)</w:t>
            </w:r>
          </w:p>
        </w:tc>
        <w:tc>
          <w:tcPr>
            <w:tcW w:w="3340" w:type="dxa"/>
            <w:vAlign w:val="bottom"/>
          </w:tcPr>
          <w:p>
            <w:pPr>
              <w:jc w:val="center"/>
              <w:ind w:left="1930"/>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321 Arsenal Street, Suite 101</w:t>
      </w:r>
    </w:p>
    <w:p>
      <w:pPr>
        <w:jc w:val="center"/>
        <w:ind w:right="-139"/>
        <w:spacing w:after="0" w:line="233" w:lineRule="auto"/>
        <w:rPr>
          <w:sz w:val="20"/>
          <w:szCs w:val="20"/>
          <w:color w:val="auto"/>
        </w:rPr>
      </w:pPr>
      <w:r>
        <w:rPr>
          <w:rFonts w:ascii="Arial" w:cs="Arial" w:eastAsia="Arial" w:hAnsi="Arial"/>
          <w:sz w:val="15"/>
          <w:szCs w:val="15"/>
          <w:b w:val="1"/>
          <w:bCs w:val="1"/>
          <w:color w:val="auto"/>
        </w:rPr>
        <w:t>Watertown, MA 02472</w:t>
      </w:r>
    </w:p>
    <w:p>
      <w:pPr>
        <w:jc w:val="center"/>
        <w:ind w:right="-139"/>
        <w:spacing w:after="0" w:line="228" w:lineRule="auto"/>
        <w:rPr>
          <w:sz w:val="20"/>
          <w:szCs w:val="20"/>
          <w:color w:val="auto"/>
        </w:rPr>
      </w:pPr>
      <w:r>
        <w:rPr>
          <w:rFonts w:ascii="Arial" w:cs="Arial" w:eastAsia="Arial" w:hAnsi="Arial"/>
          <w:sz w:val="15"/>
          <w:szCs w:val="15"/>
          <w:b w:val="1"/>
          <w:bCs w:val="1"/>
          <w:color w:val="auto"/>
        </w:rPr>
        <w:t>(617) 674-9274</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John Quisel, J.D., Ph.D.</w:t>
      </w:r>
    </w:p>
    <w:p>
      <w:pPr>
        <w:jc w:val="center"/>
        <w:ind w:right="-139"/>
        <w:spacing w:after="0" w:line="233" w:lineRule="auto"/>
        <w:rPr>
          <w:sz w:val="20"/>
          <w:szCs w:val="20"/>
          <w:color w:val="auto"/>
        </w:rPr>
      </w:pPr>
      <w:r>
        <w:rPr>
          <w:rFonts w:ascii="Arial" w:cs="Arial" w:eastAsia="Arial" w:hAnsi="Arial"/>
          <w:sz w:val="15"/>
          <w:szCs w:val="15"/>
          <w:b w:val="1"/>
          <w:bCs w:val="1"/>
          <w:color w:val="auto"/>
        </w:rPr>
        <w:t>Chief Executive Officer</w:t>
      </w:r>
    </w:p>
    <w:p>
      <w:pPr>
        <w:jc w:val="center"/>
        <w:ind w:right="-139"/>
        <w:spacing w:after="0" w:line="225" w:lineRule="auto"/>
        <w:rPr>
          <w:sz w:val="20"/>
          <w:szCs w:val="20"/>
          <w:color w:val="auto"/>
        </w:rPr>
      </w:pPr>
      <w:r>
        <w:rPr>
          <w:rFonts w:ascii="Arial" w:cs="Arial" w:eastAsia="Arial" w:hAnsi="Arial"/>
          <w:sz w:val="15"/>
          <w:szCs w:val="15"/>
          <w:b w:val="1"/>
          <w:bCs w:val="1"/>
          <w:color w:val="auto"/>
        </w:rPr>
        <w:t>Disc Medicine, Inc.</w:t>
      </w:r>
    </w:p>
    <w:p>
      <w:pPr>
        <w:jc w:val="center"/>
        <w:ind w:right="-139"/>
        <w:spacing w:after="0" w:line="225" w:lineRule="auto"/>
        <w:rPr>
          <w:sz w:val="20"/>
          <w:szCs w:val="20"/>
          <w:color w:val="auto"/>
        </w:rPr>
      </w:pPr>
      <w:r>
        <w:rPr>
          <w:rFonts w:ascii="Arial" w:cs="Arial" w:eastAsia="Arial" w:hAnsi="Arial"/>
          <w:sz w:val="15"/>
          <w:szCs w:val="15"/>
          <w:b w:val="1"/>
          <w:bCs w:val="1"/>
          <w:color w:val="auto"/>
        </w:rPr>
        <w:t>321 Arsenal Street, Suite 101</w:t>
      </w:r>
    </w:p>
    <w:p>
      <w:pPr>
        <w:jc w:val="center"/>
        <w:ind w:right="-139"/>
        <w:spacing w:after="0" w:line="226" w:lineRule="auto"/>
        <w:rPr>
          <w:sz w:val="20"/>
          <w:szCs w:val="20"/>
          <w:color w:val="auto"/>
        </w:rPr>
      </w:pPr>
      <w:r>
        <w:rPr>
          <w:rFonts w:ascii="Arial" w:cs="Arial" w:eastAsia="Arial" w:hAnsi="Arial"/>
          <w:sz w:val="15"/>
          <w:szCs w:val="15"/>
          <w:b w:val="1"/>
          <w:bCs w:val="1"/>
          <w:color w:val="auto"/>
        </w:rPr>
        <w:t>Watertown, MA 02472</w:t>
      </w:r>
    </w:p>
    <w:p>
      <w:pPr>
        <w:jc w:val="center"/>
        <w:ind w:right="-139"/>
        <w:spacing w:after="0" w:line="229" w:lineRule="auto"/>
        <w:rPr>
          <w:sz w:val="20"/>
          <w:szCs w:val="20"/>
          <w:color w:val="auto"/>
        </w:rPr>
      </w:pPr>
      <w:r>
        <w:rPr>
          <w:rFonts w:ascii="Arial" w:cs="Arial" w:eastAsia="Arial" w:hAnsi="Arial"/>
          <w:sz w:val="15"/>
          <w:szCs w:val="15"/>
          <w:b w:val="1"/>
          <w:bCs w:val="1"/>
          <w:color w:val="auto"/>
        </w:rPr>
        <w:t>(617) 674-9274</w:t>
      </w:r>
    </w:p>
    <w:p>
      <w:pPr>
        <w:jc w:val="center"/>
        <w:ind w:right="-1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8" w:lineRule="exact"/>
        <w:rPr>
          <w:sz w:val="24"/>
          <w:szCs w:val="24"/>
          <w:color w:val="auto"/>
        </w:rPr>
      </w:pPr>
    </w:p>
    <w:tbl>
      <w:tblPr>
        <w:tblLayout w:type="fixed"/>
        <w:tblInd w:w="2060" w:type="dxa"/>
        <w:tblCellMar>
          <w:top w:w="0" w:type="dxa"/>
          <w:left w:w="0" w:type="dxa"/>
          <w:bottom w:w="0" w:type="dxa"/>
          <w:right w:w="0" w:type="dxa"/>
        </w:tblCellMar>
      </w:tblPr>
      <w:tr>
        <w:trPr>
          <w:trHeight w:val="194"/>
        </w:trPr>
        <w:tc>
          <w:tcPr>
            <w:tcW w:w="2460" w:type="dxa"/>
            <w:vAlign w:val="bottom"/>
          </w:tcPr>
          <w:p>
            <w:pPr>
              <w:spacing w:after="0"/>
              <w:rPr>
                <w:sz w:val="16"/>
                <w:szCs w:val="16"/>
                <w:color w:val="auto"/>
              </w:rPr>
            </w:pPr>
          </w:p>
        </w:tc>
        <w:tc>
          <w:tcPr>
            <w:tcW w:w="488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193"/>
        </w:trPr>
        <w:tc>
          <w:tcPr>
            <w:tcW w:w="2460" w:type="dxa"/>
            <w:vAlign w:val="bottom"/>
          </w:tcPr>
          <w:p>
            <w:pPr>
              <w:jc w:val="center"/>
              <w:ind w:right="704"/>
              <w:spacing w:after="0"/>
              <w:rPr>
                <w:sz w:val="20"/>
                <w:szCs w:val="20"/>
                <w:color w:val="auto"/>
              </w:rPr>
            </w:pPr>
            <w:r>
              <w:rPr>
                <w:rFonts w:ascii="Arial" w:cs="Arial" w:eastAsia="Arial" w:hAnsi="Arial"/>
                <w:sz w:val="15"/>
                <w:szCs w:val="15"/>
                <w:b w:val="1"/>
                <w:bCs w:val="1"/>
                <w:color w:val="auto"/>
                <w:w w:val="94"/>
              </w:rPr>
              <w:t>William D. Collins, Esq.</w:t>
            </w:r>
          </w:p>
        </w:tc>
        <w:tc>
          <w:tcPr>
            <w:tcW w:w="4880" w:type="dxa"/>
            <w:vAlign w:val="bottom"/>
          </w:tcPr>
          <w:p>
            <w:pPr>
              <w:jc w:val="center"/>
              <w:ind w:left="2924"/>
              <w:spacing w:after="0"/>
              <w:rPr>
                <w:sz w:val="20"/>
                <w:szCs w:val="20"/>
                <w:color w:val="auto"/>
              </w:rPr>
            </w:pPr>
            <w:r>
              <w:rPr>
                <w:rFonts w:ascii="Arial" w:cs="Arial" w:eastAsia="Arial" w:hAnsi="Arial"/>
                <w:sz w:val="15"/>
                <w:szCs w:val="15"/>
                <w:b w:val="1"/>
                <w:bCs w:val="1"/>
                <w:color w:val="auto"/>
                <w:w w:val="99"/>
              </w:rPr>
              <w:t>Rahul Khara</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1"/>
              </w:rPr>
              <w:t>Stephanie Richards, Esq.</w:t>
            </w:r>
          </w:p>
        </w:tc>
        <w:tc>
          <w:tcPr>
            <w:tcW w:w="4880" w:type="dxa"/>
            <w:vAlign w:val="bottom"/>
          </w:tcPr>
          <w:p>
            <w:pPr>
              <w:jc w:val="center"/>
              <w:ind w:left="2924"/>
              <w:spacing w:after="0" w:line="162" w:lineRule="exact"/>
              <w:rPr>
                <w:sz w:val="20"/>
                <w:szCs w:val="20"/>
                <w:color w:val="auto"/>
              </w:rPr>
            </w:pPr>
            <w:r>
              <w:rPr>
                <w:rFonts w:ascii="Arial" w:cs="Arial" w:eastAsia="Arial" w:hAnsi="Arial"/>
                <w:sz w:val="15"/>
                <w:szCs w:val="15"/>
                <w:b w:val="1"/>
                <w:bCs w:val="1"/>
                <w:color w:val="auto"/>
                <w:w w:val="90"/>
              </w:rPr>
              <w:t>General Counsel</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4"/>
              </w:rPr>
              <w:t>Alicia M. Tschirhart, Esq.</w:t>
            </w:r>
          </w:p>
        </w:tc>
        <w:tc>
          <w:tcPr>
            <w:tcW w:w="4880" w:type="dxa"/>
            <w:vAlign w:val="bottom"/>
          </w:tcPr>
          <w:p>
            <w:pPr>
              <w:jc w:val="center"/>
              <w:ind w:left="2924"/>
              <w:spacing w:after="0" w:line="162" w:lineRule="exact"/>
              <w:rPr>
                <w:sz w:val="20"/>
                <w:szCs w:val="20"/>
                <w:color w:val="auto"/>
              </w:rPr>
            </w:pPr>
            <w:r>
              <w:rPr>
                <w:rFonts w:ascii="Arial" w:cs="Arial" w:eastAsia="Arial" w:hAnsi="Arial"/>
                <w:sz w:val="15"/>
                <w:szCs w:val="15"/>
                <w:b w:val="1"/>
                <w:bCs w:val="1"/>
                <w:color w:val="auto"/>
                <w:w w:val="92"/>
              </w:rPr>
              <w:t>Disc Medicine, Inc.</w:t>
            </w:r>
          </w:p>
        </w:tc>
      </w:tr>
      <w:tr>
        <w:trPr>
          <w:trHeight w:val="162"/>
        </w:trPr>
        <w:tc>
          <w:tcPr>
            <w:tcW w:w="2460" w:type="dxa"/>
            <w:vAlign w:val="bottom"/>
          </w:tcPr>
          <w:p>
            <w:pPr>
              <w:jc w:val="center"/>
              <w:ind w:right="724"/>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4880" w:type="dxa"/>
            <w:vAlign w:val="bottom"/>
          </w:tcPr>
          <w:p>
            <w:pPr>
              <w:jc w:val="center"/>
              <w:ind w:left="2924"/>
              <w:spacing w:after="0" w:line="162" w:lineRule="exact"/>
              <w:rPr>
                <w:sz w:val="20"/>
                <w:szCs w:val="20"/>
                <w:color w:val="auto"/>
              </w:rPr>
            </w:pPr>
            <w:r>
              <w:rPr>
                <w:rFonts w:ascii="Arial" w:cs="Arial" w:eastAsia="Arial" w:hAnsi="Arial"/>
                <w:sz w:val="15"/>
                <w:szCs w:val="15"/>
                <w:b w:val="1"/>
                <w:bCs w:val="1"/>
                <w:color w:val="auto"/>
                <w:w w:val="91"/>
              </w:rPr>
              <w:t>321 Arsenal Street, Suite 101</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4880" w:type="dxa"/>
            <w:vAlign w:val="bottom"/>
          </w:tcPr>
          <w:p>
            <w:pPr>
              <w:jc w:val="center"/>
              <w:ind w:left="2924"/>
              <w:spacing w:after="0" w:line="162" w:lineRule="exact"/>
              <w:rPr>
                <w:sz w:val="20"/>
                <w:szCs w:val="20"/>
                <w:color w:val="auto"/>
              </w:rPr>
            </w:pPr>
            <w:r>
              <w:rPr>
                <w:rFonts w:ascii="Arial" w:cs="Arial" w:eastAsia="Arial" w:hAnsi="Arial"/>
                <w:sz w:val="15"/>
                <w:szCs w:val="15"/>
                <w:b w:val="1"/>
                <w:bCs w:val="1"/>
                <w:color w:val="auto"/>
                <w:w w:val="95"/>
              </w:rPr>
              <w:t>Watertown, MA 02472</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2"/>
              </w:rPr>
              <w:t>Boston, MA 02210</w:t>
            </w:r>
          </w:p>
        </w:tc>
        <w:tc>
          <w:tcPr>
            <w:tcW w:w="4880" w:type="dxa"/>
            <w:vAlign w:val="bottom"/>
          </w:tcPr>
          <w:p>
            <w:pPr>
              <w:jc w:val="center"/>
              <w:ind w:left="2924"/>
              <w:spacing w:after="0" w:line="162" w:lineRule="exact"/>
              <w:rPr>
                <w:sz w:val="20"/>
                <w:szCs w:val="20"/>
                <w:color w:val="auto"/>
              </w:rPr>
            </w:pPr>
            <w:r>
              <w:rPr>
                <w:rFonts w:ascii="Arial" w:cs="Arial" w:eastAsia="Arial" w:hAnsi="Arial"/>
                <w:sz w:val="15"/>
                <w:szCs w:val="15"/>
                <w:b w:val="1"/>
                <w:bCs w:val="1"/>
                <w:color w:val="auto"/>
                <w:w w:val="93"/>
              </w:rPr>
              <w:t>(617) 674-9274</w:t>
            </w:r>
          </w:p>
        </w:tc>
      </w:tr>
      <w:tr>
        <w:trPr>
          <w:trHeight w:val="198"/>
        </w:trPr>
        <w:tc>
          <w:tcPr>
            <w:tcW w:w="2460" w:type="dxa"/>
            <w:vAlign w:val="bottom"/>
          </w:tcPr>
          <w:p>
            <w:pPr>
              <w:jc w:val="center"/>
              <w:ind w:right="704"/>
              <w:spacing w:after="0"/>
              <w:rPr>
                <w:sz w:val="20"/>
                <w:szCs w:val="20"/>
                <w:color w:val="auto"/>
              </w:rPr>
            </w:pPr>
            <w:r>
              <w:rPr>
                <w:rFonts w:ascii="Arial" w:cs="Arial" w:eastAsia="Arial" w:hAnsi="Arial"/>
                <w:sz w:val="15"/>
                <w:szCs w:val="15"/>
                <w:b w:val="1"/>
                <w:bCs w:val="1"/>
                <w:color w:val="auto"/>
                <w:w w:val="93"/>
              </w:rPr>
              <w:t>(617) 570-1000</w:t>
            </w:r>
          </w:p>
        </w:tc>
        <w:tc>
          <w:tcPr>
            <w:tcW w:w="48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ind w:left="120" w:right="40"/>
        <w:spacing w:after="0" w:line="254" w:lineRule="auto"/>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or at one time as determined by the Registrant after the effective date of this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w:t>
      </w:r>
    </w:p>
    <w:p>
      <w:pPr>
        <w:spacing w:after="0" w:line="1" w:lineRule="exact"/>
        <w:rPr>
          <w:sz w:val="24"/>
          <w:szCs w:val="24"/>
          <w:color w:val="auto"/>
        </w:rPr>
      </w:pPr>
    </w:p>
    <w:p>
      <w:pPr>
        <w:ind w:left="12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87" w:lineRule="exact"/>
        <w:rPr>
          <w:sz w:val="24"/>
          <w:szCs w:val="24"/>
          <w:color w:val="auto"/>
        </w:rPr>
      </w:pPr>
    </w:p>
    <w:p>
      <w:pPr>
        <w:ind w:left="120" w:right="80"/>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38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4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340"/>
        <w:spacing w:after="0" w:line="193"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560"/>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15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0"/>
                <w:szCs w:val="20"/>
                <w:color w:val="auto"/>
              </w:rPr>
            </w:pPr>
            <w:r>
              <w:rPr>
                <w:rFonts w:ascii="Arial" w:cs="Arial" w:eastAsia="Arial" w:hAnsi="Arial"/>
                <w:sz w:val="15"/>
                <w:szCs w:val="15"/>
                <w:color w:val="auto"/>
              </w:rPr>
              <w:t>Non-accelerated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320" w:type="dxa"/>
            <w:vAlign w:val="bottom"/>
          </w:tcPr>
          <w:p>
            <w:pPr>
              <w:ind w:left="3500"/>
              <w:spacing w:after="0"/>
              <w:rPr>
                <w:sz w:val="20"/>
                <w:szCs w:val="20"/>
                <w:color w:val="auto"/>
              </w:rPr>
            </w:pPr>
            <w:r>
              <w:rPr>
                <w:rFonts w:ascii="Arial" w:cs="Arial" w:eastAsia="Arial" w:hAnsi="Arial"/>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9" w:lineRule="exact"/>
        <w:rPr>
          <w:sz w:val="24"/>
          <w:szCs w:val="24"/>
          <w:color w:val="auto"/>
        </w:rPr>
      </w:pPr>
    </w:p>
    <w:p>
      <w:pPr>
        <w:ind w:left="120" w:right="38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8" w:lineRule="exact"/>
        <w:rPr>
          <w:sz w:val="24"/>
          <w:szCs w:val="24"/>
          <w:color w:val="auto"/>
        </w:rPr>
      </w:pPr>
    </w:p>
    <w:p>
      <w:pPr>
        <w:ind w:left="120"/>
        <w:spacing w:after="0" w:line="235"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DATED JANUARY 17,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$300,000,000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From time to time, we may offer and sell up to $300,000,000 in aggregate principal amount of our Common Stock, Preferred Stock, Debt Securities, Warrants or Units, in each case in one or more issuances and at prices and on terms that we will determine at the time of the offering.</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“IRON.” On January 13, 2023, the closing price of our common stock, as reported on The Nasdaq Global Market, was $19.25 per share.</w:t>
      </w:r>
    </w:p>
    <w:p>
      <w:pPr>
        <w:spacing w:after="0" w:line="265" w:lineRule="exact"/>
        <w:rPr>
          <w:sz w:val="20"/>
          <w:szCs w:val="20"/>
          <w:color w:val="auto"/>
        </w:rPr>
      </w:pPr>
    </w:p>
    <w:p>
      <w:pPr>
        <w:ind w:left="120" w:right="260"/>
        <w:spacing w:after="0" w:line="251" w:lineRule="auto"/>
        <w:rPr>
          <w:sz w:val="20"/>
          <w:szCs w:val="20"/>
          <w:color w:val="auto"/>
        </w:rPr>
      </w:pPr>
      <w:r>
        <w:rPr>
          <w:rFonts w:ascii="Arial" w:cs="Arial" w:eastAsia="Arial" w:hAnsi="Arial"/>
          <w:sz w:val="21"/>
          <w:szCs w:val="21"/>
          <w:b w:val="1"/>
          <w:bCs w:val="1"/>
          <w:color w:val="auto"/>
        </w:rPr>
        <w:t>Investing in our securities involves risks. You should review carefully the risks and uncertainties described under the heading “</w:t>
      </w:r>
      <w:r>
        <w:rPr>
          <w:rFonts w:ascii="Arial" w:cs="Arial" w:eastAsia="Arial" w:hAnsi="Arial"/>
          <w:sz w:val="21"/>
          <w:szCs w:val="21"/>
          <w:b w:val="1"/>
          <w:bCs w:val="1"/>
          <w:i w:val="1"/>
          <w:iCs w:val="1"/>
          <w:u w:val="single" w:color="auto"/>
          <w:color w:val="0000EE"/>
        </w:rPr>
        <w:t>Risk Factors</w:t>
      </w:r>
      <w:r>
        <w:rPr>
          <w:rFonts w:ascii="Arial" w:cs="Arial" w:eastAsia="Arial" w:hAnsi="Arial"/>
          <w:sz w:val="21"/>
          <w:szCs w:val="21"/>
          <w:b w:val="1"/>
          <w:bCs w:val="1"/>
          <w:color w:val="auto"/>
        </w:rPr>
        <w:t>” on page 10 of this prospectus and under any similar heading in the documents that are incorporated by reference into this prospectus, as well as “</w:t>
      </w:r>
      <w:r>
        <w:rPr>
          <w:rFonts w:ascii="Arial" w:cs="Arial" w:eastAsia="Arial" w:hAnsi="Arial"/>
          <w:sz w:val="21"/>
          <w:szCs w:val="21"/>
          <w:b w:val="1"/>
          <w:bCs w:val="1"/>
          <w:i w:val="1"/>
          <w:iCs w:val="1"/>
          <w:color w:val="auto"/>
        </w:rPr>
        <w:t>Special Note Regarding Forward-Looking Statements</w:t>
      </w:r>
      <w:r>
        <w:rPr>
          <w:rFonts w:ascii="Arial" w:cs="Arial" w:eastAsia="Arial" w:hAnsi="Arial"/>
          <w:sz w:val="21"/>
          <w:szCs w:val="21"/>
          <w:b w:val="1"/>
          <w:bCs w:val="1"/>
          <w:color w:val="auto"/>
        </w:rPr>
        <w:t>” on page 4 of this prospectus. You should read the entire prospectus and any applicable prospectus supplement carefully before you make your investment decision.</w:t>
      </w:r>
    </w:p>
    <w:p>
      <w:pPr>
        <w:spacing w:after="0" w:line="18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of Distribution</w:t>
      </w:r>
      <w:r>
        <w:rPr>
          <w:rFonts w:ascii="Arial" w:cs="Arial" w:eastAsia="Arial" w:hAnsi="Arial"/>
          <w:sz w:val="18"/>
          <w:szCs w:val="18"/>
          <w:color w:val="auto"/>
        </w:rPr>
        <w:t>” in this prospectus. We will also describe in an applicable prospectus supplement the way(s) in which we expect to use the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 from any sale.</w:t>
      </w:r>
    </w:p>
    <w:p>
      <w:pPr>
        <w:spacing w:after="0" w:line="184"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ectPr>
          <w:pgSz w:w="11900" w:h="16838" w:orient="portrait"/>
          <w:cols w:equalWidth="0" w:num="1">
            <w:col w:w="11100"/>
          </w:cols>
          <w:pgMar w:left="320" w:top="4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000" w:type="dxa"/>
            <w:vAlign w:val="bottom"/>
            <w:gridSpan w:val="18"/>
          </w:tcPr>
          <w:p>
            <w:pPr>
              <w:spacing w:after="0" w:line="190" w:lineRule="exact"/>
              <w:rPr>
                <w:sz w:val="20"/>
                <w:szCs w:val="20"/>
                <w:color w:val="auto"/>
              </w:rPr>
            </w:pPr>
            <w:r>
              <w:rPr>
                <w:rFonts w:ascii="Arial" w:cs="Arial" w:eastAsia="Arial" w:hAnsi="Arial"/>
                <w:sz w:val="18"/>
                <w:szCs w:val="18"/>
                <w:color w:val="0000EE"/>
              </w:rPr>
              <w:t>ABOUT THIS PROSPECTUS</w:t>
            </w:r>
          </w:p>
        </w:tc>
        <w:tc>
          <w:tcPr>
            <w:tcW w:w="29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RISK FACTORS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EXPERTS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61"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prospectus is part of a registration statement on Form S-3 that we have filed with the Securities and Exchange Commission, or the SEC, using a “shelf” registration process.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this process, we may sell the securities described in this prospectus in one or more offerings for an aggregate offering amount of up to</w:t>
      </w:r>
    </w:p>
    <w:p>
      <w:pPr>
        <w:spacing w:after="0" w:line="35"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6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and “</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 in both this prospectus and the applicable prospectus supplement, and 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66"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also make these documents available on our website at </w:t>
      </w:r>
      <w:r>
        <w:rPr>
          <w:rFonts w:ascii="Arial" w:cs="Arial" w:eastAsia="Arial" w:hAnsi="Arial"/>
          <w:sz w:val="18"/>
          <w:szCs w:val="18"/>
          <w:i w:val="1"/>
          <w:iCs w:val="1"/>
          <w:color w:val="auto"/>
        </w:rPr>
        <w:t>www.discmedicine.com</w:t>
      </w:r>
      <w:r>
        <w:rPr>
          <w:rFonts w:ascii="Arial" w:cs="Arial" w:eastAsia="Arial" w:hAnsi="Arial"/>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100"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fiscal year ended December 31, 2021, filed with the SEC on </w:t>
      </w:r>
      <w:hyperlink r:id="rId23">
        <w:r>
          <w:rPr>
            <w:rFonts w:ascii="Arial" w:cs="Arial" w:eastAsia="Arial" w:hAnsi="Arial"/>
            <w:sz w:val="18"/>
            <w:szCs w:val="18"/>
            <w:u w:val="single" w:color="auto"/>
            <w:color w:val="0000EE"/>
          </w:rPr>
          <w:t>March 10,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Quarterly Reports on Form 10-Q for the quarters ended March 31, 2022, June 30, 2022 and September 30, 2022, filed with the SEC on </w:t>
      </w:r>
      <w:hyperlink r:id="rId24">
        <w:r>
          <w:rPr>
            <w:rFonts w:ascii="Arial" w:cs="Arial" w:eastAsia="Arial" w:hAnsi="Arial"/>
            <w:sz w:val="18"/>
            <w:szCs w:val="18"/>
            <w:u w:val="single" w:color="auto"/>
            <w:color w:val="0000EE"/>
          </w:rPr>
          <w:t>May 6, 2022</w:t>
        </w:r>
      </w:hyperlink>
      <w:r>
        <w:rPr>
          <w:rFonts w:ascii="Arial" w:cs="Arial" w:eastAsia="Arial" w:hAnsi="Arial"/>
          <w:sz w:val="18"/>
          <w:szCs w:val="18"/>
          <w:u w:val="single" w:color="auto"/>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 xml:space="preserve">November 11, 2022 </w:t>
        </w:r>
      </w:hyperlink>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260" w:hanging="424"/>
        <w:spacing w:after="0" w:line="301" w:lineRule="auto"/>
        <w:tabs>
          <w:tab w:leader="none" w:pos="1080" w:val="left"/>
        </w:tabs>
        <w:numPr>
          <w:ilvl w:val="0"/>
          <w:numId w:val="1"/>
        </w:numPr>
        <w:rPr>
          <w:rFonts w:ascii="Arial" w:cs="Arial" w:eastAsia="Arial" w:hAnsi="Arial"/>
          <w:sz w:val="16"/>
          <w:szCs w:val="16"/>
          <w:color w:val="000000"/>
        </w:rPr>
      </w:pPr>
      <w:hyperlink r:id="rId27">
        <w:r>
          <w:rPr>
            <w:rFonts w:ascii="Arial" w:cs="Arial" w:eastAsia="Arial" w:hAnsi="Arial"/>
            <w:sz w:val="16"/>
            <w:szCs w:val="16"/>
            <w:color w:val="auto"/>
          </w:rPr>
          <w:t xml:space="preserve">Current Reports on Form 8-K filed with the SEC on </w:t>
        </w:r>
        <w:r>
          <w:rPr>
            <w:rFonts w:ascii="Arial" w:cs="Arial" w:eastAsia="Arial" w:hAnsi="Arial"/>
            <w:sz w:val="16"/>
            <w:szCs w:val="16"/>
            <w:u w:val="single" w:color="auto"/>
            <w:color w:val="0000EE"/>
          </w:rPr>
          <w:t>January 10, 2022</w:t>
        </w:r>
        <w:r>
          <w:rPr>
            <w:rFonts w:ascii="Arial" w:cs="Arial" w:eastAsia="Arial" w:hAnsi="Arial"/>
            <w:sz w:val="16"/>
            <w:szCs w:val="16"/>
            <w:color w:val="auto"/>
          </w:rPr>
          <w:t xml:space="preserve"> (excluding information furnished pursuant to Item 7.01), </w:t>
        </w:r>
        <w:r>
          <w:rPr>
            <w:rFonts w:ascii="Arial" w:cs="Arial" w:eastAsia="Arial" w:hAnsi="Arial"/>
            <w:sz w:val="16"/>
            <w:szCs w:val="16"/>
            <w:u w:val="single" w:color="auto"/>
            <w:color w:val="0000EE"/>
          </w:rPr>
          <w:t>January</w:t>
        </w:r>
      </w:hyperlink>
      <w:r>
        <w:rPr>
          <w:rFonts w:ascii="Arial" w:cs="Arial" w:eastAsia="Arial" w:hAnsi="Arial"/>
          <w:sz w:val="16"/>
          <w:szCs w:val="16"/>
          <w:color w:val="auto"/>
        </w:rPr>
        <w:t xml:space="preserve"> </w:t>
      </w:r>
      <w:hyperlink r:id="rId27">
        <w:r>
          <w:rPr>
            <w:rFonts w:ascii="Arial" w:cs="Arial" w:eastAsia="Arial" w:hAnsi="Arial"/>
            <w:sz w:val="16"/>
            <w:szCs w:val="16"/>
            <w:u w:val="single" w:color="auto"/>
            <w:color w:val="0000EE"/>
          </w:rPr>
          <w:t>14, 2022</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8">
        <w:r>
          <w:rPr>
            <w:rFonts w:ascii="Arial" w:cs="Arial" w:eastAsia="Arial" w:hAnsi="Arial"/>
            <w:sz w:val="16"/>
            <w:szCs w:val="16"/>
            <w:u w:val="single" w:color="auto"/>
            <w:color w:val="0000EE"/>
          </w:rPr>
          <w:t xml:space="preserve">February 28, 2022 </w:t>
        </w:r>
      </w:hyperlink>
      <w:hyperlink r:id="rId27">
        <w:r>
          <w:rPr>
            <w:rFonts w:ascii="Arial" w:cs="Arial" w:eastAsia="Arial" w:hAnsi="Arial"/>
            <w:sz w:val="16"/>
            <w:szCs w:val="16"/>
            <w:color w:val="000000"/>
          </w:rPr>
          <w:t>(excluding information furnished pursuant to Item 7.01),</w:t>
        </w:r>
        <w:r>
          <w:rPr>
            <w:rFonts w:ascii="Arial" w:cs="Arial" w:eastAsia="Arial" w:hAnsi="Arial"/>
            <w:sz w:val="16"/>
            <w:szCs w:val="16"/>
            <w:color w:val="0000EE"/>
          </w:rPr>
          <w:t xml:space="preserve"> </w:t>
        </w:r>
      </w:hyperlink>
      <w:hyperlink r:id="rId29">
        <w:r>
          <w:rPr>
            <w:rFonts w:ascii="Arial" w:cs="Arial" w:eastAsia="Arial" w:hAnsi="Arial"/>
            <w:sz w:val="16"/>
            <w:szCs w:val="16"/>
            <w:u w:val="single" w:color="auto"/>
            <w:color w:val="0000EE"/>
          </w:rPr>
          <w:t>April 5, 2022</w:t>
        </w:r>
      </w:hyperlink>
      <w:hyperlink r:id="rId27">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30">
        <w:r>
          <w:rPr>
            <w:rFonts w:ascii="Arial" w:cs="Arial" w:eastAsia="Arial" w:hAnsi="Arial"/>
            <w:sz w:val="16"/>
            <w:szCs w:val="16"/>
            <w:u w:val="single" w:color="auto"/>
            <w:color w:val="0000EE"/>
          </w:rPr>
          <w:t xml:space="preserve">August 10, 2022 </w:t>
        </w:r>
      </w:hyperlink>
      <w:hyperlink r:id="rId27">
        <w:r>
          <w:rPr>
            <w:rFonts w:ascii="Arial" w:cs="Arial" w:eastAsia="Arial" w:hAnsi="Arial"/>
            <w:sz w:val="16"/>
            <w:szCs w:val="16"/>
            <w:color w:val="000000"/>
          </w:rPr>
          <w:t>(excluding</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information furnished pursuant to Item 7.01), </w:t>
      </w:r>
      <w:hyperlink r:id="rId31">
        <w:r>
          <w:rPr>
            <w:rFonts w:ascii="Arial" w:cs="Arial" w:eastAsia="Arial" w:hAnsi="Arial"/>
            <w:sz w:val="16"/>
            <w:szCs w:val="16"/>
            <w:u w:val="single" w:color="auto"/>
            <w:color w:val="0000EE"/>
          </w:rPr>
          <w:t>December 8, 2022</w:t>
        </w:r>
      </w:hyperlink>
      <w:r>
        <w:rPr>
          <w:rFonts w:ascii="Arial" w:cs="Arial" w:eastAsia="Arial" w:hAnsi="Arial"/>
          <w:sz w:val="16"/>
          <w:szCs w:val="16"/>
          <w:color w:val="000000"/>
        </w:rPr>
        <w:t xml:space="preserve">, </w:t>
      </w:r>
      <w:hyperlink r:id="rId32">
        <w:r>
          <w:rPr>
            <w:rFonts w:ascii="Arial" w:cs="Arial" w:eastAsia="Arial" w:hAnsi="Arial"/>
            <w:sz w:val="16"/>
            <w:szCs w:val="16"/>
            <w:u w:val="single" w:color="auto"/>
            <w:color w:val="0000EE"/>
          </w:rPr>
          <w:t>December 28, 2022</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and </w:t>
      </w:r>
      <w:hyperlink r:id="rId33">
        <w:r>
          <w:rPr>
            <w:rFonts w:ascii="Arial" w:cs="Arial" w:eastAsia="Arial" w:hAnsi="Arial"/>
            <w:sz w:val="16"/>
            <w:szCs w:val="16"/>
            <w:u w:val="single" w:color="auto"/>
            <w:color w:val="0000EE"/>
          </w:rPr>
          <w:t>December 29, 2022</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(excluding information furnished pursuant to Items 2.02 or 7.01, or corresponding information furnished under Item 9.01 or included as an exhibit); and</w:t>
      </w:r>
    </w:p>
    <w:p>
      <w:pPr>
        <w:spacing w:after="0" w:line="62" w:lineRule="exact"/>
        <w:rPr>
          <w:rFonts w:ascii="Arial" w:cs="Arial" w:eastAsia="Arial" w:hAnsi="Arial"/>
          <w:sz w:val="16"/>
          <w:szCs w:val="16"/>
          <w:color w:val="000000"/>
        </w:rPr>
      </w:pPr>
    </w:p>
    <w:p>
      <w:pPr>
        <w:ind w:left="1080" w:right="40" w:hanging="424"/>
        <w:spacing w:after="0" w:line="275"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Form 8-A filed with the SEC on </w:t>
      </w:r>
      <w:hyperlink r:id="rId34">
        <w:r>
          <w:rPr>
            <w:rFonts w:ascii="Arial" w:cs="Arial" w:eastAsia="Arial" w:hAnsi="Arial"/>
            <w:sz w:val="17"/>
            <w:szCs w:val="17"/>
            <w:u w:val="single" w:color="auto"/>
            <w:color w:val="0000EE"/>
          </w:rPr>
          <w:t>August 10, 2020</w:t>
        </w:r>
      </w:hyperlink>
      <w:r>
        <w:rPr>
          <w:rFonts w:ascii="Arial" w:cs="Arial" w:eastAsia="Arial" w:hAnsi="Arial"/>
          <w:sz w:val="17"/>
          <w:szCs w:val="17"/>
          <w:color w:val="auto"/>
        </w:rPr>
        <w:t xml:space="preserve">, and as set forth by the description of the Registrant’s common stock set forth in </w:t>
      </w:r>
      <w:hyperlink r:id="rId35">
        <w:r>
          <w:rPr>
            <w:rFonts w:ascii="Arial" w:cs="Arial" w:eastAsia="Arial" w:hAnsi="Arial"/>
            <w:sz w:val="17"/>
            <w:szCs w:val="17"/>
            <w:u w:val="single" w:color="auto"/>
            <w:color w:val="0000EE"/>
          </w:rPr>
          <w:t>Exhibit 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Annual Report on Form 10-K for the year ended December 31, 2021, filed with the SEC on </w:t>
      </w:r>
      <w:hyperlink r:id="rId34">
        <w:r>
          <w:rPr>
            <w:rFonts w:ascii="Arial" w:cs="Arial" w:eastAsia="Arial" w:hAnsi="Arial"/>
            <w:sz w:val="17"/>
            <w:szCs w:val="17"/>
            <w:u w:val="single" w:color="auto"/>
            <w:color w:val="0000EE"/>
          </w:rPr>
          <w:t>March 10, 2022</w:t>
        </w:r>
      </w:hyperlink>
      <w:r>
        <w:rPr>
          <w:rFonts w:ascii="Arial" w:cs="Arial" w:eastAsia="Arial" w:hAnsi="Arial"/>
          <w:sz w:val="17"/>
          <w:szCs w:val="17"/>
          <w:color w:val="auto"/>
        </w:rPr>
        <w:t xml:space="preserve">, and as further supplemented by the description of the Registrant’s common stock set forth in the Registrant’s Registration Statement on Form S-4/A, filed with the SEC on </w:t>
      </w:r>
      <w:hyperlink r:id="rId36">
        <w:r>
          <w:rPr>
            <w:rFonts w:ascii="Arial" w:cs="Arial" w:eastAsia="Arial" w:hAnsi="Arial"/>
            <w:sz w:val="17"/>
            <w:szCs w:val="17"/>
            <w:u w:val="single" w:color="auto"/>
            <w:color w:val="0000EE"/>
          </w:rPr>
          <w:t>December 1, 2022</w:t>
        </w:r>
      </w:hyperlink>
      <w:r>
        <w:rPr>
          <w:rFonts w:ascii="Arial" w:cs="Arial" w:eastAsia="Arial" w:hAnsi="Arial"/>
          <w:sz w:val="17"/>
          <w:szCs w:val="17"/>
          <w:color w:val="auto"/>
        </w:rPr>
        <w:t>, including any amendments or reports filed for the purpose of updating such description.</w:t>
      </w:r>
    </w:p>
    <w:p>
      <w:pPr>
        <w:spacing w:after="0" w:line="176" w:lineRule="exact"/>
        <w:rPr>
          <w:rFonts w:ascii="Arial" w:cs="Arial" w:eastAsia="Arial" w:hAnsi="Arial"/>
          <w:sz w:val="17"/>
          <w:szCs w:val="17"/>
          <w:color w:val="auto"/>
        </w:rPr>
      </w:pPr>
    </w:p>
    <w:p>
      <w:pPr>
        <w:ind w:left="120" w:right="40"/>
        <w:spacing w:after="0" w:line="254"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95" w:lineRule="exact"/>
        <w:rPr>
          <w:rFonts w:ascii="Arial" w:cs="Arial" w:eastAsia="Arial" w:hAnsi="Arial"/>
          <w:sz w:val="17"/>
          <w:szCs w:val="17"/>
          <w:color w:val="auto"/>
        </w:rPr>
      </w:pPr>
    </w:p>
    <w:p>
      <w:pPr>
        <w:ind w:left="120"/>
        <w:spacing w:after="0" w:line="255"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92" w:lineRule="exact"/>
        <w:rPr>
          <w:rFonts w:ascii="Arial" w:cs="Arial" w:eastAsia="Arial" w:hAnsi="Arial"/>
          <w:sz w:val="17"/>
          <w:szCs w:val="17"/>
          <w:color w:val="auto"/>
        </w:rPr>
      </w:pPr>
    </w:p>
    <w:p>
      <w:pPr>
        <w:ind w:left="120" w:right="28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10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674-9274</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520"/>
          </w:cols>
          <w:pgMar w:left="320" w:top="459" w:right="10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and include, among other things:</w:t>
      </w:r>
    </w:p>
    <w:p>
      <w:pPr>
        <w:spacing w:after="0" w:line="87" w:lineRule="exact"/>
        <w:rPr>
          <w:sz w:val="20"/>
          <w:szCs w:val="20"/>
          <w:color w:val="auto"/>
        </w:rPr>
      </w:pPr>
    </w:p>
    <w:p>
      <w:pPr>
        <w:ind w:left="1080" w:right="10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recognize the benefits of the previously announced merger pursuant to the terms of the Agreement and Plan of Merger (the “Merger Agreement”), dated August 9, 2022, by and among Gemini Therapeutics, Inc. (“Gemini”), Gemstone Merger Sub, Inc. and Disc;</w:t>
      </w:r>
    </w:p>
    <w:p>
      <w:pPr>
        <w:spacing w:after="0" w:line="29" w:lineRule="exact"/>
        <w:rPr>
          <w:rFonts w:ascii="Arial" w:cs="Arial" w:eastAsia="Arial" w:hAnsi="Arial"/>
          <w:sz w:val="16"/>
          <w:szCs w:val="16"/>
          <w:color w:val="auto"/>
        </w:rPr>
      </w:pPr>
    </w:p>
    <w:p>
      <w:pPr>
        <w:ind w:left="1080" w:right="140" w:hanging="424"/>
        <w:spacing w:after="0" w:line="31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efficiently discover and develop product candidates;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jc w:val="both"/>
        <w:ind w:left="1080" w:right="28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54" w:lineRule="exact"/>
        <w:rPr>
          <w:rFonts w:ascii="Arial" w:cs="Arial" w:eastAsia="Arial" w:hAnsi="Arial"/>
          <w:sz w:val="16"/>
          <w:szCs w:val="16"/>
          <w:color w:val="auto"/>
        </w:rPr>
      </w:pPr>
    </w:p>
    <w:p>
      <w:pPr>
        <w:ind w:left="1080" w:right="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contained in this prospectus and any related prospectus supplement or free writing prospectus, and in any other documents incorporated herein or therein (including in our current report on Form 8-K filed on December 29, 2022,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 and Estimates</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 xml:space="preserve">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6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Lastly, we are developing a Matriptase-2 inhibitor as part of our iron homeostasis portfolio, which is designed to induce hepcidin production and reduce serum iron levels. Preclinical data has demonstrated positive results,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in the process of identifying and optimizing a development candidate in our Matriptase-2 inhibitor program. If successful, we expect to designate a lead candidate and commence IND-enabling studies.</w:t>
      </w:r>
      <w:r>
        <w:rPr>
          <w:rFonts w:ascii="Arial" w:cs="Arial" w:eastAsia="Arial" w:hAnsi="Arial"/>
          <w:sz w:val="17"/>
          <w:szCs w:val="17"/>
          <w:b w:val="1"/>
          <w:bCs w:val="1"/>
          <w:color w:val="auto"/>
        </w:rPr>
        <w:t>Corporate Information</w:t>
      </w:r>
      <w:r>
        <w:rPr>
          <w:rFonts w:ascii="Arial" w:cs="Arial" w:eastAsia="Arial" w:hAnsi="Arial"/>
          <w:sz w:val="17"/>
          <w:szCs w:val="17"/>
          <w:color w:val="auto"/>
        </w:rPr>
        <w:t xml:space="preserve"> Disc Medicine, Inc. was originally incorporated under the laws of the state of Delaware in October 2017, and changed its name to Disc Medicine Opco, Inc. (“Disc Opco”), in December 2022. On December 29, 2022, we completed our business combination with Gemini Therapeutics, Inc.(“Gemini”)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7"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additional information about our Company, please refer to other documents we have filed with the SEC and that are incorporated by reference into this prospectus, as listed under the heading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9" w:lineRule="exact"/>
        <w:rPr>
          <w:sz w:val="20"/>
          <w:szCs w:val="20"/>
          <w:color w:val="auto"/>
        </w:rPr>
      </w:pPr>
    </w:p>
    <w:p>
      <w:pPr>
        <w:ind w:left="1080" w:right="4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right="380"/>
        <w:spacing w:after="0" w:line="287" w:lineRule="auto"/>
        <w:rPr>
          <w:sz w:val="20"/>
          <w:szCs w:val="20"/>
          <w:color w:val="auto"/>
        </w:rPr>
      </w:pPr>
      <w:r>
        <w:rPr>
          <w:rFonts w:ascii="Arial" w:cs="Arial" w:eastAsia="Arial" w:hAnsi="Arial"/>
          <w:sz w:val="16"/>
          <w:szCs w:val="16"/>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w:t>
      </w:r>
    </w:p>
    <w:p>
      <w:pPr>
        <w:spacing w:after="0" w:line="16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Current Report on Form 8-K filed with the SEC on December 29, 2022, which is incorporated into this prospectus by reference, as updated by our annual or quarterly reports for subsequent fiscal years or fiscal quarters that we file with the SEC and that are so incorporated. See “</w:t>
      </w:r>
      <w:r>
        <w:rPr>
          <w:rFonts w:ascii="Arial" w:cs="Arial" w:eastAsia="Arial" w:hAnsi="Arial"/>
          <w:sz w:val="16"/>
          <w:szCs w:val="16"/>
          <w:i w:val="1"/>
          <w:iCs w:val="1"/>
          <w:color w:val="auto"/>
        </w:rPr>
        <w:t>Where You Can Find</w:t>
      </w:r>
      <w:r>
        <w:rPr>
          <w:rFonts w:ascii="Arial" w:cs="Arial" w:eastAsia="Arial" w:hAnsi="Arial"/>
          <w:sz w:val="16"/>
          <w:szCs w:val="16"/>
          <w:color w:val="auto"/>
        </w:rPr>
        <w:t xml:space="preserve"> </w:t>
      </w:r>
      <w:r>
        <w:rPr>
          <w:rFonts w:ascii="Arial" w:cs="Arial" w:eastAsia="Arial" w:hAnsi="Arial"/>
          <w:sz w:val="16"/>
          <w:szCs w:val="16"/>
          <w:i w:val="1"/>
          <w:iCs w:val="1"/>
          <w:color w:val="auto"/>
        </w:rPr>
        <w:t>More Information</w:t>
      </w:r>
      <w:r>
        <w:rPr>
          <w:rFonts w:ascii="Arial" w:cs="Arial" w:eastAsia="Arial" w:hAnsi="Arial"/>
          <w:sz w:val="16"/>
          <w:szCs w:val="16"/>
          <w:color w:val="auto"/>
        </w:rPr>
        <w:t>” for information about how to obtain a copy of these documents. You should also carefully consider the risks and other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be contained in, or incorporated by reference into, any prospectus supplement relating to specific offerings of securities.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REPORTED (in thousands, except per share amounts):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(1.78)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15,115,129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15,565,380</w:t>
            </w:r>
          </w:p>
        </w:tc>
        <w:tc>
          <w:tcPr>
            <w:tcW w:w="0" w:type="dxa"/>
            <w:vAlign w:val="bottom"/>
          </w:tcPr>
          <w:p>
            <w:pPr>
              <w:spacing w:after="0"/>
              <w:rPr>
                <w:sz w:val="1"/>
                <w:szCs w:val="1"/>
                <w:color w:val="auto"/>
              </w:rPr>
            </w:pPr>
          </w:p>
        </w:tc>
      </w:tr>
      <w:tr>
        <w:trPr>
          <w:trHeight w:val="327"/>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(15,231)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32,027,161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43,002,144</w:t>
            </w:r>
          </w:p>
        </w:tc>
        <w:tc>
          <w:tcPr>
            <w:tcW w:w="0" w:type="dxa"/>
            <w:vAlign w:val="bottom"/>
          </w:tcPr>
          <w:p>
            <w:pPr>
              <w:spacing w:after="0"/>
              <w:rPr>
                <w:sz w:val="1"/>
                <w:szCs w:val="1"/>
                <w:color w:val="auto"/>
              </w:rPr>
            </w:pPr>
          </w:p>
        </w:tc>
      </w:tr>
      <w:tr>
        <w:trPr>
          <w:trHeight w:val="327"/>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43,041,856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43,055,112</w:t>
            </w:r>
          </w:p>
        </w:tc>
        <w:tc>
          <w:tcPr>
            <w:tcW w:w="0" w:type="dxa"/>
            <w:vAlign w:val="bottom"/>
          </w:tcPr>
          <w:p>
            <w:pPr>
              <w:spacing w:after="0"/>
              <w:rPr>
                <w:sz w:val="1"/>
                <w:szCs w:val="1"/>
                <w:color w:val="auto"/>
              </w:rPr>
            </w:pPr>
          </w:p>
        </w:tc>
      </w:tr>
      <w:tr>
        <w:trPr>
          <w:trHeight w:val="350"/>
        </w:trPr>
        <w:tc>
          <w:tcPr>
            <w:tcW w:w="5160" w:type="dxa"/>
            <w:vAlign w:val="bottom"/>
          </w:tcPr>
          <w:p>
            <w:pPr>
              <w:ind w:left="41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(22,321)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37,564,936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43,055,112</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(3,277)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43,091,822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43,112,742</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(25,598)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39,427,476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9" w:right="1440" w:bottom="1440" w:gutter="0" w:footer="0" w:header="0"/>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AS ADJUSTED FOR 1-FOR-10 REVERSE STOCK SPLIT (unaudited, in thousands, except per share amounts):</w:t>
      </w:r>
    </w:p>
    <w:p>
      <w:pPr>
        <w:spacing w:after="0" w:line="12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1"/>
              </w:rPr>
              <w:t>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(71,869)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(17.81)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4,036,230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1,511,512</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4,320,815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1,556,538</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(15,231)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4,321,280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3,202,716</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4,322,715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4,300,214</w:t>
            </w:r>
          </w:p>
        </w:tc>
        <w:tc>
          <w:tcPr>
            <w:tcW w:w="0" w:type="dxa"/>
            <w:vAlign w:val="bottom"/>
          </w:tcPr>
          <w:p>
            <w:pPr>
              <w:spacing w:after="0"/>
              <w:rPr>
                <w:sz w:val="1"/>
                <w:szCs w:val="1"/>
                <w:color w:val="auto"/>
              </w:rPr>
            </w:pPr>
          </w:p>
        </w:tc>
      </w:tr>
      <w:tr>
        <w:trPr>
          <w:trHeight w:val="350"/>
        </w:trPr>
        <w:tc>
          <w:tcPr>
            <w:tcW w:w="4560" w:type="dxa"/>
            <w:vAlign w:val="bottom"/>
          </w:tcPr>
          <w:p>
            <w:pPr>
              <w:ind w:left="36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4,323,052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4,304,185</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4,305,511</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(22,321)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(5.16)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4,322,171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3,756,493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4,305,511</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4,326,461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4,309,182</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4,311,274</w:t>
            </w:r>
          </w:p>
        </w:tc>
        <w:tc>
          <w:tcPr>
            <w:tcW w:w="0" w:type="dxa"/>
            <w:vAlign w:val="bottom"/>
          </w:tcPr>
          <w:p>
            <w:pPr>
              <w:spacing w:after="0"/>
              <w:rPr>
                <w:sz w:val="1"/>
                <w:szCs w:val="1"/>
                <w:color w:val="auto"/>
              </w:rPr>
            </w:pPr>
          </w:p>
        </w:tc>
      </w:tr>
      <w:tr>
        <w:trPr>
          <w:trHeight w:val="327"/>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(25,598)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(54,046)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9"/>
              <w:spacing w:after="0"/>
              <w:rPr>
                <w:sz w:val="20"/>
                <w:szCs w:val="20"/>
                <w:color w:val="auto"/>
              </w:rPr>
            </w:pPr>
            <w:r>
              <w:rPr>
                <w:rFonts w:ascii="Arial" w:cs="Arial" w:eastAsia="Arial" w:hAnsi="Arial"/>
                <w:sz w:val="18"/>
                <w:szCs w:val="18"/>
                <w:color w:val="auto"/>
              </w:rPr>
              <w:t>(5.92)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87"/>
              </w:rPr>
              <w:t>4,323,617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3,942,747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8"/>
                <w:szCs w:val="18"/>
                <w:color w:val="auto"/>
                <w:w w:val="8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4,311,274</w:t>
            </w:r>
          </w:p>
        </w:tc>
        <w:tc>
          <w:tcPr>
            <w:tcW w:w="0" w:type="dxa"/>
            <w:vAlign w:val="bottom"/>
          </w:tcPr>
          <w:p>
            <w:pPr>
              <w:spacing w:after="0"/>
              <w:rPr>
                <w:sz w:val="1"/>
                <w:szCs w:val="1"/>
                <w:color w:val="auto"/>
              </w:rPr>
            </w:pPr>
          </w:p>
        </w:tc>
      </w:tr>
      <w:tr>
        <w:trPr>
          <w:trHeight w:val="350"/>
        </w:trPr>
        <w:tc>
          <w:tcPr>
            <w:tcW w:w="4560" w:type="dxa"/>
            <w:vAlign w:val="bottom"/>
          </w:tcPr>
          <w:p>
            <w:pPr>
              <w:ind w:left="366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320" w:top="459" w:right="8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DESCRIPTION OF SECURITIES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or other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rates and times of payment of interest, dividends or other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30" w:lineRule="exact"/>
        <w:rPr>
          <w:rFonts w:ascii="Arial" w:cs="Arial" w:eastAsia="Arial" w:hAnsi="Arial"/>
          <w:sz w:val="18"/>
          <w:szCs w:val="18"/>
          <w:color w:val="auto"/>
        </w:rPr>
      </w:pPr>
    </w:p>
    <w:p>
      <w:pPr>
        <w:jc w:val="both"/>
        <w:ind w:left="1080" w:right="12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securities exchange or market listing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25" w:lineRule="exact"/>
        <w:rPr>
          <w:sz w:val="20"/>
          <w:szCs w:val="20"/>
          <w:color w:val="auto"/>
        </w:rPr>
      </w:pPr>
    </w:p>
    <w:p>
      <w:pPr>
        <w:jc w:val="both"/>
        <w:ind w:left="120" w:right="460"/>
        <w:spacing w:after="0" w:line="286" w:lineRule="auto"/>
        <w:rPr>
          <w:sz w:val="20"/>
          <w:szCs w:val="20"/>
          <w:color w:val="auto"/>
        </w:rPr>
      </w:pPr>
      <w:r>
        <w:rPr>
          <w:rFonts w:ascii="Arial" w:cs="Arial" w:eastAsia="Arial" w:hAnsi="Arial"/>
          <w:sz w:val="17"/>
          <w:szCs w:val="17"/>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6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under “</w:t>
      </w:r>
      <w:r>
        <w:rPr>
          <w:rFonts w:ascii="Arial" w:cs="Arial" w:eastAsia="Arial" w:hAnsi="Arial"/>
          <w:sz w:val="18"/>
          <w:szCs w:val="18"/>
          <w:i w:val="1"/>
          <w:iCs w:val="1"/>
          <w:color w:val="auto"/>
        </w:rPr>
        <w:t>Plan of Distribution</w:t>
      </w:r>
      <w:r>
        <w:rPr>
          <w:rFonts w:ascii="Arial" w:cs="Arial" w:eastAsia="Arial" w:hAnsi="Arial"/>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authorized capital stock consists of 100,000,000 shares of common stock, par value $0.0001 per share, and 10,000,000 shares of preferred stock, par value $0.0001 per share, all of which preferred stock is undesignated. Based on our unaudited pro forma condensed combined financial information as of September 30, 2022, we had estimated 17,394,684 shares of our common stock outstanding and no shares of preferred stock outstanding. Unless our board of directors determines otherwise, we will issue all shares of our capital stock in uncertificated form.</w:t>
      </w:r>
    </w:p>
    <w:p>
      <w:pPr>
        <w:spacing w:after="0" w:line="171"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unaudited pro forma condensed combined financial statements as of September 30, 2022, were based on Disc Medicine, Inc.’s historical consolidated financial statements and Gemini Therapeutics, Inc.’s (“Gemini”) historical consolidated financial statements as adjusted to give effect to</w:t>
      </w:r>
    </w:p>
    <w:p>
      <w:pPr>
        <w:ind w:left="120" w:hanging="4"/>
        <w:spacing w:after="0" w:line="252"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7"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common stock is listed on The Nasdaq Global Market under the symbol “IRON.” On January 13, 2023, the closing price for our common stock, as reported on The Nasdaq Global Market, was $19.25 per share. Based on our unaudited pro forma condensed combined financial information as of September 30, 2022, we had estimated approximately 77 stockholders of record.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8"/>
          <w:szCs w:val="18"/>
          <w:color w:val="auto"/>
        </w:rPr>
        <w:t>The transfer agent and registrar for our common stock is Continental Stock Transfer &amp; Trust Company. The transfer agent and registrar’s address is One State Street –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10004.</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6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8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Series of Preferred Stock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be subject to any preemptive or similar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The holders of approximately 15.9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Registration Rights Agreement</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party to a registration rights agreement (the “2022 Registration Rights Agreement”) with certain holders of our capital stock (the “2022 Investors”), pursuant to which we have (i) agreed to register for resale shares of our common stock issued to the 2022 Investors pursuant to the Merger Agreement (the “Registrable Securities”) and (ii) granted certain other registration rights to the 2022 Investors.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2022 Registration Rights Agreement provides for the following registration rights:</w:t>
      </w:r>
    </w:p>
    <w:p>
      <w:pPr>
        <w:spacing w:after="0" w:line="252" w:lineRule="exact"/>
        <w:rPr>
          <w:sz w:val="20"/>
          <w:szCs w:val="20"/>
          <w:color w:val="auto"/>
        </w:rPr>
      </w:pPr>
    </w:p>
    <w:p>
      <w:pPr>
        <w:ind w:left="1080" w:right="2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Shelf registration rights</w:t>
      </w:r>
      <w:r>
        <w:rPr>
          <w:rFonts w:ascii="Arial" w:cs="Arial" w:eastAsia="Arial" w:hAnsi="Arial"/>
          <w:sz w:val="16"/>
          <w:szCs w:val="16"/>
          <w:color w:val="auto"/>
        </w:rPr>
        <w:t>. No later than 45 calendar days following the completion of the merger as contemplated by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we are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54" w:lineRule="exact"/>
        <w:rPr>
          <w:rFonts w:ascii="Arial" w:cs="Arial" w:eastAsia="Arial" w:hAnsi="Arial"/>
          <w:sz w:val="16"/>
          <w:szCs w:val="16"/>
          <w:color w:val="auto"/>
        </w:rPr>
      </w:pPr>
    </w:p>
    <w:p>
      <w:pPr>
        <w:ind w:left="1080" w:right="40" w:hanging="424"/>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2022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Registration Rights Agreement</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a party to a registration tights agreement (the “2021 Registration Rights Agreement”) pursuant to which, among other things, certain holders of capital stock, including certain investors of FS Development Corporation, a Delaware corporation (the “FSDC Investors”), certain entities affiliated with Atlas Ventures, entities affiliated with Lightstone Ventures, OrbiMed Private Investments VI, LP, and Wu Capital Investment LLC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2021 Registration Rights Agreement provides for the following registration rights:</w:t>
      </w:r>
    </w:p>
    <w:p>
      <w:pPr>
        <w:spacing w:after="0" w:line="131" w:lineRule="exact"/>
        <w:rPr>
          <w:sz w:val="20"/>
          <w:szCs w:val="20"/>
          <w:color w:val="auto"/>
        </w:rPr>
      </w:pPr>
    </w:p>
    <w:p>
      <w:pPr>
        <w:ind w:left="1080" w:hanging="424"/>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At any time after February 5, 2021, and following the expiration of any lock-up to which an Investor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subject,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97"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Shelf registration rights</w:t>
      </w:r>
      <w:r>
        <w:rPr>
          <w:rFonts w:ascii="Arial" w:cs="Arial" w:eastAsia="Arial" w:hAnsi="Arial"/>
          <w:sz w:val="17"/>
          <w:szCs w:val="17"/>
          <w:color w:val="auto"/>
        </w:rPr>
        <w:t>. A shelf registration statement pursuant to Rule 415 of Securities Act, was filed on February 17, 2021 and became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76" w:lineRule="exact"/>
        <w:rPr>
          <w:rFonts w:ascii="Arial" w:cs="Arial" w:eastAsia="Arial" w:hAnsi="Arial"/>
          <w:sz w:val="17"/>
          <w:szCs w:val="17"/>
          <w:color w:val="auto"/>
        </w:rPr>
      </w:pPr>
    </w:p>
    <w:p>
      <w:pPr>
        <w:ind w:left="1080" w:right="260" w:hanging="424"/>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We shall not be obligated to effect: (a) more than one (1)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97"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we propose to file a registration statement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92"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All fees, costs and expenses of underwritten registrations will be borne by us and underwriting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commissions will be borne by the holders of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92" w:lineRule="exact"/>
        <w:rPr>
          <w:sz w:val="20"/>
          <w:szCs w:val="20"/>
          <w:color w:val="auto"/>
        </w:rPr>
      </w:pPr>
    </w:p>
    <w:p>
      <w:pPr>
        <w:ind w:left="1080" w:right="20" w:hanging="424"/>
        <w:spacing w:after="0" w:line="290"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ours shall cease to be registrable securities upon the earlier of (i) tenth anniversary of February 5,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70"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Lockup</w:t>
      </w:r>
      <w:r>
        <w:rPr>
          <w:rFonts w:ascii="Arial" w:cs="Arial" w:eastAsia="Arial" w:hAnsi="Arial"/>
          <w:sz w:val="17"/>
          <w:szCs w:val="17"/>
          <w:color w:val="auto"/>
        </w:rPr>
        <w:t>. Under the 2021 Registration Rights Agreement, each Investor was required to enter into a customary lockup agreement restricting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5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Delaware Law</w:t>
      </w:r>
    </w:p>
    <w:p>
      <w:pPr>
        <w:spacing w:after="0" w:line="13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governed by Section 203 of the Delaware General Corporation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does not allow stockholders to act by written consent without a meeting.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66"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82"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2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 or bylaws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amended and restated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7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9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will describe in the applicable prospectus supplement or free writing prospectus the terms of the series of debt securities being offered, including:</w:t>
      </w:r>
    </w:p>
    <w:p>
      <w:pPr>
        <w:spacing w:after="0" w:line="154"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depository will be;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51"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or sell stock of our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discussion of certain material or special United States federal income tax considerations applicable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75"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will describe in each applicable prospectus supplement or free writing prospectus any additional events of default relating to the relevant series of debt securities.</w:t>
      </w:r>
    </w:p>
    <w:p>
      <w:pPr>
        <w:spacing w:after="0" w:line="170"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8"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if:</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9"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w:t>
      </w:r>
      <w:r>
        <w:rPr>
          <w:rFonts w:ascii="Arial" w:cs="Arial" w:eastAsia="Arial" w:hAnsi="Arial"/>
          <w:sz w:val="18"/>
          <w:szCs w:val="18"/>
          <w:i w:val="1"/>
          <w:iCs w:val="1"/>
          <w:color w:val="auto"/>
        </w:rPr>
        <w:t>Description of Debt Securities-Consolidation, Merger or Sale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under</w:t>
      </w:r>
    </w:p>
    <w:p>
      <w:pPr>
        <w:spacing w:after="0" w:line="34" w:lineRule="exact"/>
        <w:rPr>
          <w:rFonts w:ascii="Arial" w:cs="Arial" w:eastAsia="Arial" w:hAnsi="Arial"/>
          <w:sz w:val="17"/>
          <w:szCs w:val="17"/>
          <w:color w:val="auto"/>
        </w:rPr>
      </w:pPr>
    </w:p>
    <w:p>
      <w:pPr>
        <w:ind w:left="1080" w:right="20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Debt Securities-General</w:t>
      </w:r>
      <w:r>
        <w:rPr>
          <w:rFonts w:ascii="Arial" w:cs="Arial" w:eastAsia="Arial" w:hAnsi="Arial"/>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such purpose;</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93"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stated maturity of the series of debt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or repurchase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7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6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63" w:lineRule="exact"/>
        <w:rPr>
          <w:sz w:val="20"/>
          <w:szCs w:val="20"/>
          <w:color w:val="auto"/>
        </w:rPr>
      </w:pPr>
    </w:p>
    <w:p>
      <w:pPr>
        <w:jc w:val="both"/>
        <w:ind w:left="1080" w:right="2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Debt Securities</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provisions described in this section, as well as those described under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w:t>
      </w:r>
      <w:r>
        <w:rPr>
          <w:rFonts w:ascii="Arial" w:cs="Arial" w:eastAsia="Arial" w:hAnsi="Arial"/>
          <w:sz w:val="17"/>
          <w:szCs w:val="17"/>
          <w:i w:val="1"/>
          <w:iCs w:val="1"/>
          <w:color w:val="auto"/>
        </w:rPr>
        <w:t>Description of Debt Securities”</w:t>
      </w:r>
      <w:r>
        <w:rPr>
          <w:rFonts w:ascii="Arial" w:cs="Arial" w:eastAsia="Arial" w:hAnsi="Arial"/>
          <w:sz w:val="17"/>
          <w:szCs w:val="17"/>
          <w:color w:val="auto"/>
        </w:rPr>
        <w:t xml:space="preserve">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Warrants</w:t>
      </w:r>
      <w:r>
        <w:rPr>
          <w:rFonts w:ascii="Arial" w:cs="Arial" w:eastAsia="Arial" w:hAnsi="Arial"/>
          <w:sz w:val="16"/>
          <w:szCs w:val="16"/>
          <w:color w:val="auto"/>
        </w:rPr>
        <w:t>” will apply to the securities included in each unit, to the extent relevant and as may be updated in any prospectus supplements.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080" w:right="1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080" w:right="12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1080" w:right="26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080" w:right="20" w:hanging="424"/>
        <w:spacing w:after="0" w:line="273"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making payments and giving notices with respect to our units, we will follow the procedures as described in the applicable prospectus supplement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one or more transactions at a fixed price or prices, which may be changed from time to time;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 market maker or into an existing trading market on an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prices related to those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9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648970</wp:posOffset>
            </wp:positionV>
            <wp:extent cx="3745865" cy="600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3745865" cy="60007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40"/>
        <w:spacing w:after="0"/>
        <w:rPr>
          <w:sz w:val="20"/>
          <w:szCs w:val="20"/>
          <w:color w:val="auto"/>
        </w:rPr>
      </w:pPr>
      <w:r>
        <w:rPr>
          <w:rFonts w:ascii="Arial" w:cs="Arial" w:eastAsia="Arial" w:hAnsi="Arial"/>
          <w:sz w:val="26"/>
          <w:szCs w:val="26"/>
          <w:b w:val="1"/>
          <w:bCs w:val="1"/>
          <w:color w:val="auto"/>
        </w:rPr>
        <w:t>$300,000,000</w:t>
      </w:r>
    </w:p>
    <w:p>
      <w:pPr>
        <w:spacing w:after="0" w:line="200" w:lineRule="exact"/>
        <w:rPr>
          <w:sz w:val="20"/>
          <w:szCs w:val="20"/>
          <w:color w:val="auto"/>
        </w:rPr>
      </w:pPr>
    </w:p>
    <w:p>
      <w:pPr>
        <w:spacing w:after="0" w:line="388"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Common Stock</w:t>
      </w:r>
    </w:p>
    <w:p>
      <w:pPr>
        <w:spacing w:after="0" w:line="6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Preferred Stock</w:t>
      </w:r>
    </w:p>
    <w:p>
      <w:pPr>
        <w:spacing w:after="0" w:line="44"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Debt Securities</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1983105</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$33,060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FINRA filing fee</w:t>
            </w:r>
          </w:p>
        </w:tc>
        <w:tc>
          <w:tcPr>
            <w:tcW w:w="2780" w:type="dxa"/>
            <w:vAlign w:val="bottom"/>
          </w:tcPr>
          <w:p>
            <w:pPr>
              <w:jc w:val="right"/>
              <w:ind w:right="50"/>
              <w:spacing w:after="0"/>
              <w:rPr>
                <w:sz w:val="20"/>
                <w:szCs w:val="20"/>
                <w:color w:val="auto"/>
              </w:rPr>
            </w:pPr>
            <w:r>
              <w:rPr>
                <w:rFonts w:ascii="Arial" w:cs="Arial" w:eastAsia="Arial" w:hAnsi="Arial"/>
                <w:sz w:val="18"/>
                <w:szCs w:val="18"/>
                <w:color w:val="auto"/>
              </w:rPr>
              <w:t>45,500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Trustee fees (including counsel fees)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Miscellaneous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4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fees and expenses depend on the securities offered and the number of issuances and accordingly cannot be estimated at this time and will be reflected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31" w:lineRule="exact"/>
        <w:rPr>
          <w:sz w:val="20"/>
          <w:szCs w:val="20"/>
          <w:color w:val="auto"/>
        </w:rPr>
      </w:pPr>
    </w:p>
    <w:p>
      <w:pPr>
        <w:ind w:left="1080" w:right="1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shall indemnify our directors and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indemnify our employees and agents to the fullest extent permitted by the Delaware General Corporation Law, subject to limited exceptions;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shall advance expenses to our directors and officers and may advance expenses of our employees and agents in connection with a legal proceeding to the fullest extent permitted by the Delaware General Corporation Law, subject to limited exceptions;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entered into, and intend to continue to enter into, separate indemnification agreements with our directors and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spacing w:after="0" w:line="165"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06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09"/>
        </w:trPr>
        <w:tc>
          <w:tcPr>
            <w:tcW w:w="1460" w:type="dxa"/>
            <w:vAlign w:val="bottom"/>
          </w:tcPr>
          <w:p>
            <w:pPr>
              <w:ind w:left="180"/>
              <w:spacing w:after="0"/>
              <w:rPr>
                <w:sz w:val="20"/>
                <w:szCs w:val="20"/>
                <w:color w:val="auto"/>
              </w:rPr>
            </w:pPr>
            <w:r>
              <w:rPr>
                <w:rFonts w:ascii="Arial" w:cs="Arial" w:eastAsia="Arial" w:hAnsi="Arial"/>
                <w:sz w:val="18"/>
                <w:szCs w:val="18"/>
                <w:color w:val="auto"/>
              </w:rPr>
              <w:t>1.1*</w:t>
            </w:r>
          </w:p>
        </w:tc>
        <w:tc>
          <w:tcPr>
            <w:tcW w:w="9060" w:type="dxa"/>
            <w:vAlign w:val="bottom"/>
            <w:gridSpan w:val="9"/>
          </w:tcPr>
          <w:p>
            <w:pPr>
              <w:spacing w:after="0"/>
              <w:rPr>
                <w:sz w:val="20"/>
                <w:szCs w:val="20"/>
                <w:color w:val="auto"/>
              </w:rPr>
            </w:pPr>
            <w:r>
              <w:rPr>
                <w:rFonts w:ascii="Arial" w:cs="Arial" w:eastAsia="Arial" w:hAnsi="Arial"/>
                <w:sz w:val="18"/>
                <w:szCs w:val="18"/>
                <w:color w:val="auto"/>
              </w:rPr>
              <w:t>Form(s) of underwriting agreement(s).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1460" w:type="dxa"/>
            <w:vAlign w:val="bottom"/>
          </w:tcPr>
          <w:p>
            <w:pPr>
              <w:ind w:left="180"/>
              <w:spacing w:after="0"/>
              <w:rPr>
                <w:sz w:val="20"/>
                <w:szCs w:val="20"/>
                <w:color w:val="auto"/>
              </w:rPr>
            </w:pPr>
            <w:r>
              <w:rPr>
                <w:rFonts w:ascii="Arial" w:cs="Arial" w:eastAsia="Arial" w:hAnsi="Arial"/>
                <w:sz w:val="18"/>
                <w:szCs w:val="18"/>
                <w:color w:val="auto"/>
              </w:rPr>
              <w:t>2.1</w:t>
            </w:r>
          </w:p>
        </w:tc>
        <w:tc>
          <w:tcPr>
            <w:tcW w:w="9060" w:type="dxa"/>
            <w:vAlign w:val="bottom"/>
            <w:gridSpan w:val="9"/>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Agreement and Plan of Merger and Reorganization, dated as of August 9, 2022, by and among Gemini Therapeutics, Inc.,</w:t>
              </w:r>
            </w:hyperlink>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Gemstone Merger Sub, Inc. and Disc Medicine, Inc. (incorporated by reference to Exhibit 2.1 to the Registrant’s Proxy</w:t>
              </w:r>
            </w:hyperlink>
          </w:p>
        </w:tc>
        <w:tc>
          <w:tcPr>
            <w:tcW w:w="240" w:type="dxa"/>
            <w:vAlign w:val="bottom"/>
            <w:tcBorders>
              <w:top w:val="single" w:sz="8" w:color="0000EE"/>
            </w:tcBorders>
          </w:tcPr>
          <w:p>
            <w:pPr>
              <w:spacing w:after="0"/>
              <w:rPr>
                <w:sz w:val="17"/>
                <w:szCs w:val="17"/>
                <w:color w:val="auto"/>
              </w:rPr>
            </w:pPr>
          </w:p>
        </w:tc>
        <w:tc>
          <w:tcPr>
            <w:tcW w:w="24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46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Statement/Prospectus on Form S-4 filed on September 2, 2022).</w:t>
              </w:r>
            </w:hyperlink>
          </w:p>
        </w:tc>
        <w:tc>
          <w:tcPr>
            <w:tcW w:w="444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60" w:type="dxa"/>
            <w:vAlign w:val="bottom"/>
          </w:tcPr>
          <w:p>
            <w:pPr>
              <w:ind w:left="180"/>
              <w:spacing w:after="0"/>
              <w:rPr>
                <w:sz w:val="20"/>
                <w:szCs w:val="20"/>
                <w:color w:val="auto"/>
              </w:rPr>
            </w:pPr>
            <w:r>
              <w:rPr>
                <w:rFonts w:ascii="Arial" w:cs="Arial" w:eastAsia="Arial" w:hAnsi="Arial"/>
                <w:sz w:val="18"/>
                <w:szCs w:val="18"/>
                <w:color w:val="auto"/>
              </w:rPr>
              <w:t>3.1</w:t>
            </w:r>
          </w:p>
        </w:tc>
        <w:tc>
          <w:tcPr>
            <w:tcW w:w="8960" w:type="dxa"/>
            <w:vAlign w:val="bottom"/>
            <w:tcBorders>
              <w:bottom w:val="single" w:sz="8" w:color="0000EE"/>
            </w:tcBorders>
            <w:gridSpan w:val="7"/>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Certificate of Incorporation of Disc Medicine, Inc. (incorporated by reference to Annex B to Gemini</w:t>
              </w:r>
            </w:hyperlink>
          </w:p>
        </w:tc>
        <w:tc>
          <w:tcPr>
            <w:tcW w:w="1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70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Therapeutics, Inc.’s Proxy Statement/Prospectus on Form S-4/A (Registration No. 333-249785)).</w:t>
              </w:r>
            </w:hyperlink>
          </w:p>
        </w:tc>
        <w:tc>
          <w:tcPr>
            <w:tcW w:w="206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60" w:type="dxa"/>
            <w:vAlign w:val="bottom"/>
          </w:tcPr>
          <w:p>
            <w:pPr>
              <w:ind w:left="180"/>
              <w:spacing w:after="0"/>
              <w:rPr>
                <w:sz w:val="20"/>
                <w:szCs w:val="20"/>
                <w:color w:val="auto"/>
              </w:rPr>
            </w:pPr>
            <w:r>
              <w:rPr>
                <w:rFonts w:ascii="Arial" w:cs="Arial" w:eastAsia="Arial" w:hAnsi="Arial"/>
                <w:sz w:val="18"/>
                <w:szCs w:val="18"/>
                <w:color w:val="auto"/>
              </w:rPr>
              <w:t>3.2</w:t>
            </w:r>
          </w:p>
        </w:tc>
        <w:tc>
          <w:tcPr>
            <w:tcW w:w="9060" w:type="dxa"/>
            <w:vAlign w:val="bottom"/>
            <w:gridSpan w:val="9"/>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Certificate of Amendment to the Amended and Restated Certificate of Incorporation of Disc Medicine, Inc., dated December</w:t>
              </w:r>
            </w:hyperlink>
          </w:p>
        </w:tc>
        <w:tc>
          <w:tcPr>
            <w:tcW w:w="280" w:type="dxa"/>
            <w:vAlign w:val="bottom"/>
            <w:gridSpan w:val="2"/>
          </w:tcPr>
          <w:p>
            <w:pPr>
              <w:jc w:val="right"/>
              <w:ind w:right="20"/>
              <w:spacing w:after="0"/>
              <w:rPr>
                <w:rFonts w:ascii="Arial" w:cs="Arial" w:eastAsia="Arial" w:hAnsi="Arial"/>
                <w:sz w:val="18"/>
                <w:szCs w:val="18"/>
                <w:color w:val="0000EE"/>
                <w:w w:val="95"/>
              </w:rPr>
            </w:pPr>
            <w:hyperlink r:id="rId91">
              <w:r>
                <w:rPr>
                  <w:rFonts w:ascii="Arial" w:cs="Arial" w:eastAsia="Arial" w:hAnsi="Arial"/>
                  <w:sz w:val="18"/>
                  <w:szCs w:val="18"/>
                  <w:color w:val="0000EE"/>
                  <w:w w:val="95"/>
                </w:rPr>
                <w:t>28,</w:t>
              </w:r>
            </w:hyperlink>
          </w:p>
        </w:tc>
        <w:tc>
          <w:tcPr>
            <w:tcW w:w="16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2022 (incorporated by reference to Exhibit 3.1 to the Registrant’s Current Report on Form 8-K filed on December 29, 2022).</w:t>
              </w:r>
            </w:hyperlink>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460" w:type="dxa"/>
            <w:vAlign w:val="bottom"/>
          </w:tcPr>
          <w:p>
            <w:pPr>
              <w:ind w:left="180"/>
              <w:spacing w:after="0"/>
              <w:rPr>
                <w:sz w:val="20"/>
                <w:szCs w:val="20"/>
                <w:color w:val="auto"/>
              </w:rPr>
            </w:pPr>
            <w:r>
              <w:rPr>
                <w:rFonts w:ascii="Arial" w:cs="Arial" w:eastAsia="Arial" w:hAnsi="Arial"/>
                <w:sz w:val="18"/>
                <w:szCs w:val="18"/>
                <w:color w:val="auto"/>
              </w:rPr>
              <w:t>3.3</w:t>
            </w:r>
          </w:p>
        </w:tc>
        <w:tc>
          <w:tcPr>
            <w:tcW w:w="9060" w:type="dxa"/>
            <w:vAlign w:val="bottom"/>
            <w:gridSpan w:val="9"/>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Certificate of Amendment to the Amended and Restated Certificate of Incorporation of Disc Medicine, Inc., dated December</w:t>
              </w:r>
            </w:hyperlink>
          </w:p>
        </w:tc>
        <w:tc>
          <w:tcPr>
            <w:tcW w:w="280" w:type="dxa"/>
            <w:vAlign w:val="bottom"/>
            <w:gridSpan w:val="2"/>
          </w:tcPr>
          <w:p>
            <w:pPr>
              <w:jc w:val="right"/>
              <w:ind w:right="20"/>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29,</w:t>
              </w:r>
            </w:hyperlink>
          </w:p>
        </w:tc>
        <w:tc>
          <w:tcPr>
            <w:tcW w:w="16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2022 (incorporated by reference to Exhibit 3.2 to the Registrant’s Current Report on Form 8-K filed on December 29, 2022).</w:t>
              </w:r>
            </w:hyperlink>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460" w:type="dxa"/>
            <w:vAlign w:val="bottom"/>
          </w:tcPr>
          <w:p>
            <w:pPr>
              <w:ind w:left="180"/>
              <w:spacing w:after="0"/>
              <w:rPr>
                <w:sz w:val="20"/>
                <w:szCs w:val="20"/>
                <w:color w:val="auto"/>
              </w:rPr>
            </w:pPr>
            <w:r>
              <w:rPr>
                <w:rFonts w:ascii="Arial" w:cs="Arial" w:eastAsia="Arial" w:hAnsi="Arial"/>
                <w:sz w:val="18"/>
                <w:szCs w:val="18"/>
                <w:color w:val="auto"/>
              </w:rPr>
              <w:t>3.4</w:t>
            </w:r>
          </w:p>
        </w:tc>
        <w:tc>
          <w:tcPr>
            <w:tcW w:w="9500" w:type="dxa"/>
            <w:vAlign w:val="bottom"/>
            <w:tcBorders>
              <w:bottom w:val="single" w:sz="8" w:color="0000EE"/>
            </w:tcBorders>
            <w:gridSpan w:val="12"/>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Amended and Restated By-laws of Disc Medicine, Inc. (incorporated by reference to Annex C to Gemini Therapeutics, Inc.’s Proxy</w:t>
              </w:r>
            </w:hyperlink>
          </w:p>
        </w:tc>
      </w:tr>
      <w:tr>
        <w:trPr>
          <w:trHeight w:val="196"/>
        </w:trPr>
        <w:tc>
          <w:tcPr>
            <w:tcW w:w="1460" w:type="dxa"/>
            <w:vAlign w:val="bottom"/>
          </w:tcPr>
          <w:p>
            <w:pPr>
              <w:spacing w:after="0"/>
              <w:rPr>
                <w:sz w:val="17"/>
                <w:szCs w:val="17"/>
                <w:color w:val="auto"/>
              </w:rPr>
            </w:pPr>
          </w:p>
        </w:tc>
        <w:tc>
          <w:tcPr>
            <w:tcW w:w="9060" w:type="dxa"/>
            <w:vAlign w:val="bottom"/>
            <w:gridSpan w:val="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Statement/Prospectus on Form S-4/A (Registration No. 333-249785)).</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460" w:type="dxa"/>
            <w:vAlign w:val="bottom"/>
          </w:tcPr>
          <w:p>
            <w:pPr>
              <w:ind w:left="180"/>
              <w:spacing w:after="0"/>
              <w:rPr>
                <w:sz w:val="20"/>
                <w:szCs w:val="20"/>
                <w:color w:val="auto"/>
              </w:rPr>
            </w:pPr>
            <w:r>
              <w:rPr>
                <w:rFonts w:ascii="Arial" w:cs="Arial" w:eastAsia="Arial" w:hAnsi="Arial"/>
                <w:sz w:val="18"/>
                <w:szCs w:val="18"/>
                <w:color w:val="auto"/>
              </w:rPr>
              <w:t>4.1</w:t>
            </w:r>
          </w:p>
        </w:tc>
        <w:tc>
          <w:tcPr>
            <w:tcW w:w="9500" w:type="dxa"/>
            <w:vAlign w:val="bottom"/>
            <w:gridSpan w:val="12"/>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Specimen Common Stock Certificate (incorporated by reference to Exhibit 4.1 to the Registrant’s Registration Statement</w:t>
              </w:r>
            </w:hyperlink>
          </w:p>
        </w:tc>
      </w:tr>
      <w:tr>
        <w:trPr>
          <w:trHeight w:val="196"/>
        </w:trPr>
        <w:tc>
          <w:tcPr>
            <w:tcW w:w="1460" w:type="dxa"/>
            <w:vAlign w:val="bottom"/>
          </w:tcPr>
          <w:p>
            <w:pPr>
              <w:spacing w:after="0"/>
              <w:rPr>
                <w:sz w:val="17"/>
                <w:szCs w:val="17"/>
                <w:color w:val="auto"/>
              </w:rPr>
            </w:pPr>
          </w:p>
        </w:tc>
        <w:tc>
          <w:tcPr>
            <w:tcW w:w="9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on Form S-4/A filed on January 19, 2021).</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II-ii</w:t>
      </w:r>
    </w:p>
    <w:p>
      <w:pPr>
        <w:sectPr>
          <w:pgSz w:w="11900" w:h="16838" w:orient="portrait"/>
          <w:cols w:equalWidth="0" w:num="1">
            <w:col w:w="11120"/>
          </w:cols>
          <w:pgMar w:left="320" w:top="459" w:right="4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88"/>
              </w:rPr>
              <w:t>Table of Contents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93"/>
        </w:trPr>
        <w:tc>
          <w:tcPr>
            <w:tcW w:w="1360" w:type="dxa"/>
            <w:vAlign w:val="bottom"/>
          </w:tcPr>
          <w:p>
            <w:pPr>
              <w:jc w:val="right"/>
              <w:ind w:right="7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Registration Rights Agreement, among Disc Medicine, Inc. and certain of its stockholders, dated December 28, 2022 (incorporated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by reference to Exhibit 10.1 to the Registrant’s Current Report on Form 8-K filed on December 29, 2022).</w:t>
              </w:r>
            </w:hyperlink>
          </w:p>
        </w:tc>
        <w:tc>
          <w:tcPr>
            <w:tcW w:w="1820" w:type="dxa"/>
            <w:vAlign w:val="bottom"/>
            <w:gridSpan w:val="2"/>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Registration Rights Agreement, dated February 5, 2021, by and among the Registrant and the stockholder parties thereto</w:t>
              </w:r>
            </w:hyperlink>
          </w:p>
        </w:tc>
        <w:tc>
          <w:tcPr>
            <w:tcW w:w="7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(incorporated by reference to Exhibit 10.1 to the Registrant’s Form 8-A12B/A filed on February 5, 2021).</w:t>
              </w:r>
            </w:hyperlink>
          </w:p>
        </w:tc>
        <w:tc>
          <w:tcPr>
            <w:tcW w:w="1860" w:type="dxa"/>
            <w:vAlign w:val="bottom"/>
            <w:gridSpan w:val="3"/>
          </w:tcPr>
          <w:p>
            <w:pPr>
              <w:spacing w:after="0"/>
              <w:rPr>
                <w:sz w:val="17"/>
                <w:szCs w:val="17"/>
                <w:color w:val="auto"/>
              </w:rPr>
            </w:pPr>
          </w:p>
        </w:tc>
      </w:tr>
      <w:tr>
        <w:trPr>
          <w:trHeight w:val="304"/>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3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Form of indenture for senior debt securities and the related form of senior debt security.</w:t>
            </w:r>
          </w:p>
        </w:tc>
        <w:tc>
          <w:tcPr>
            <w:tcW w:w="3160" w:type="dxa"/>
            <w:vAlign w:val="bottom"/>
            <w:gridSpan w:val="5"/>
          </w:tcPr>
          <w:p>
            <w:pPr>
              <w:spacing w:after="0"/>
              <w:rPr>
                <w:sz w:val="24"/>
                <w:szCs w:val="24"/>
                <w:color w:val="auto"/>
              </w:rPr>
            </w:pPr>
          </w:p>
        </w:tc>
      </w:tr>
      <w:tr>
        <w:trPr>
          <w:trHeight w:val="304"/>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73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Form of indenture for subordinated debt securities and the related form of subordinated debt security.</w:t>
            </w:r>
          </w:p>
        </w:tc>
        <w:tc>
          <w:tcPr>
            <w:tcW w:w="2180" w:type="dxa"/>
            <w:vAlign w:val="bottom"/>
            <w:gridSpan w:val="4"/>
          </w:tcPr>
          <w:p>
            <w:pPr>
              <w:spacing w:after="0"/>
              <w:rPr>
                <w:sz w:val="24"/>
                <w:szCs w:val="24"/>
                <w:color w:val="auto"/>
              </w:rPr>
            </w:pPr>
          </w:p>
        </w:tc>
      </w:tr>
      <w:tr>
        <w:trPr>
          <w:trHeight w:val="345"/>
        </w:trPr>
        <w:tc>
          <w:tcPr>
            <w:tcW w:w="1360" w:type="dxa"/>
            <w:vAlign w:val="bottom"/>
          </w:tcPr>
          <w:p>
            <w:pPr>
              <w:jc w:val="right"/>
              <w:ind w:right="6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Form of Certificate of Designations.</w:t>
            </w:r>
          </w:p>
        </w:tc>
      </w:tr>
      <w:tr>
        <w:trPr>
          <w:trHeight w:val="324"/>
        </w:trPr>
        <w:tc>
          <w:tcPr>
            <w:tcW w:w="1360" w:type="dxa"/>
            <w:vAlign w:val="bottom"/>
          </w:tcPr>
          <w:p>
            <w:pPr>
              <w:jc w:val="right"/>
              <w:ind w:right="6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1360" w:type="dxa"/>
            <w:vAlign w:val="bottom"/>
          </w:tcPr>
          <w:p>
            <w:pPr>
              <w:jc w:val="right"/>
              <w:ind w:right="6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Form of Unit Certificate.</w:t>
            </w:r>
          </w:p>
        </w:tc>
      </w:tr>
      <w:tr>
        <w:trPr>
          <w:trHeight w:val="324"/>
        </w:trPr>
        <w:tc>
          <w:tcPr>
            <w:tcW w:w="1360" w:type="dxa"/>
            <w:vAlign w:val="bottom"/>
          </w:tcPr>
          <w:p>
            <w:pPr>
              <w:jc w:val="right"/>
              <w:ind w:right="6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Form of Preferred Stock Certificate.</w:t>
            </w:r>
          </w:p>
        </w:tc>
      </w:tr>
      <w:tr>
        <w:trPr>
          <w:trHeight w:val="283"/>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4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Goodwin Procter LLP.</w:t>
            </w:r>
          </w:p>
        </w:tc>
        <w:tc>
          <w:tcPr>
            <w:tcW w:w="7020" w:type="dxa"/>
            <w:vAlign w:val="bottom"/>
            <w:gridSpan w:val="10"/>
          </w:tcPr>
          <w:p>
            <w:pPr>
              <w:spacing w:after="0"/>
              <w:rPr>
                <w:sz w:val="24"/>
                <w:szCs w:val="24"/>
                <w:color w:val="auto"/>
              </w:rPr>
            </w:pPr>
          </w:p>
        </w:tc>
      </w:tr>
      <w:tr>
        <w:trPr>
          <w:trHeight w:val="304"/>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5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3560" w:type="dxa"/>
            <w:vAlign w:val="bottom"/>
            <w:gridSpan w:val="6"/>
          </w:tcPr>
          <w:p>
            <w:pPr>
              <w:spacing w:after="0"/>
              <w:rPr>
                <w:sz w:val="24"/>
                <w:szCs w:val="24"/>
                <w:color w:val="auto"/>
              </w:rPr>
            </w:pPr>
          </w:p>
        </w:tc>
      </w:tr>
      <w:tr>
        <w:trPr>
          <w:trHeight w:val="304"/>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59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3580" w:type="dxa"/>
            <w:vAlign w:val="bottom"/>
            <w:gridSpan w:val="7"/>
          </w:tcPr>
          <w:p>
            <w:pPr>
              <w:spacing w:after="0"/>
              <w:rPr>
                <w:sz w:val="24"/>
                <w:szCs w:val="24"/>
                <w:color w:val="auto"/>
              </w:rPr>
            </w:pPr>
          </w:p>
        </w:tc>
      </w:tr>
      <w:tr>
        <w:trPr>
          <w:trHeight w:val="304"/>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0000EE"/>
              </w:rPr>
              <w:t>Consent of Goodwin Procter LLP (included in Exhibit 5.1 hereto).</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58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Power of Attorney (included in the signature pages to this registration statement).</w:t>
            </w:r>
          </w:p>
        </w:tc>
        <w:tc>
          <w:tcPr>
            <w:tcW w:w="3600" w:type="dxa"/>
            <w:vAlign w:val="bottom"/>
            <w:gridSpan w:val="8"/>
          </w:tcPr>
          <w:p>
            <w:pPr>
              <w:spacing w:after="0"/>
              <w:rPr>
                <w:sz w:val="24"/>
                <w:szCs w:val="24"/>
                <w:color w:val="auto"/>
              </w:rPr>
            </w:pPr>
          </w:p>
        </w:tc>
      </w:tr>
      <w:tr>
        <w:trPr>
          <w:trHeight w:val="345"/>
        </w:trPr>
        <w:tc>
          <w:tcPr>
            <w:tcW w:w="1360" w:type="dxa"/>
            <w:vAlign w:val="bottom"/>
          </w:tcPr>
          <w:p>
            <w:pPr>
              <w:jc w:val="right"/>
              <w:ind w:right="65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324"/>
        </w:trPr>
        <w:tc>
          <w:tcPr>
            <w:tcW w:w="1360" w:type="dxa"/>
            <w:vAlign w:val="bottom"/>
          </w:tcPr>
          <w:p>
            <w:pPr>
              <w:jc w:val="right"/>
              <w:ind w:right="65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r>
        <w:trPr>
          <w:trHeight w:val="283"/>
        </w:trPr>
        <w:tc>
          <w:tcPr>
            <w:tcW w:w="1360" w:type="dxa"/>
            <w:vAlign w:val="bottom"/>
          </w:tcPr>
          <w:p>
            <w:pPr>
              <w:jc w:val="right"/>
              <w:ind w:right="7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0000EE"/>
              </w:rPr>
              <w:t>Filing Fee Table.</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20" w:hanging="4"/>
        <w:spacing w:after="0" w:line="258" w:lineRule="auto"/>
        <w:tabs>
          <w:tab w:leader="none" w:pos="5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amendment or as exhibit(s) to a Current Report of the Registrant on Form 8-K and incorporated herein by reference, as applicable. ** Filed herewith.</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pursuant to Section 305(b)(2) of the U.S. Trust Indenture Act of 1939, as applicable.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w:t>
      </w:r>
      <w:r>
        <w:rPr>
          <w:rFonts w:ascii="Arial" w:cs="Arial" w:eastAsia="Arial" w:hAnsi="Arial"/>
          <w:sz w:val="18"/>
          <w:szCs w:val="18"/>
          <w:b w:val="1"/>
          <w:bCs w:val="1"/>
          <w:i w:val="1"/>
          <w:iCs w:val="1"/>
          <w:color w:val="auto"/>
        </w:rPr>
        <w:t>. Undertakings</w:t>
      </w:r>
    </w:p>
    <w:p>
      <w:pPr>
        <w:spacing w:after="0" w:line="13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hanging="439"/>
        <w:spacing w:after="0" w:line="272" w:lineRule="auto"/>
        <w:tabs>
          <w:tab w:leader="none" w:pos="1540" w:val="left"/>
        </w:tabs>
        <w:numPr>
          <w:ilvl w:val="2"/>
          <w:numId w:val="3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II-iii</w:t>
      </w:r>
    </w:p>
    <w:p>
      <w:pPr>
        <w:sectPr>
          <w:pgSz w:w="11900" w:h="16838" w:orient="portrait"/>
          <w:cols w:equalWidth="0" w:num="1">
            <w:col w:w="11100"/>
          </w:cols>
          <w:pgMar w:left="320" w:top="446"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20" w:hanging="439"/>
        <w:spacing w:after="0" w:line="277"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214" w:lineRule="exact"/>
        <w:rPr>
          <w:sz w:val="20"/>
          <w:szCs w:val="20"/>
          <w:color w:val="auto"/>
        </w:rPr>
      </w:pPr>
    </w:p>
    <w:p>
      <w:pPr>
        <w:ind w:left="1080" w:right="60" w:hanging="532"/>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undersigned Registrant undertake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sellers to the purchaser and will be considered to offer or sell such securities to such purchaser:</w:t>
      </w:r>
    </w:p>
    <w:p>
      <w:pPr>
        <w:spacing w:after="0" w:line="92" w:lineRule="exact"/>
        <w:rPr>
          <w:sz w:val="20"/>
          <w:szCs w:val="20"/>
          <w:color w:val="auto"/>
        </w:rPr>
      </w:pPr>
    </w:p>
    <w:p>
      <w:pPr>
        <w:ind w:left="1540" w:right="80" w:hanging="439"/>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II-iv</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80" w:hanging="439"/>
        <w:spacing w:after="0" w:line="277"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76"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 section (a) of section 310 of the Trust Indenture Act (“Act”) in accordance with the rules and regulations prescribed by the Commission under section 305(b)(2) of the Act.</w:t>
      </w:r>
    </w:p>
    <w:p>
      <w:pPr>
        <w:spacing w:after="0" w:line="8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II-v</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Watertown, State of Massachusetts, on January 17,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Quisel</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John Quisel, J.D., Ph.D.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John Quisel, J.D., Ph.D., Joanne Bryce, CPA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Quisel</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 (Principal Executive</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January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John Quisel, J.D., Ph.D.</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Officer)</w:t>
            </w: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Joanne Bryce</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January 17, 2023</w:t>
            </w:r>
          </w:p>
        </w:tc>
      </w:tr>
      <w:tr>
        <w:trPr>
          <w:trHeight w:val="182"/>
        </w:trPr>
        <w:tc>
          <w:tcPr>
            <w:tcW w:w="4320" w:type="dxa"/>
            <w:vAlign w:val="bottom"/>
          </w:tcPr>
          <w:p>
            <w:pPr>
              <w:jc w:val="center"/>
              <w:spacing w:after="0" w:line="182" w:lineRule="exact"/>
              <w:rPr>
                <w:sz w:val="20"/>
                <w:szCs w:val="20"/>
                <w:color w:val="auto"/>
              </w:rPr>
            </w:pPr>
            <w:r>
              <w:rPr>
                <w:rFonts w:ascii="Arial" w:cs="Arial" w:eastAsia="Arial" w:hAnsi="Arial"/>
                <w:sz w:val="18"/>
                <w:szCs w:val="18"/>
                <w:color w:val="auto"/>
                <w:w w:val="89"/>
              </w:rPr>
              <w:t>Joanne Bryce, CPA</w:t>
            </w:r>
          </w:p>
        </w:tc>
        <w:tc>
          <w:tcPr>
            <w:tcW w:w="120" w:type="dxa"/>
            <w:vAlign w:val="bottom"/>
          </w:tcPr>
          <w:p>
            <w:pPr>
              <w:spacing w:after="0"/>
              <w:rPr>
                <w:sz w:val="15"/>
                <w:szCs w:val="15"/>
                <w:color w:val="auto"/>
              </w:rPr>
            </w:pPr>
          </w:p>
        </w:tc>
        <w:tc>
          <w:tcPr>
            <w:tcW w:w="456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2020" w:type="dxa"/>
            <w:vAlign w:val="bottom"/>
          </w:tcPr>
          <w:p>
            <w:pPr>
              <w:spacing w:after="0"/>
              <w:rPr>
                <w:sz w:val="15"/>
                <w:szCs w:val="15"/>
                <w:color w:val="auto"/>
              </w:rPr>
            </w:pP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Officer)</w:t>
            </w:r>
          </w:p>
        </w:tc>
        <w:tc>
          <w:tcPr>
            <w:tcW w:w="2020" w:type="dxa"/>
            <w:vAlign w:val="bottom"/>
          </w:tcPr>
          <w:p>
            <w:pPr>
              <w:spacing w:after="0"/>
              <w:rPr>
                <w:sz w:val="20"/>
                <w:szCs w:val="20"/>
                <w:color w:val="auto"/>
              </w:rPr>
            </w:pPr>
          </w:p>
        </w:tc>
      </w:tr>
      <w:tr>
        <w:trPr>
          <w:trHeight w:val="4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Mona Ashiya</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January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Mona Ashiya,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Jay Backstrom</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January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1"/>
              </w:rPr>
              <w:t>Jay Backstrom, M.D., M.P.H.</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Bitterman</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January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Kevin Bitterman,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Chin</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January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7"/>
              </w:rPr>
              <w:t>Mark Chin, MS, MBA</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2"/>
          </w:tcPr>
          <w:p>
            <w:pPr>
              <w:ind w:left="900"/>
              <w:spacing w:after="0"/>
              <w:rPr>
                <w:sz w:val="20"/>
                <w:szCs w:val="20"/>
                <w:color w:val="auto"/>
              </w:rPr>
            </w:pPr>
            <w:r>
              <w:rPr>
                <w:rFonts w:ascii="Arial" w:cs="Arial" w:eastAsia="Arial" w:hAnsi="Arial"/>
                <w:sz w:val="18"/>
                <w:szCs w:val="18"/>
                <w:color w:val="auto"/>
              </w:rPr>
              <w:t>II-vi</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4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38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30"/>
              <w:spacing w:after="0"/>
              <w:rPr>
                <w:sz w:val="20"/>
                <w:szCs w:val="20"/>
                <w:color w:val="auto"/>
              </w:rPr>
            </w:pPr>
            <w:r>
              <w:rPr>
                <w:rFonts w:ascii="Arial" w:cs="Arial" w:eastAsia="Arial" w:hAnsi="Arial"/>
                <w:sz w:val="18"/>
                <w:szCs w:val="18"/>
                <w:color w:val="auto"/>
                <w:w w:val="88"/>
              </w:rPr>
              <w:t>/s/ Georges Gemayel</w:t>
            </w:r>
          </w:p>
        </w:tc>
        <w:tc>
          <w:tcPr>
            <w:tcW w:w="38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240"/>
              <w:spacing w:after="0"/>
              <w:rPr>
                <w:sz w:val="20"/>
                <w:szCs w:val="20"/>
                <w:color w:val="auto"/>
              </w:rPr>
            </w:pPr>
            <w:r>
              <w:rPr>
                <w:rFonts w:ascii="Arial" w:cs="Arial" w:eastAsia="Arial" w:hAnsi="Arial"/>
                <w:sz w:val="18"/>
                <w:szCs w:val="18"/>
                <w:color w:val="auto"/>
                <w:w w:val="87"/>
              </w:rPr>
              <w:t>January 17,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80" w:type="dxa"/>
            <w:vAlign w:val="bottom"/>
          </w:tcPr>
          <w:p>
            <w:pPr>
              <w:jc w:val="center"/>
              <w:ind w:right="1150"/>
              <w:spacing w:after="0"/>
              <w:rPr>
                <w:sz w:val="20"/>
                <w:szCs w:val="20"/>
                <w:color w:val="auto"/>
              </w:rPr>
            </w:pPr>
            <w:r>
              <w:rPr>
                <w:rFonts w:ascii="Arial" w:cs="Arial" w:eastAsia="Arial" w:hAnsi="Arial"/>
                <w:sz w:val="18"/>
                <w:szCs w:val="18"/>
                <w:color w:val="auto"/>
                <w:w w:val="87"/>
              </w:rPr>
              <w:t>Georges Gemayel</w:t>
            </w:r>
          </w:p>
        </w:tc>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2"/>
              </w:rPr>
              <w:t>/s/ Donald Nicholson</w:t>
            </w:r>
          </w:p>
        </w:tc>
        <w:tc>
          <w:tcPr>
            <w:tcW w:w="38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240"/>
              <w:spacing w:after="0"/>
              <w:rPr>
                <w:sz w:val="20"/>
                <w:szCs w:val="20"/>
                <w:color w:val="auto"/>
              </w:rPr>
            </w:pPr>
            <w:r>
              <w:rPr>
                <w:rFonts w:ascii="Arial" w:cs="Arial" w:eastAsia="Arial" w:hAnsi="Arial"/>
                <w:sz w:val="18"/>
                <w:szCs w:val="18"/>
                <w:color w:val="auto"/>
                <w:w w:val="87"/>
              </w:rPr>
              <w:t>January 17,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80" w:type="dxa"/>
            <w:vAlign w:val="bottom"/>
          </w:tcPr>
          <w:p>
            <w:pPr>
              <w:jc w:val="center"/>
              <w:ind w:right="1130"/>
              <w:spacing w:after="0"/>
              <w:rPr>
                <w:sz w:val="20"/>
                <w:szCs w:val="20"/>
                <w:color w:val="auto"/>
              </w:rPr>
            </w:pPr>
            <w:r>
              <w:rPr>
                <w:rFonts w:ascii="Arial" w:cs="Arial" w:eastAsia="Arial" w:hAnsi="Arial"/>
                <w:sz w:val="18"/>
                <w:szCs w:val="18"/>
                <w:color w:val="auto"/>
                <w:w w:val="92"/>
              </w:rPr>
              <w:t>Donald Nicholson, Ph.D.</w:t>
            </w:r>
          </w:p>
        </w:tc>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30"/>
              <w:spacing w:after="0"/>
              <w:rPr>
                <w:sz w:val="20"/>
                <w:szCs w:val="20"/>
                <w:color w:val="auto"/>
              </w:rPr>
            </w:pPr>
            <w:r>
              <w:rPr>
                <w:rFonts w:ascii="Arial" w:cs="Arial" w:eastAsia="Arial" w:hAnsi="Arial"/>
                <w:sz w:val="18"/>
                <w:szCs w:val="18"/>
                <w:color w:val="auto"/>
                <w:w w:val="94"/>
              </w:rPr>
              <w:t>/s/ Liam Ratcliffe</w:t>
            </w:r>
          </w:p>
        </w:tc>
        <w:tc>
          <w:tcPr>
            <w:tcW w:w="38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240"/>
              <w:spacing w:after="0"/>
              <w:rPr>
                <w:sz w:val="20"/>
                <w:szCs w:val="20"/>
                <w:color w:val="auto"/>
              </w:rPr>
            </w:pPr>
            <w:r>
              <w:rPr>
                <w:rFonts w:ascii="Arial" w:cs="Arial" w:eastAsia="Arial" w:hAnsi="Arial"/>
                <w:sz w:val="18"/>
                <w:szCs w:val="18"/>
                <w:color w:val="auto"/>
                <w:w w:val="87"/>
              </w:rPr>
              <w:t>January 17, 2023</w:t>
            </w:r>
          </w:p>
        </w:tc>
      </w:tr>
      <w:tr>
        <w:trPr>
          <w:trHeight w:val="224"/>
        </w:trPr>
        <w:tc>
          <w:tcPr>
            <w:tcW w:w="120" w:type="dxa"/>
            <w:vAlign w:val="bottom"/>
          </w:tcPr>
          <w:p>
            <w:pPr>
              <w:spacing w:after="0"/>
              <w:rPr>
                <w:sz w:val="19"/>
                <w:szCs w:val="19"/>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5"/>
              </w:rPr>
              <w:t>Liam Ratcliffe, M.D., Ph.D.</w:t>
            </w:r>
          </w:p>
        </w:tc>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6"/>
              </w:rPr>
              <w:t>/s/ William White</w:t>
            </w:r>
          </w:p>
        </w:tc>
        <w:tc>
          <w:tcPr>
            <w:tcW w:w="38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1240"/>
              <w:spacing w:after="0"/>
              <w:rPr>
                <w:sz w:val="20"/>
                <w:szCs w:val="20"/>
                <w:color w:val="auto"/>
              </w:rPr>
            </w:pPr>
            <w:r>
              <w:rPr>
                <w:rFonts w:ascii="Arial" w:cs="Arial" w:eastAsia="Arial" w:hAnsi="Arial"/>
                <w:sz w:val="18"/>
                <w:szCs w:val="18"/>
                <w:color w:val="auto"/>
                <w:w w:val="87"/>
              </w:rPr>
              <w:t>January 17, 2023</w:t>
            </w:r>
          </w:p>
        </w:tc>
      </w:tr>
      <w:tr>
        <w:trPr>
          <w:trHeight w:val="224"/>
        </w:trPr>
        <w:tc>
          <w:tcPr>
            <w:tcW w:w="120" w:type="dxa"/>
            <w:vAlign w:val="bottom"/>
          </w:tcPr>
          <w:p>
            <w:pPr>
              <w:spacing w:after="0"/>
              <w:rPr>
                <w:sz w:val="19"/>
                <w:szCs w:val="19"/>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3"/>
              </w:rPr>
              <w:t>William White, MPP, J.D.</w:t>
            </w:r>
          </w:p>
        </w:tc>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820" w:type="dxa"/>
            <w:vAlign w:val="bottom"/>
          </w:tcPr>
          <w:p>
            <w:pPr>
              <w:ind w:left="1000"/>
              <w:spacing w:after="0"/>
              <w:rPr>
                <w:sz w:val="20"/>
                <w:szCs w:val="20"/>
                <w:color w:val="auto"/>
              </w:rPr>
            </w:pPr>
            <w:r>
              <w:rPr>
                <w:rFonts w:ascii="Arial" w:cs="Arial" w:eastAsia="Arial" w:hAnsi="Arial"/>
                <w:sz w:val="18"/>
                <w:szCs w:val="18"/>
                <w:color w:val="auto"/>
              </w:rPr>
              <w:t>II-vii</w:t>
            </w:r>
          </w:p>
        </w:tc>
        <w:tc>
          <w:tcPr>
            <w:tcW w:w="2480" w:type="dxa"/>
            <w:vAlign w:val="bottom"/>
          </w:tcPr>
          <w:p>
            <w:pPr>
              <w:spacing w:after="0"/>
              <w:rPr>
                <w:sz w:val="24"/>
                <w:szCs w:val="24"/>
                <w:color w:val="auto"/>
              </w:rPr>
            </w:pPr>
          </w:p>
        </w:tc>
      </w:tr>
    </w:tbl>
    <w:p>
      <w:pPr>
        <w:sectPr>
          <w:pgSz w:w="11900" w:h="16838" w:orient="portrait"/>
          <w:cols w:equalWidth="0" w:num="1">
            <w:col w:w="10740"/>
          </w:cols>
          <w:pgMar w:left="320" w:top="446" w:right="8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w:t>
      </w:r>
      <w:r>
        <w:rPr>
          <w:rFonts w:ascii="Arial" w:cs="Arial" w:eastAsia="Arial" w:hAnsi="Arial"/>
          <w:sz w:val="18"/>
          <w:szCs w:val="18"/>
          <w:color w:val="auto"/>
        </w:rPr>
        <w:t>u</w:t>
      </w:r>
      <w:r>
        <w:rPr>
          <w:rFonts w:ascii="Arial" w:cs="Arial" w:eastAsia="Arial" w:hAnsi="Arial"/>
          <w:sz w:val="18"/>
          <w:szCs w:val="18"/>
          <w:b w:val="1"/>
          <w:bCs w:val="1"/>
          <w:color w:val="auto"/>
        </w:rPr>
        <w:t>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20"/>
        <w:spacing w:after="0"/>
        <w:tabs>
          <w:tab w:leader="none" w:pos="160" w:val="left"/>
        </w:tabs>
        <w:rPr>
          <w:sz w:val="20"/>
          <w:szCs w:val="20"/>
          <w:color w:val="auto"/>
        </w:rPr>
      </w:pPr>
      <w:r>
        <w:rPr>
          <w:rFonts w:ascii="Arial" w:cs="Arial" w:eastAsia="Arial" w:hAnsi="Arial"/>
          <w:sz w:val="18"/>
          <w:szCs w:val="18"/>
          <w:b w:val="1"/>
          <w:bCs w:val="1"/>
          <w:color w:val="auto"/>
        </w:rPr>
        <w:t xml:space="preserve">Dated as of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50" w:name="page51"/>
    <w:bookmarkEnd w:id="5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Arial" w:cs="Arial" w:eastAsia="Arial" w:hAnsi="Arial"/>
          <w:sz w:val="26"/>
          <w:szCs w:val="26"/>
          <w:b w:val="1"/>
          <w:bCs w:val="1"/>
          <w:color w:val="auto"/>
          <w:vertAlign w:val="superscript"/>
        </w:rPr>
        <w:t>1</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954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1.01   Definitions of Terms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2.01   Designation and Terms of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2.02   Form of Securities and Trustee’s Certificate</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2.03   Denominations: Provisions for Payment</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2.04   Execution and Authentications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2.05   Registration of Transfer and Exchange</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2.06</w:t>
            </w:r>
          </w:p>
        </w:tc>
        <w:tc>
          <w:tcPr>
            <w:tcW w:w="816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2.07   Mutilated, Destroyed, Lost or Stolen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2.08</w:t>
            </w:r>
          </w:p>
        </w:tc>
        <w:tc>
          <w:tcPr>
            <w:tcW w:w="816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2.09   Benefits of Indenture</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2.10</w:t>
            </w:r>
          </w:p>
        </w:tc>
        <w:tc>
          <w:tcPr>
            <w:tcW w:w="8160" w:type="dxa"/>
            <w:vAlign w:val="bottom"/>
          </w:tcPr>
          <w:p>
            <w:pPr>
              <w:ind w:left="140"/>
              <w:spacing w:after="0"/>
              <w:rPr>
                <w:sz w:val="20"/>
                <w:szCs w:val="20"/>
                <w:color w:val="auto"/>
              </w:rPr>
            </w:pPr>
            <w:r>
              <w:rPr>
                <w:rFonts w:ascii="Arial" w:cs="Arial" w:eastAsia="Arial" w:hAnsi="Arial"/>
                <w:sz w:val="18"/>
                <w:szCs w:val="18"/>
                <w:color w:val="auto"/>
              </w:rPr>
              <w:t>Authenticating Agent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2.11</w:t>
            </w:r>
          </w:p>
        </w:tc>
        <w:tc>
          <w:tcPr>
            <w:tcW w:w="816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3.01</w:t>
            </w:r>
          </w:p>
        </w:tc>
        <w:tc>
          <w:tcPr>
            <w:tcW w:w="816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3.02   Notice of 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3.03   Payment Upon 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3.04</w:t>
            </w:r>
          </w:p>
        </w:tc>
        <w:tc>
          <w:tcPr>
            <w:tcW w:w="8160" w:type="dxa"/>
            <w:vAlign w:val="bottom"/>
          </w:tcPr>
          <w:p>
            <w:pPr>
              <w:ind w:left="140"/>
              <w:spacing w:after="0"/>
              <w:rPr>
                <w:sz w:val="20"/>
                <w:szCs w:val="20"/>
                <w:color w:val="auto"/>
              </w:rPr>
            </w:pPr>
            <w:r>
              <w:rPr>
                <w:rFonts w:ascii="Arial" w:cs="Arial" w:eastAsia="Arial" w:hAnsi="Arial"/>
                <w:sz w:val="18"/>
                <w:szCs w:val="18"/>
                <w:color w:val="auto"/>
              </w:rPr>
              <w:t>Sinking Fund</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3.06   Redemption of Securities for Sinking Fund</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4.01   Payment of Principal, Premium and Interest</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4.02   Maintenance of Office or Agency</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4.03</w:t>
            </w:r>
          </w:p>
        </w:tc>
        <w:tc>
          <w:tcPr>
            <w:tcW w:w="816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4.04   Appointment to Fill Vacancy in Office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4.05   Compliance with Consolidation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5.03   Reports by the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5.04   Reports by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6.03   Application of Moneys Collected</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6.04   Limitation on Suits</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6.06   Control by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6.07   Undertaking to Pay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Article 7 CONCERNING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7.01   Certain Duties and Responsibilities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7.02   Certain Rights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7.04   May Hold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7.05   Moneys Held in Trust</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80" w:hanging="424"/>
        <w:spacing w:after="0" w:line="207" w:lineRule="auto"/>
        <w:tabs>
          <w:tab w:leader="none" w:pos="424"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4"/>
          </w:cols>
          <w:pgMar w:left="436" w:top="270" w:right="4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760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7600" w:type="dxa"/>
            <w:vAlign w:val="bottom"/>
          </w:tcPr>
          <w:p>
            <w:pPr>
              <w:ind w:left="3640"/>
              <w:spacing w:after="0"/>
              <w:rPr>
                <w:sz w:val="20"/>
                <w:szCs w:val="20"/>
                <w:color w:val="auto"/>
              </w:rPr>
            </w:pPr>
            <w:r>
              <w:rPr>
                <w:rFonts w:ascii="Arial" w:cs="Arial" w:eastAsia="Arial" w:hAnsi="Arial"/>
                <w:sz w:val="18"/>
                <w:szCs w:val="18"/>
                <w:color w:val="auto"/>
              </w:rPr>
              <w:t>(continued)</w:t>
            </w:r>
          </w:p>
        </w:tc>
        <w:tc>
          <w:tcPr>
            <w:tcW w:w="1920" w:type="dxa"/>
            <w:vAlign w:val="bottom"/>
          </w:tcPr>
          <w:p>
            <w:pPr>
              <w:spacing w:after="0"/>
              <w:rPr>
                <w:sz w:val="20"/>
                <w:szCs w:val="20"/>
                <w:color w:val="auto"/>
              </w:rPr>
            </w:pPr>
          </w:p>
        </w:tc>
      </w:tr>
      <w:tr>
        <w:trPr>
          <w:trHeight w:val="406"/>
        </w:trPr>
        <w:tc>
          <w:tcPr>
            <w:tcW w:w="14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44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600" w:type="dxa"/>
            <w:vAlign w:val="bottom"/>
          </w:tcPr>
          <w:p>
            <w:pPr>
              <w:ind w:left="80"/>
              <w:spacing w:after="0"/>
              <w:rPr>
                <w:sz w:val="20"/>
                <w:szCs w:val="20"/>
                <w:color w:val="auto"/>
              </w:rPr>
            </w:pPr>
            <w:r>
              <w:rPr>
                <w:rFonts w:ascii="Arial" w:cs="Arial" w:eastAsia="Arial" w:hAnsi="Arial"/>
                <w:sz w:val="18"/>
                <w:szCs w:val="18"/>
                <w:color w:val="auto"/>
              </w:rPr>
              <w:t>Compensation and Reimbursement</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600" w:type="dxa"/>
            <w:vAlign w:val="bottom"/>
          </w:tcPr>
          <w:p>
            <w:pPr>
              <w:ind w:left="80"/>
              <w:spacing w:after="0"/>
              <w:rPr>
                <w:sz w:val="20"/>
                <w:szCs w:val="20"/>
                <w:color w:val="auto"/>
              </w:rPr>
            </w:pPr>
            <w:r>
              <w:rPr>
                <w:rFonts w:ascii="Arial" w:cs="Arial" w:eastAsia="Arial" w:hAnsi="Arial"/>
                <w:sz w:val="18"/>
                <w:szCs w:val="18"/>
                <w:color w:val="auto"/>
              </w:rPr>
              <w:t>Reliance on Officer’s Certificate</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600" w:type="dxa"/>
            <w:vAlign w:val="bottom"/>
          </w:tcPr>
          <w:p>
            <w:pPr>
              <w:ind w:left="80"/>
              <w:spacing w:after="0"/>
              <w:rPr>
                <w:sz w:val="20"/>
                <w:szCs w:val="20"/>
                <w:color w:val="auto"/>
              </w:rPr>
            </w:pPr>
            <w:r>
              <w:rPr>
                <w:rFonts w:ascii="Arial" w:cs="Arial" w:eastAsia="Arial" w:hAnsi="Arial"/>
                <w:sz w:val="18"/>
                <w:szCs w:val="18"/>
                <w:color w:val="auto"/>
              </w:rPr>
              <w:t>Disqualification; Conflicting Interests</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600" w:type="dxa"/>
            <w:vAlign w:val="bottom"/>
          </w:tcPr>
          <w:p>
            <w:pPr>
              <w:ind w:left="80"/>
              <w:spacing w:after="0"/>
              <w:rPr>
                <w:sz w:val="20"/>
                <w:szCs w:val="20"/>
                <w:color w:val="auto"/>
              </w:rPr>
            </w:pPr>
            <w:r>
              <w:rPr>
                <w:rFonts w:ascii="Arial" w:cs="Arial" w:eastAsia="Arial" w:hAnsi="Arial"/>
                <w:sz w:val="18"/>
                <w:szCs w:val="18"/>
                <w:color w:val="auto"/>
              </w:rPr>
              <w:t>Corporate Trustee Required; Eligibility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600" w:type="dxa"/>
            <w:vAlign w:val="bottom"/>
          </w:tcPr>
          <w:p>
            <w:pPr>
              <w:ind w:left="80"/>
              <w:spacing w:after="0"/>
              <w:rPr>
                <w:sz w:val="20"/>
                <w:szCs w:val="20"/>
                <w:color w:val="auto"/>
              </w:rPr>
            </w:pPr>
            <w:r>
              <w:rPr>
                <w:rFonts w:ascii="Arial" w:cs="Arial" w:eastAsia="Arial" w:hAnsi="Arial"/>
                <w:sz w:val="18"/>
                <w:szCs w:val="18"/>
                <w:color w:val="auto"/>
              </w:rPr>
              <w:t>Resignation and Removal; Appointment of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600" w:type="dxa"/>
            <w:vAlign w:val="bottom"/>
          </w:tcPr>
          <w:p>
            <w:pPr>
              <w:ind w:left="80"/>
              <w:spacing w:after="0"/>
              <w:rPr>
                <w:sz w:val="20"/>
                <w:szCs w:val="20"/>
                <w:color w:val="auto"/>
              </w:rPr>
            </w:pPr>
            <w:r>
              <w:rPr>
                <w:rFonts w:ascii="Arial" w:cs="Arial" w:eastAsia="Arial" w:hAnsi="Arial"/>
                <w:sz w:val="18"/>
                <w:szCs w:val="18"/>
                <w:color w:val="auto"/>
              </w:rPr>
              <w:t>Acceptance of Appointment By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600" w:type="dxa"/>
            <w:vAlign w:val="bottom"/>
          </w:tcPr>
          <w:p>
            <w:pPr>
              <w:ind w:left="80"/>
              <w:spacing w:after="0"/>
              <w:rPr>
                <w:sz w:val="20"/>
                <w:szCs w:val="20"/>
                <w:color w:val="auto"/>
              </w:rPr>
            </w:pPr>
            <w:r>
              <w:rPr>
                <w:rFonts w:ascii="Arial" w:cs="Arial" w:eastAsia="Arial" w:hAnsi="Arial"/>
                <w:sz w:val="18"/>
                <w:szCs w:val="18"/>
                <w:color w:val="auto"/>
              </w:rPr>
              <w:t>Merger, Conversion, Consolidation or Succession to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600" w:type="dxa"/>
            <w:vAlign w:val="bottom"/>
          </w:tcPr>
          <w:p>
            <w:pPr>
              <w:ind w:left="80"/>
              <w:spacing w:after="0"/>
              <w:rPr>
                <w:sz w:val="20"/>
                <w:szCs w:val="20"/>
                <w:color w:val="auto"/>
              </w:rPr>
            </w:pPr>
            <w:r>
              <w:rPr>
                <w:rFonts w:ascii="Arial" w:cs="Arial" w:eastAsia="Arial" w:hAnsi="Arial"/>
                <w:sz w:val="18"/>
                <w:szCs w:val="18"/>
                <w:color w:val="auto"/>
              </w:rPr>
              <w:t>Preferential Collection of Claims Against the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600" w:type="dxa"/>
            <w:vAlign w:val="bottom"/>
          </w:tcPr>
          <w:p>
            <w:pPr>
              <w:ind w:left="80"/>
              <w:spacing w:after="0"/>
              <w:rPr>
                <w:sz w:val="20"/>
                <w:szCs w:val="20"/>
                <w:color w:val="auto"/>
              </w:rPr>
            </w:pPr>
            <w:r>
              <w:rPr>
                <w:rFonts w:ascii="Arial" w:cs="Arial" w:eastAsia="Arial" w:hAnsi="Arial"/>
                <w:sz w:val="18"/>
                <w:szCs w:val="18"/>
                <w:color w:val="auto"/>
              </w:rPr>
              <w:t>Notice of Default</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8 CONCERNING THE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4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600" w:type="dxa"/>
            <w:vAlign w:val="bottom"/>
          </w:tcPr>
          <w:p>
            <w:pPr>
              <w:ind w:left="80"/>
              <w:spacing w:after="0"/>
              <w:rPr>
                <w:sz w:val="20"/>
                <w:szCs w:val="20"/>
                <w:color w:val="auto"/>
              </w:rPr>
            </w:pPr>
            <w:r>
              <w:rPr>
                <w:rFonts w:ascii="Arial" w:cs="Arial" w:eastAsia="Arial" w:hAnsi="Arial"/>
                <w:sz w:val="18"/>
                <w:szCs w:val="18"/>
                <w:color w:val="auto"/>
              </w:rPr>
              <w:t>Evidence of Action by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600" w:type="dxa"/>
            <w:vAlign w:val="bottom"/>
          </w:tcPr>
          <w:p>
            <w:pPr>
              <w:ind w:left="80"/>
              <w:spacing w:after="0"/>
              <w:rPr>
                <w:sz w:val="20"/>
                <w:szCs w:val="20"/>
                <w:color w:val="auto"/>
              </w:rPr>
            </w:pPr>
            <w:r>
              <w:rPr>
                <w:rFonts w:ascii="Arial" w:cs="Arial" w:eastAsia="Arial" w:hAnsi="Arial"/>
                <w:sz w:val="18"/>
                <w:szCs w:val="18"/>
                <w:color w:val="auto"/>
              </w:rPr>
              <w:t>Proof of Execution by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600" w:type="dxa"/>
            <w:vAlign w:val="bottom"/>
          </w:tcPr>
          <w:p>
            <w:pPr>
              <w:ind w:left="80"/>
              <w:spacing w:after="0"/>
              <w:rPr>
                <w:sz w:val="20"/>
                <w:szCs w:val="20"/>
                <w:color w:val="auto"/>
              </w:rPr>
            </w:pPr>
            <w:r>
              <w:rPr>
                <w:rFonts w:ascii="Arial" w:cs="Arial" w:eastAsia="Arial" w:hAnsi="Arial"/>
                <w:sz w:val="18"/>
                <w:szCs w:val="18"/>
                <w:color w:val="auto"/>
              </w:rPr>
              <w:t>Who May be Deemed Owners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600" w:type="dxa"/>
            <w:vAlign w:val="bottom"/>
          </w:tcPr>
          <w:p>
            <w:pPr>
              <w:ind w:left="80"/>
              <w:spacing w:after="0"/>
              <w:rPr>
                <w:sz w:val="20"/>
                <w:szCs w:val="20"/>
                <w:color w:val="auto"/>
              </w:rPr>
            </w:pPr>
            <w:r>
              <w:rPr>
                <w:rFonts w:ascii="Arial" w:cs="Arial" w:eastAsia="Arial" w:hAnsi="Arial"/>
                <w:sz w:val="18"/>
                <w:szCs w:val="18"/>
                <w:color w:val="auto"/>
              </w:rPr>
              <w:t>Certain Securities Owned by Company Disregarded</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600" w:type="dxa"/>
            <w:vAlign w:val="bottom"/>
          </w:tcPr>
          <w:p>
            <w:pPr>
              <w:ind w:left="80"/>
              <w:spacing w:after="0"/>
              <w:rPr>
                <w:sz w:val="20"/>
                <w:szCs w:val="20"/>
                <w:color w:val="auto"/>
              </w:rPr>
            </w:pPr>
            <w:r>
              <w:rPr>
                <w:rFonts w:ascii="Arial" w:cs="Arial" w:eastAsia="Arial" w:hAnsi="Arial"/>
                <w:sz w:val="18"/>
                <w:szCs w:val="18"/>
                <w:color w:val="auto"/>
              </w:rPr>
              <w:t>Actions Binding on Future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4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600" w:type="dxa"/>
            <w:vAlign w:val="bottom"/>
          </w:tcPr>
          <w:p>
            <w:pPr>
              <w:ind w:left="80"/>
              <w:spacing w:after="0"/>
              <w:rPr>
                <w:sz w:val="20"/>
                <w:szCs w:val="20"/>
                <w:color w:val="auto"/>
              </w:rPr>
            </w:pPr>
            <w:r>
              <w:rPr>
                <w:rFonts w:ascii="Arial" w:cs="Arial" w:eastAsia="Arial" w:hAnsi="Arial"/>
                <w:sz w:val="18"/>
                <w:szCs w:val="18"/>
                <w:color w:val="auto"/>
              </w:rPr>
              <w:t>Supplemental Indentures Without the Consent of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600" w:type="dxa"/>
            <w:vAlign w:val="bottom"/>
          </w:tcPr>
          <w:p>
            <w:pPr>
              <w:ind w:left="80"/>
              <w:spacing w:after="0"/>
              <w:rPr>
                <w:sz w:val="20"/>
                <w:szCs w:val="20"/>
                <w:color w:val="auto"/>
              </w:rPr>
            </w:pPr>
            <w:r>
              <w:rPr>
                <w:rFonts w:ascii="Arial" w:cs="Arial" w:eastAsia="Arial" w:hAnsi="Arial"/>
                <w:sz w:val="18"/>
                <w:szCs w:val="18"/>
                <w:color w:val="auto"/>
              </w:rPr>
              <w:t>Supplemental Indentures With Consent of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600" w:type="dxa"/>
            <w:vAlign w:val="bottom"/>
          </w:tcPr>
          <w:p>
            <w:pPr>
              <w:ind w:left="80"/>
              <w:spacing w:after="0"/>
              <w:rPr>
                <w:sz w:val="20"/>
                <w:szCs w:val="20"/>
                <w:color w:val="auto"/>
              </w:rPr>
            </w:pPr>
            <w:r>
              <w:rPr>
                <w:rFonts w:ascii="Arial" w:cs="Arial" w:eastAsia="Arial" w:hAnsi="Arial"/>
                <w:sz w:val="18"/>
                <w:szCs w:val="18"/>
                <w:color w:val="auto"/>
              </w:rPr>
              <w:t>Effect of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600" w:type="dxa"/>
            <w:vAlign w:val="bottom"/>
          </w:tcPr>
          <w:p>
            <w:pPr>
              <w:ind w:left="80"/>
              <w:spacing w:after="0"/>
              <w:rPr>
                <w:sz w:val="20"/>
                <w:szCs w:val="20"/>
                <w:color w:val="auto"/>
              </w:rPr>
            </w:pPr>
            <w:r>
              <w:rPr>
                <w:rFonts w:ascii="Arial" w:cs="Arial" w:eastAsia="Arial" w:hAnsi="Arial"/>
                <w:sz w:val="18"/>
                <w:szCs w:val="18"/>
                <w:color w:val="auto"/>
              </w:rPr>
              <w:t>Securities Affected by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600" w:type="dxa"/>
            <w:vAlign w:val="bottom"/>
          </w:tcPr>
          <w:p>
            <w:pPr>
              <w:ind w:left="80"/>
              <w:spacing w:after="0"/>
              <w:rPr>
                <w:sz w:val="20"/>
                <w:szCs w:val="20"/>
                <w:color w:val="auto"/>
              </w:rPr>
            </w:pPr>
            <w:r>
              <w:rPr>
                <w:rFonts w:ascii="Arial" w:cs="Arial" w:eastAsia="Arial" w:hAnsi="Arial"/>
                <w:sz w:val="18"/>
                <w:szCs w:val="18"/>
                <w:color w:val="auto"/>
              </w:rPr>
              <w:t>Execution of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10 SUCCESSOR ENTITY</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10.01</w:t>
            </w:r>
          </w:p>
        </w:tc>
        <w:tc>
          <w:tcPr>
            <w:tcW w:w="7600" w:type="dxa"/>
            <w:vAlign w:val="bottom"/>
          </w:tcPr>
          <w:p>
            <w:pPr>
              <w:ind w:left="80"/>
              <w:spacing w:after="0"/>
              <w:rPr>
                <w:sz w:val="20"/>
                <w:szCs w:val="20"/>
                <w:color w:val="auto"/>
              </w:rPr>
            </w:pPr>
            <w:r>
              <w:rPr>
                <w:rFonts w:ascii="Arial" w:cs="Arial" w:eastAsia="Arial" w:hAnsi="Arial"/>
                <w:sz w:val="18"/>
                <w:szCs w:val="18"/>
                <w:color w:val="auto"/>
              </w:rPr>
              <w:t>Company May Consolidate, Etc.</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10.02</w:t>
            </w:r>
          </w:p>
        </w:tc>
        <w:tc>
          <w:tcPr>
            <w:tcW w:w="7600" w:type="dxa"/>
            <w:vAlign w:val="bottom"/>
          </w:tcPr>
          <w:p>
            <w:pPr>
              <w:ind w:left="80"/>
              <w:spacing w:after="0"/>
              <w:rPr>
                <w:sz w:val="20"/>
                <w:szCs w:val="20"/>
                <w:color w:val="auto"/>
              </w:rPr>
            </w:pPr>
            <w:r>
              <w:rPr>
                <w:rFonts w:ascii="Arial" w:cs="Arial" w:eastAsia="Arial" w:hAnsi="Arial"/>
                <w:sz w:val="18"/>
                <w:szCs w:val="18"/>
                <w:color w:val="auto"/>
              </w:rPr>
              <w:t>Successor Entity Substituted</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11.01</w:t>
            </w:r>
          </w:p>
        </w:tc>
        <w:tc>
          <w:tcPr>
            <w:tcW w:w="7600" w:type="dxa"/>
            <w:vAlign w:val="bottom"/>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11.02</w:t>
            </w:r>
          </w:p>
        </w:tc>
        <w:tc>
          <w:tcPr>
            <w:tcW w:w="7600" w:type="dxa"/>
            <w:vAlign w:val="bottom"/>
          </w:tcPr>
          <w:p>
            <w:pPr>
              <w:ind w:left="80"/>
              <w:spacing w:after="0"/>
              <w:rPr>
                <w:sz w:val="20"/>
                <w:szCs w:val="20"/>
                <w:color w:val="auto"/>
              </w:rPr>
            </w:pPr>
            <w:r>
              <w:rPr>
                <w:rFonts w:ascii="Arial" w:cs="Arial" w:eastAsia="Arial" w:hAnsi="Arial"/>
                <w:sz w:val="18"/>
                <w:szCs w:val="18"/>
                <w:color w:val="auto"/>
              </w:rPr>
              <w:t>Discharge of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11.03</w:t>
            </w:r>
          </w:p>
        </w:tc>
        <w:tc>
          <w:tcPr>
            <w:tcW w:w="7600" w:type="dxa"/>
            <w:vAlign w:val="bottom"/>
          </w:tcPr>
          <w:p>
            <w:pPr>
              <w:ind w:left="80"/>
              <w:spacing w:after="0"/>
              <w:rPr>
                <w:sz w:val="20"/>
                <w:szCs w:val="20"/>
                <w:color w:val="auto"/>
              </w:rPr>
            </w:pPr>
            <w:r>
              <w:rPr>
                <w:rFonts w:ascii="Arial" w:cs="Arial" w:eastAsia="Arial" w:hAnsi="Arial"/>
                <w:sz w:val="18"/>
                <w:szCs w:val="18"/>
                <w:color w:val="auto"/>
              </w:rPr>
              <w:t>Deposited Moneys to be Held in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11.04</w:t>
            </w:r>
          </w:p>
        </w:tc>
        <w:tc>
          <w:tcPr>
            <w:tcW w:w="7600" w:type="dxa"/>
            <w:vAlign w:val="bottom"/>
          </w:tcPr>
          <w:p>
            <w:pPr>
              <w:ind w:left="80"/>
              <w:spacing w:after="0"/>
              <w:rPr>
                <w:sz w:val="20"/>
                <w:szCs w:val="20"/>
                <w:color w:val="auto"/>
              </w:rPr>
            </w:pPr>
            <w:r>
              <w:rPr>
                <w:rFonts w:ascii="Arial" w:cs="Arial" w:eastAsia="Arial" w:hAnsi="Arial"/>
                <w:sz w:val="18"/>
                <w:szCs w:val="18"/>
                <w:color w:val="auto"/>
              </w:rPr>
              <w:t>Payment of Moneys Held by Paying Agents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11.05</w:t>
            </w:r>
          </w:p>
        </w:tc>
        <w:tc>
          <w:tcPr>
            <w:tcW w:w="7600" w:type="dxa"/>
            <w:vAlign w:val="bottom"/>
          </w:tcPr>
          <w:p>
            <w:pPr>
              <w:ind w:left="80"/>
              <w:spacing w:after="0"/>
              <w:rPr>
                <w:sz w:val="20"/>
                <w:szCs w:val="20"/>
                <w:color w:val="auto"/>
              </w:rPr>
            </w:pPr>
            <w:r>
              <w:rPr>
                <w:rFonts w:ascii="Arial" w:cs="Arial" w:eastAsia="Arial" w:hAnsi="Arial"/>
                <w:sz w:val="18"/>
                <w:szCs w:val="18"/>
                <w:color w:val="auto"/>
              </w:rPr>
              <w:t>Repayment to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12.01</w:t>
            </w:r>
          </w:p>
        </w:tc>
        <w:tc>
          <w:tcPr>
            <w:tcW w:w="7600" w:type="dxa"/>
            <w:vAlign w:val="bottom"/>
          </w:tcPr>
          <w:p>
            <w:pPr>
              <w:ind w:left="80"/>
              <w:spacing w:after="0"/>
              <w:rPr>
                <w:sz w:val="20"/>
                <w:szCs w:val="20"/>
                <w:color w:val="auto"/>
              </w:rPr>
            </w:pPr>
            <w:r>
              <w:rPr>
                <w:rFonts w:ascii="Arial" w:cs="Arial" w:eastAsia="Arial" w:hAnsi="Arial"/>
                <w:sz w:val="18"/>
                <w:szCs w:val="18"/>
                <w:color w:val="auto"/>
              </w:rPr>
              <w:t>No Recourse</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13.01</w:t>
            </w:r>
          </w:p>
        </w:tc>
        <w:tc>
          <w:tcPr>
            <w:tcW w:w="7600" w:type="dxa"/>
            <w:vAlign w:val="bottom"/>
          </w:tcPr>
          <w:p>
            <w:pPr>
              <w:ind w:left="80"/>
              <w:spacing w:after="0"/>
              <w:rPr>
                <w:sz w:val="20"/>
                <w:szCs w:val="20"/>
                <w:color w:val="auto"/>
              </w:rPr>
            </w:pPr>
            <w:r>
              <w:rPr>
                <w:rFonts w:ascii="Arial" w:cs="Arial" w:eastAsia="Arial" w:hAnsi="Arial"/>
                <w:sz w:val="18"/>
                <w:szCs w:val="18"/>
                <w:color w:val="auto"/>
              </w:rPr>
              <w:t>Effect on 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13.02</w:t>
            </w:r>
          </w:p>
        </w:tc>
        <w:tc>
          <w:tcPr>
            <w:tcW w:w="7600" w:type="dxa"/>
            <w:vAlign w:val="bottom"/>
          </w:tcPr>
          <w:p>
            <w:pPr>
              <w:ind w:left="80"/>
              <w:spacing w:after="0"/>
              <w:rPr>
                <w:sz w:val="20"/>
                <w:szCs w:val="20"/>
                <w:color w:val="auto"/>
              </w:rPr>
            </w:pPr>
            <w:r>
              <w:rPr>
                <w:rFonts w:ascii="Arial" w:cs="Arial" w:eastAsia="Arial" w:hAnsi="Arial"/>
                <w:sz w:val="18"/>
                <w:szCs w:val="18"/>
                <w:color w:val="auto"/>
              </w:rPr>
              <w:t>Actions by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13.03</w:t>
            </w:r>
          </w:p>
        </w:tc>
        <w:tc>
          <w:tcPr>
            <w:tcW w:w="7600" w:type="dxa"/>
            <w:vAlign w:val="bottom"/>
          </w:tcPr>
          <w:p>
            <w:pPr>
              <w:ind w:left="80"/>
              <w:spacing w:after="0"/>
              <w:rPr>
                <w:sz w:val="20"/>
                <w:szCs w:val="20"/>
                <w:color w:val="auto"/>
              </w:rPr>
            </w:pPr>
            <w:r>
              <w:rPr>
                <w:rFonts w:ascii="Arial" w:cs="Arial" w:eastAsia="Arial" w:hAnsi="Arial"/>
                <w:sz w:val="18"/>
                <w:szCs w:val="18"/>
                <w:color w:val="auto"/>
              </w:rPr>
              <w:t>Surrender of Company Powers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13.04</w:t>
            </w:r>
          </w:p>
        </w:tc>
        <w:tc>
          <w:tcPr>
            <w:tcW w:w="7600" w:type="dxa"/>
            <w:vAlign w:val="bottom"/>
          </w:tcPr>
          <w:p>
            <w:pPr>
              <w:ind w:left="8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13.05</w:t>
            </w:r>
          </w:p>
        </w:tc>
        <w:tc>
          <w:tcPr>
            <w:tcW w:w="760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13.06</w:t>
            </w:r>
          </w:p>
        </w:tc>
        <w:tc>
          <w:tcPr>
            <w:tcW w:w="7600" w:type="dxa"/>
            <w:vAlign w:val="bottom"/>
          </w:tcPr>
          <w:p>
            <w:pPr>
              <w:ind w:left="80"/>
              <w:spacing w:after="0"/>
              <w:rPr>
                <w:sz w:val="20"/>
                <w:szCs w:val="20"/>
                <w:color w:val="auto"/>
              </w:rPr>
            </w:pPr>
            <w:r>
              <w:rPr>
                <w:rFonts w:ascii="Arial" w:cs="Arial" w:eastAsia="Arial" w:hAnsi="Arial"/>
                <w:sz w:val="18"/>
                <w:szCs w:val="18"/>
                <w:color w:val="auto"/>
              </w:rPr>
              <w:t>Treatment of Securities as Debt</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13.07</w:t>
            </w:r>
          </w:p>
        </w:tc>
        <w:tc>
          <w:tcPr>
            <w:tcW w:w="7600" w:type="dxa"/>
            <w:vAlign w:val="bottom"/>
          </w:tcPr>
          <w:p>
            <w:pPr>
              <w:ind w:left="80"/>
              <w:spacing w:after="0"/>
              <w:rPr>
                <w:sz w:val="20"/>
                <w:szCs w:val="20"/>
                <w:color w:val="auto"/>
              </w:rPr>
            </w:pPr>
            <w:r>
              <w:rPr>
                <w:rFonts w:ascii="Arial" w:cs="Arial" w:eastAsia="Arial" w:hAnsi="Arial"/>
                <w:sz w:val="18"/>
                <w:szCs w:val="18"/>
                <w:color w:val="auto"/>
              </w:rPr>
              <w:t>Certificates and Opinions as to Conditions Precedent.</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13.08</w:t>
            </w:r>
          </w:p>
        </w:tc>
        <w:tc>
          <w:tcPr>
            <w:tcW w:w="7600" w:type="dxa"/>
            <w:vAlign w:val="bottom"/>
          </w:tcPr>
          <w:p>
            <w:pPr>
              <w:ind w:left="80"/>
              <w:spacing w:after="0"/>
              <w:rPr>
                <w:sz w:val="20"/>
                <w:szCs w:val="20"/>
                <w:color w:val="auto"/>
              </w:rPr>
            </w:pPr>
            <w:r>
              <w:rPr>
                <w:rFonts w:ascii="Arial" w:cs="Arial" w:eastAsia="Arial" w:hAnsi="Arial"/>
                <w:sz w:val="18"/>
                <w:szCs w:val="18"/>
                <w:color w:val="auto"/>
              </w:rPr>
              <w:t>Payments on Business Days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13.09</w:t>
            </w:r>
          </w:p>
        </w:tc>
        <w:tc>
          <w:tcPr>
            <w:tcW w:w="7600" w:type="dxa"/>
            <w:vAlign w:val="bottom"/>
          </w:tcPr>
          <w:p>
            <w:pPr>
              <w:ind w:left="80"/>
              <w:spacing w:after="0"/>
              <w:rPr>
                <w:sz w:val="20"/>
                <w:szCs w:val="20"/>
                <w:color w:val="auto"/>
              </w:rPr>
            </w:pPr>
            <w:r>
              <w:rPr>
                <w:rFonts w:ascii="Arial" w:cs="Arial" w:eastAsia="Arial" w:hAnsi="Arial"/>
                <w:sz w:val="18"/>
                <w:szCs w:val="18"/>
                <w:color w:val="auto"/>
              </w:rPr>
              <w:t>Conflict with Trust Indenture Act</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13.10</w:t>
            </w:r>
          </w:p>
        </w:tc>
        <w:tc>
          <w:tcPr>
            <w:tcW w:w="760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13.11</w:t>
            </w:r>
          </w:p>
        </w:tc>
        <w:tc>
          <w:tcPr>
            <w:tcW w:w="7600" w:type="dxa"/>
            <w:vAlign w:val="bottom"/>
          </w:tcPr>
          <w:p>
            <w:pPr>
              <w:ind w:left="80"/>
              <w:spacing w:after="0"/>
              <w:rPr>
                <w:sz w:val="20"/>
                <w:szCs w:val="20"/>
                <w:color w:val="auto"/>
              </w:rPr>
            </w:pPr>
            <w:r>
              <w:rPr>
                <w:rFonts w:ascii="Arial" w:cs="Arial" w:eastAsia="Arial" w:hAnsi="Arial"/>
                <w:sz w:val="18"/>
                <w:szCs w:val="18"/>
                <w:color w:val="auto"/>
              </w:rPr>
              <w:t>Separability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13.12</w:t>
            </w:r>
          </w:p>
        </w:tc>
        <w:tc>
          <w:tcPr>
            <w:tcW w:w="7600" w:type="dxa"/>
            <w:vAlign w:val="bottom"/>
          </w:tcPr>
          <w:p>
            <w:pPr>
              <w:ind w:left="80"/>
              <w:spacing w:after="0"/>
              <w:rPr>
                <w:sz w:val="20"/>
                <w:szCs w:val="20"/>
                <w:color w:val="auto"/>
              </w:rPr>
            </w:pPr>
            <w:r>
              <w:rPr>
                <w:rFonts w:ascii="Arial" w:cs="Arial" w:eastAsia="Arial" w:hAnsi="Arial"/>
                <w:sz w:val="18"/>
                <w:szCs w:val="18"/>
                <w:color w:val="auto"/>
              </w:rPr>
              <w:t>Compliance Certificates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dated as of [ ], among</w:t>
      </w:r>
      <w:r>
        <w:rPr>
          <w:rFonts w:ascii="Arial" w:cs="Arial" w:eastAsia="Arial" w:hAnsi="Arial"/>
          <w:sz w:val="18"/>
          <w:szCs w:val="18"/>
          <w:b w:val="1"/>
          <w:bCs w:val="1"/>
          <w:color w:val="auto"/>
        </w:rPr>
        <w:t xml:space="preserve"> DISC MEDICINE, INC., </w:t>
      </w:r>
      <w:r>
        <w:rPr>
          <w:rFonts w:ascii="Arial" w:cs="Arial" w:eastAsia="Arial" w:hAnsi="Arial"/>
          <w:sz w:val="18"/>
          <w:szCs w:val="18"/>
          <w:color w:val="auto"/>
        </w:rPr>
        <w:t>a Delaware corporation (the “Company”), and [</w:t>
      </w: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its lawful corporate purposes, the Company has duly authorized the execution and delivery of this Indenture to provide for the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5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for the equal and ratable benefit of the holders of Securities: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 of Terms</w:t>
      </w:r>
      <w:r>
        <w:rPr>
          <w:rFonts w:ascii="Arial" w:cs="Arial" w:eastAsia="Arial" w:hAnsi="Arial"/>
          <w:sz w:val="16"/>
          <w:szCs w:val="16"/>
          <w:color w:val="auto"/>
        </w:rPr>
        <w:t>.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an authenticating agent with respect to all or any of the series of Securities appointed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Disc Medicine,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4" w:name="page55"/>
    <w:bookmarkEnd w:id="54"/>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w:t>
      </w:r>
      <w:r>
        <w:rPr>
          <w:rFonts w:ascii="Arial" w:cs="Arial" w:eastAsia="Arial" w:hAnsi="Arial"/>
          <w:sz w:val="18"/>
          <w:szCs w:val="18"/>
          <w:b w:val="1"/>
          <w:bCs w:val="1"/>
          <w:i w:val="1"/>
          <w:i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firstLine="436"/>
        <w:spacing w:after="0" w:line="263"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partnership in which such Person or a subsidiary of such Person is, at the date of determination, a general partner of such partnership; or</w:t>
      </w:r>
    </w:p>
    <w:p>
      <w:pPr>
        <w:spacing w:after="0" w:line="248"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w:t>
      </w:r>
      <w:r>
        <w:rPr>
          <w:rFonts w:ascii="Arial" w:cs="Arial" w:eastAsia="Arial" w:hAnsi="Arial"/>
          <w:sz w:val="18"/>
          <w:szCs w:val="18"/>
          <w:b w:val="1"/>
          <w:bCs w:val="1"/>
          <w:color w:val="auto"/>
        </w:rPr>
        <w:t>TRUSTEE</w:t>
      </w:r>
      <w:r>
        <w:rPr>
          <w:rFonts w:ascii="Arial" w:cs="Arial" w:eastAsia="Arial" w:hAnsi="Arial"/>
          <w:sz w:val="18"/>
          <w:szCs w:val="18"/>
          <w:color w:val="auto"/>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2.01 Designation and Terms of Securities.</w:t>
      </w:r>
    </w:p>
    <w:p>
      <w:pPr>
        <w:spacing w:after="0" w:line="225" w:lineRule="exact"/>
        <w:rPr>
          <w:sz w:val="20"/>
          <w:szCs w:val="20"/>
          <w:color w:val="auto"/>
        </w:rPr>
      </w:pPr>
    </w:p>
    <w:p>
      <w:pPr>
        <w:ind w:right="100" w:firstLine="436"/>
        <w:spacing w:after="0" w:line="301"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57" w:lineRule="exact"/>
        <w:rPr>
          <w:rFonts w:ascii="Arial" w:cs="Arial" w:eastAsia="Arial" w:hAnsi="Arial"/>
          <w:sz w:val="16"/>
          <w:szCs w:val="16"/>
          <w:color w:val="auto"/>
        </w:rPr>
      </w:pPr>
    </w:p>
    <w:p>
      <w:pPr>
        <w:ind w:left="1240" w:hanging="253"/>
        <w:spacing w:after="0"/>
        <w:tabs>
          <w:tab w:leader="none" w:pos="1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color w:val="auto"/>
        </w:rPr>
      </w:pPr>
    </w:p>
    <w:p>
      <w:pPr>
        <w:jc w:val="both"/>
        <w:ind w:right="420" w:firstLine="987"/>
        <w:spacing w:after="0" w:line="263" w:lineRule="auto"/>
        <w:tabs>
          <w:tab w:leader="none" w:pos="12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right="20" w:firstLine="987"/>
        <w:spacing w:after="0" w:line="259" w:lineRule="auto"/>
        <w:tabs>
          <w:tab w:leader="none" w:pos="12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ind w:right="40" w:firstLine="987"/>
        <w:spacing w:after="0" w:line="263" w:lineRule="auto"/>
        <w:tabs>
          <w:tab w:leader="none" w:pos="12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225" w:lineRule="exact"/>
        <w:rPr>
          <w:rFonts w:ascii="Arial" w:cs="Arial" w:eastAsia="Arial" w:hAnsi="Arial"/>
          <w:sz w:val="18"/>
          <w:szCs w:val="18"/>
          <w:color w:val="auto"/>
        </w:rPr>
      </w:pPr>
    </w:p>
    <w:p>
      <w:pPr>
        <w:ind w:firstLine="987"/>
        <w:spacing w:after="0" w:line="277" w:lineRule="auto"/>
        <w:tabs>
          <w:tab w:leader="none" w:pos="12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170" w:lineRule="exact"/>
        <w:rPr>
          <w:rFonts w:ascii="Arial" w:cs="Arial" w:eastAsia="Arial" w:hAnsi="Arial"/>
          <w:sz w:val="18"/>
          <w:szCs w:val="18"/>
          <w:color w:val="auto"/>
        </w:rPr>
      </w:pPr>
    </w:p>
    <w:p>
      <w:pPr>
        <w:ind w:right="280" w:firstLine="987"/>
        <w:spacing w:after="0" w:line="259" w:lineRule="auto"/>
        <w:tabs>
          <w:tab w:leader="none" w:pos="120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right="400" w:firstLine="987"/>
        <w:spacing w:after="0" w:line="277" w:lineRule="auto"/>
        <w:tabs>
          <w:tab w:leader="none" w:pos="12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6" w:name="page57"/>
    <w:bookmarkEnd w:id="56"/>
    <w:p>
      <w:pPr>
        <w:ind w:left="-60" w:right="100" w:firstLine="987"/>
        <w:spacing w:after="0" w:line="279" w:lineRule="auto"/>
        <w:tabs>
          <w:tab w:leader="none" w:pos="1146"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1" w:lineRule="exact"/>
        <w:rPr>
          <w:rFonts w:ascii="Arial" w:cs="Arial" w:eastAsia="Arial" w:hAnsi="Arial"/>
          <w:sz w:val="17"/>
          <w:szCs w:val="17"/>
          <w:color w:val="auto"/>
        </w:rPr>
      </w:pPr>
    </w:p>
    <w:p>
      <w:pPr>
        <w:ind w:left="-60" w:right="300" w:firstLine="987"/>
        <w:spacing w:after="0" w:line="263" w:lineRule="auto"/>
        <w:tabs>
          <w:tab w:leader="none" w:pos="12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3" w:lineRule="exact"/>
        <w:rPr>
          <w:rFonts w:ascii="Arial" w:cs="Arial" w:eastAsia="Arial" w:hAnsi="Arial"/>
          <w:sz w:val="18"/>
          <w:szCs w:val="18"/>
          <w:color w:val="auto"/>
        </w:rPr>
      </w:pPr>
    </w:p>
    <w:p>
      <w:pPr>
        <w:ind w:left="-60" w:right="140" w:firstLine="987"/>
        <w:spacing w:after="0" w:line="279" w:lineRule="auto"/>
        <w:tabs>
          <w:tab w:leader="none" w:pos="1186" w:val="left"/>
        </w:tabs>
        <w:numPr>
          <w:ilvl w:val="0"/>
          <w:numId w:val="47"/>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1" w:lineRule="exact"/>
        <w:rPr>
          <w:rFonts w:ascii="Arial" w:cs="Arial" w:eastAsia="Arial" w:hAnsi="Arial"/>
          <w:sz w:val="17"/>
          <w:szCs w:val="17"/>
          <w:color w:val="auto"/>
        </w:rPr>
      </w:pPr>
    </w:p>
    <w:p>
      <w:pPr>
        <w:ind w:left="-60" w:right="280" w:firstLine="987"/>
        <w:spacing w:after="0" w:line="277" w:lineRule="auto"/>
        <w:tabs>
          <w:tab w:leader="none" w:pos="1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left="1180" w:hanging="253"/>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225" w:lineRule="exact"/>
        <w:rPr>
          <w:rFonts w:ascii="Arial" w:cs="Arial" w:eastAsia="Arial" w:hAnsi="Arial"/>
          <w:sz w:val="18"/>
          <w:szCs w:val="18"/>
          <w:color w:val="auto"/>
        </w:rPr>
      </w:pPr>
    </w:p>
    <w:p>
      <w:pPr>
        <w:ind w:left="-60" w:firstLine="987"/>
        <w:spacing w:after="0" w:line="254" w:lineRule="auto"/>
        <w:tabs>
          <w:tab w:leader="none" w:pos="1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Arial" w:cs="Arial" w:eastAsia="Arial" w:hAnsi="Arial"/>
          <w:sz w:val="18"/>
          <w:szCs w:val="18"/>
          <w:color w:val="auto"/>
        </w:rPr>
      </w:pPr>
    </w:p>
    <w:p>
      <w:pPr>
        <w:ind w:left="-60" w:right="100" w:firstLine="987"/>
        <w:spacing w:after="0" w:line="286" w:lineRule="auto"/>
        <w:tabs>
          <w:tab w:leader="none" w:pos="115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65" w:lineRule="exact"/>
        <w:rPr>
          <w:rFonts w:ascii="Arial" w:cs="Arial" w:eastAsia="Arial" w:hAnsi="Arial"/>
          <w:sz w:val="17"/>
          <w:szCs w:val="17"/>
          <w:color w:val="auto"/>
        </w:rPr>
      </w:pPr>
    </w:p>
    <w:p>
      <w:pPr>
        <w:jc w:val="both"/>
        <w:ind w:left="-60" w:right="160" w:firstLine="987"/>
        <w:spacing w:after="0" w:line="263" w:lineRule="auto"/>
        <w:tabs>
          <w:tab w:leader="none" w:pos="11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83" w:lineRule="exact"/>
        <w:rPr>
          <w:rFonts w:ascii="Arial" w:cs="Arial" w:eastAsia="Arial" w:hAnsi="Arial"/>
          <w:sz w:val="18"/>
          <w:szCs w:val="18"/>
          <w:color w:val="auto"/>
        </w:rPr>
      </w:pPr>
    </w:p>
    <w:p>
      <w:pPr>
        <w:ind w:left="-60" w:right="360" w:firstLine="987"/>
        <w:spacing w:after="0" w:line="277" w:lineRule="auto"/>
        <w:tabs>
          <w:tab w:leader="none" w:pos="11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70" w:lineRule="exact"/>
        <w:rPr>
          <w:rFonts w:ascii="Arial" w:cs="Arial" w:eastAsia="Arial" w:hAnsi="Arial"/>
          <w:sz w:val="18"/>
          <w:szCs w:val="18"/>
          <w:color w:val="auto"/>
        </w:rPr>
      </w:pPr>
    </w:p>
    <w:p>
      <w:pPr>
        <w:ind w:left="-60" w:right="300" w:firstLine="987"/>
        <w:spacing w:after="0" w:line="308" w:lineRule="auto"/>
        <w:tabs>
          <w:tab w:leader="none" w:pos="118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46" w:lineRule="exact"/>
        <w:rPr>
          <w:rFonts w:ascii="Arial" w:cs="Arial" w:eastAsia="Arial" w:hAnsi="Arial"/>
          <w:sz w:val="17"/>
          <w:szCs w:val="17"/>
          <w:color w:val="auto"/>
        </w:rPr>
      </w:pPr>
    </w:p>
    <w:p>
      <w:pPr>
        <w:ind w:left="1180" w:hanging="253"/>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or alternative provisions, if any, related to defeasance and discharge of the offered Securities;</w:t>
      </w:r>
    </w:p>
    <w:p>
      <w:pPr>
        <w:spacing w:after="0" w:line="225" w:lineRule="exact"/>
        <w:rPr>
          <w:rFonts w:ascii="Arial" w:cs="Arial" w:eastAsia="Arial" w:hAnsi="Arial"/>
          <w:sz w:val="18"/>
          <w:szCs w:val="18"/>
          <w:color w:val="auto"/>
        </w:rPr>
      </w:pPr>
    </w:p>
    <w:p>
      <w:pPr>
        <w:ind w:left="1220" w:hanging="293"/>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1180" w:hanging="253"/>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225" w:lineRule="exact"/>
        <w:rPr>
          <w:rFonts w:ascii="Arial" w:cs="Arial" w:eastAsia="Arial" w:hAnsi="Arial"/>
          <w:sz w:val="18"/>
          <w:szCs w:val="18"/>
          <w:color w:val="auto"/>
        </w:rPr>
      </w:pPr>
    </w:p>
    <w:p>
      <w:pPr>
        <w:ind w:left="1180" w:hanging="253"/>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-4536440</wp:posOffset>
            </wp:positionV>
            <wp:extent cx="2603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57" w:name="page58"/>
    <w:bookmarkEnd w:id="5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Form of Securities and Trustee’s Certificate</w:t>
      </w:r>
      <w:r>
        <w:rPr>
          <w:rFonts w:ascii="Arial" w:cs="Arial" w:eastAsia="Arial" w:hAnsi="Arial"/>
          <w:sz w:val="17"/>
          <w:szCs w:val="17"/>
          <w:color w:val="auto"/>
        </w:rPr>
        <w:t>. 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Denominations: Provisions for Payment</w:t>
      </w:r>
      <w:r>
        <w:rPr>
          <w:rFonts w:ascii="Arial" w:cs="Arial" w:eastAsia="Arial" w:hAnsi="Arial"/>
          <w:sz w:val="16"/>
          <w:szCs w:val="16"/>
          <w:color w:val="auto"/>
        </w:rPr>
        <w:t>. 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ind w:firstLine="436"/>
        <w:spacing w:after="0" w:line="286"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8" w:name="page59"/>
    <w:bookmarkEnd w:id="58"/>
    <w:p>
      <w:pPr>
        <w:ind w:firstLine="436"/>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 The Securities shall be signed on behalf of the Company by one of its Officers. Signatures may be in the form of a manual or facsimile signature.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96"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1" w:lineRule="exact"/>
        <w:rPr>
          <w:rFonts w:ascii="Arial" w:cs="Arial" w:eastAsia="Arial" w:hAnsi="Arial"/>
          <w:sz w:val="16"/>
          <w:szCs w:val="16"/>
          <w:color w:val="auto"/>
        </w:rPr>
      </w:pPr>
    </w:p>
    <w:p>
      <w:pPr>
        <w:ind w:right="20" w:firstLine="436"/>
        <w:spacing w:after="0" w:line="301"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9" w:name="page60"/>
    <w:bookmarkEnd w:id="59"/>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right="200" w:firstLine="436"/>
        <w:spacing w:after="0" w:line="301"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57" w:lineRule="exact"/>
        <w:rPr>
          <w:rFonts w:ascii="Arial" w:cs="Arial" w:eastAsia="Arial" w:hAnsi="Arial"/>
          <w:sz w:val="16"/>
          <w:szCs w:val="16"/>
          <w:color w:val="auto"/>
        </w:rPr>
      </w:pPr>
    </w:p>
    <w:p>
      <w:pPr>
        <w:ind w:right="140" w:firstLine="436"/>
        <w:spacing w:after="0" w:line="25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-856615</wp:posOffset>
            </wp:positionV>
            <wp:extent cx="6286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Temporary Securities</w:t>
      </w:r>
      <w:r>
        <w:rPr>
          <w:rFonts w:ascii="Arial" w:cs="Arial" w:eastAsia="Arial" w:hAnsi="Arial"/>
          <w:sz w:val="16"/>
          <w:szCs w:val="16"/>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Mutilated, Destroyed, Lost or Stolen Securities</w:t>
      </w:r>
      <w:r>
        <w:rPr>
          <w:rFonts w:ascii="Arial" w:cs="Arial" w:eastAsia="Arial" w:hAnsi="Arial"/>
          <w:sz w:val="17"/>
          <w:szCs w:val="17"/>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0" w:name="page61"/>
    <w:bookmarkEnd w:id="6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Cancellation</w:t>
      </w:r>
      <w:r>
        <w:rPr>
          <w:rFonts w:ascii="Arial" w:cs="Arial" w:eastAsia="Arial" w:hAnsi="Arial"/>
          <w:sz w:val="16"/>
          <w:szCs w:val="16"/>
          <w:color w:val="auto"/>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8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Authenticating Agent</w:t>
      </w:r>
      <w:r>
        <w:rPr>
          <w:rFonts w:ascii="Arial" w:cs="Arial" w:eastAsia="Arial" w:hAnsi="Arial"/>
          <w:sz w:val="16"/>
          <w:szCs w:val="16"/>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1" w:name="page62"/>
    <w:bookmarkEnd w:id="6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Arial" w:cs="Arial" w:eastAsia="Arial" w:hAnsi="Arial"/>
          <w:sz w:val="18"/>
          <w:szCs w:val="18"/>
          <w:u w:val="single" w:color="auto"/>
          <w:color w:val="auto"/>
        </w:rPr>
        <w:t>Global Securities.</w:t>
      </w:r>
    </w:p>
    <w:p>
      <w:pPr>
        <w:spacing w:after="0" w:line="225" w:lineRule="exact"/>
        <w:rPr>
          <w:sz w:val="20"/>
          <w:szCs w:val="20"/>
          <w:color w:val="auto"/>
        </w:rPr>
      </w:pPr>
    </w:p>
    <w:p>
      <w:pPr>
        <w:ind w:left="4" w:right="100" w:firstLine="436"/>
        <w:spacing w:after="0" w:line="286" w:lineRule="auto"/>
        <w:tabs>
          <w:tab w:leader="none" w:pos="699"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1" w:lineRule="exact"/>
        <w:rPr>
          <w:rFonts w:ascii="Arial" w:cs="Arial" w:eastAsia="Arial" w:hAnsi="Arial"/>
          <w:sz w:val="16"/>
          <w:szCs w:val="16"/>
          <w:color w:val="auto"/>
        </w:rPr>
      </w:pPr>
    </w:p>
    <w:p>
      <w:pPr>
        <w:ind w:left="4" w:right="560" w:hanging="4"/>
        <w:spacing w:after="0" w:line="255" w:lineRule="auto"/>
        <w:tabs>
          <w:tab w:leader="none" w:pos="3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9"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color w:val="auto"/>
        </w:rPr>
      </w:pPr>
    </w:p>
    <w:p>
      <w:pPr>
        <w:ind w:left="4" w:firstLine="436"/>
        <w:spacing w:after="0" w:line="285" w:lineRule="auto"/>
        <w:tabs>
          <w:tab w:leader="none" w:pos="699"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8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9"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 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69" w:lineRule="auto"/>
        <w:tabs>
          <w:tab w:leader="none" w:pos="699"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62" w:name="page63"/>
    <w:bookmarkEnd w:id="6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ind w:firstLine="436"/>
        <w:spacing w:after="0" w:line="269" w:lineRule="auto"/>
        <w:tabs>
          <w:tab w:leader="none" w:pos="6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90"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5" w:lineRule="exact"/>
        <w:rPr>
          <w:rFonts w:ascii="Arial" w:cs="Arial" w:eastAsia="Arial" w:hAnsi="Arial"/>
          <w:sz w:val="16"/>
          <w:szCs w:val="16"/>
          <w:color w:val="auto"/>
        </w:rPr>
      </w:pPr>
    </w:p>
    <w:p>
      <w:pPr>
        <w:ind w:right="140" w:firstLine="436"/>
        <w:spacing w:after="0" w:line="286" w:lineRule="auto"/>
        <w:tabs>
          <w:tab w:leader="none" w:pos="6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 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3" w:name="page64"/>
    <w:bookmarkEnd w:id="63"/>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Principal, Premium and Interest</w:t>
      </w:r>
      <w:r>
        <w:rPr>
          <w:rFonts w:ascii="Arial" w:cs="Arial" w:eastAsia="Arial" w:hAnsi="Arial"/>
          <w:sz w:val="17"/>
          <w:szCs w:val="17"/>
          <w:color w:val="auto"/>
        </w:rPr>
        <w:t>. 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4" w:name="page65"/>
    <w:bookmarkEnd w:id="6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225" w:lineRule="exact"/>
        <w:rPr>
          <w:sz w:val="20"/>
          <w:szCs w:val="20"/>
          <w:color w:val="auto"/>
        </w:rPr>
      </w:pPr>
    </w:p>
    <w:p>
      <w:pPr>
        <w:jc w:val="both"/>
        <w:ind w:left="4" w:right="100" w:firstLine="436"/>
        <w:spacing w:after="0" w:line="263" w:lineRule="auto"/>
        <w:tabs>
          <w:tab w:leader="none" w:pos="69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color w:val="auto"/>
        </w:rPr>
      </w:pPr>
    </w:p>
    <w:p>
      <w:pPr>
        <w:jc w:val="both"/>
        <w:ind w:left="4" w:right="140" w:firstLine="987"/>
        <w:spacing w:after="0" w:line="263" w:lineRule="auto"/>
        <w:tabs>
          <w:tab w:leader="none" w:pos="12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70" w:lineRule="exact"/>
        <w:rPr>
          <w:rFonts w:ascii="Arial" w:cs="Arial" w:eastAsia="Arial" w:hAnsi="Arial"/>
          <w:sz w:val="18"/>
          <w:szCs w:val="18"/>
          <w:color w:val="auto"/>
        </w:rPr>
      </w:pPr>
    </w:p>
    <w:p>
      <w:pPr>
        <w:ind w:left="4" w:right="460" w:firstLine="987"/>
        <w:spacing w:after="0" w:line="277" w:lineRule="auto"/>
        <w:tabs>
          <w:tab w:leader="none" w:pos="12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left="4" w:right="100" w:firstLine="436"/>
        <w:spacing w:after="0" w:line="290" w:lineRule="auto"/>
        <w:tabs>
          <w:tab w:leader="none" w:pos="69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65" w:lineRule="exact"/>
        <w:rPr>
          <w:rFonts w:ascii="Arial" w:cs="Arial" w:eastAsia="Arial" w:hAnsi="Arial"/>
          <w:sz w:val="16"/>
          <w:szCs w:val="16"/>
          <w:color w:val="auto"/>
        </w:rPr>
      </w:pPr>
    </w:p>
    <w:p>
      <w:pPr>
        <w:ind w:left="4" w:firstLine="436"/>
        <w:spacing w:after="0" w:line="255" w:lineRule="auto"/>
        <w:tabs>
          <w:tab w:leader="none" w:pos="69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9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 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 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Company to Furnish Trustee Names and Addresses of Securityholders</w:t>
      </w:r>
      <w:r>
        <w:rPr>
          <w:rFonts w:ascii="Arial" w:cs="Arial" w:eastAsia="Arial" w:hAnsi="Arial"/>
          <w:sz w:val="16"/>
          <w:szCs w:val="16"/>
          <w:color w:val="auto"/>
        </w:rPr>
        <w:t>. The Company will furnish or cause to be furnished to the Trustee</w:t>
      </w:r>
    </w:p>
    <w:p>
      <w:pPr>
        <w:spacing w:after="0" w:line="46" w:lineRule="exact"/>
        <w:rPr>
          <w:sz w:val="20"/>
          <w:szCs w:val="20"/>
          <w:color w:val="auto"/>
        </w:rPr>
      </w:pPr>
    </w:p>
    <w:p>
      <w:pPr>
        <w:ind w:left="4" w:right="40" w:hanging="4"/>
        <w:spacing w:after="0" w:line="252"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65" w:name="page66"/>
    <w:bookmarkEnd w:id="6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63" w:lineRule="auto"/>
        <w:tabs>
          <w:tab w:leader="none" w:pos="6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4" w:right="260" w:firstLine="436"/>
        <w:spacing w:after="0" w:line="286" w:lineRule="auto"/>
        <w:tabs>
          <w:tab w:leader="none" w:pos="699"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225" w:lineRule="exact"/>
        <w:rPr>
          <w:sz w:val="20"/>
          <w:szCs w:val="20"/>
          <w:color w:val="auto"/>
        </w:rPr>
      </w:pPr>
    </w:p>
    <w:p>
      <w:pPr>
        <w:ind w:left="4" w:right="20" w:firstLine="436"/>
        <w:spacing w:after="0" w:line="288" w:lineRule="auto"/>
        <w:tabs>
          <w:tab w:leader="none" w:pos="6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68" w:lineRule="exact"/>
        <w:rPr>
          <w:rFonts w:ascii="Arial" w:cs="Arial" w:eastAsia="Arial" w:hAnsi="Arial"/>
          <w:sz w:val="16"/>
          <w:szCs w:val="16"/>
          <w:color w:val="auto"/>
        </w:rPr>
      </w:pPr>
    </w:p>
    <w:p>
      <w:pPr>
        <w:ind w:left="4" w:right="80" w:firstLine="436"/>
        <w:spacing w:after="0" w:line="259" w:lineRule="auto"/>
        <w:tabs>
          <w:tab w:leader="none" w:pos="6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225" w:lineRule="exact"/>
        <w:rPr>
          <w:sz w:val="20"/>
          <w:szCs w:val="20"/>
          <w:color w:val="auto"/>
        </w:rPr>
      </w:pPr>
    </w:p>
    <w:p>
      <w:pPr>
        <w:ind w:left="4" w:right="40" w:firstLine="436"/>
        <w:spacing w:after="0" w:line="263"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color w:val="auto"/>
        </w:rPr>
      </w:pPr>
    </w:p>
    <w:p>
      <w:pPr>
        <w:ind w:left="4" w:right="100" w:hanging="4"/>
        <w:spacing w:after="0" w:line="263"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66" w:name="page67"/>
    <w:bookmarkEnd w:id="6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 w:right="140" w:firstLine="436"/>
        <w:spacing w:after="0" w:line="277" w:lineRule="auto"/>
        <w:tabs>
          <w:tab w:leader="none" w:pos="699"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4" w:right="20" w:firstLine="987"/>
        <w:spacing w:after="0" w:line="311" w:lineRule="auto"/>
        <w:tabs>
          <w:tab w:leader="none" w:pos="124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48" w:lineRule="exact"/>
        <w:rPr>
          <w:rFonts w:ascii="Arial" w:cs="Arial" w:eastAsia="Arial" w:hAnsi="Arial"/>
          <w:sz w:val="16"/>
          <w:szCs w:val="16"/>
          <w:color w:val="auto"/>
        </w:rPr>
      </w:pPr>
    </w:p>
    <w:p>
      <w:pPr>
        <w:jc w:val="both"/>
        <w:ind w:left="4" w:right="20" w:firstLine="987"/>
        <w:spacing w:after="0" w:line="279" w:lineRule="auto"/>
        <w:tabs>
          <w:tab w:leader="none" w:pos="1250" w:val="left"/>
        </w:tabs>
        <w:numPr>
          <w:ilvl w:val="2"/>
          <w:numId w:val="63"/>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1" w:lineRule="exact"/>
        <w:rPr>
          <w:rFonts w:ascii="Arial" w:cs="Arial" w:eastAsia="Arial" w:hAnsi="Arial"/>
          <w:sz w:val="17"/>
          <w:szCs w:val="17"/>
          <w:color w:val="auto"/>
        </w:rPr>
      </w:pPr>
    </w:p>
    <w:p>
      <w:pPr>
        <w:ind w:left="4" w:right="40" w:firstLine="987"/>
        <w:spacing w:after="0" w:line="255" w:lineRule="auto"/>
        <w:tabs>
          <w:tab w:leader="none" w:pos="12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92" w:lineRule="exact"/>
        <w:rPr>
          <w:rFonts w:ascii="Arial" w:cs="Arial" w:eastAsia="Arial" w:hAnsi="Arial"/>
          <w:sz w:val="18"/>
          <w:szCs w:val="18"/>
          <w:color w:val="auto"/>
        </w:rPr>
      </w:pPr>
    </w:p>
    <w:p>
      <w:pPr>
        <w:ind w:left="4" w:firstLine="987"/>
        <w:spacing w:after="0" w:line="291" w:lineRule="auto"/>
        <w:tabs>
          <w:tab w:leader="none" w:pos="125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04" w:hanging="304"/>
        <w:spacing w:after="0"/>
        <w:tabs>
          <w:tab w:leader="none" w:pos="3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10" w:lineRule="exact"/>
        <w:rPr>
          <w:rFonts w:ascii="Arial" w:cs="Arial" w:eastAsia="Arial" w:hAnsi="Arial"/>
          <w:sz w:val="18"/>
          <w:szCs w:val="18"/>
          <w:color w:val="auto"/>
        </w:rPr>
      </w:pPr>
    </w:p>
    <w:p>
      <w:pPr>
        <w:ind w:left="4" w:right="80" w:firstLine="987"/>
        <w:spacing w:after="0" w:line="263" w:lineRule="auto"/>
        <w:tabs>
          <w:tab w:leader="none" w:pos="12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3" w:lineRule="exact"/>
        <w:rPr>
          <w:rFonts w:ascii="Arial" w:cs="Arial" w:eastAsia="Arial" w:hAnsi="Arial"/>
          <w:sz w:val="18"/>
          <w:szCs w:val="18"/>
          <w:color w:val="auto"/>
        </w:rPr>
      </w:pPr>
    </w:p>
    <w:p>
      <w:pPr>
        <w:ind w:left="4" w:right="60" w:firstLine="436"/>
        <w:spacing w:after="0" w:line="285" w:lineRule="auto"/>
        <w:tabs>
          <w:tab w:leader="none" w:pos="699"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color w:val="auto"/>
        </w:rPr>
        <w:t>(4)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5" w:lineRule="exact"/>
        <w:rPr>
          <w:rFonts w:ascii="Arial" w:cs="Arial" w:eastAsia="Arial" w:hAnsi="Arial"/>
          <w:sz w:val="16"/>
          <w:szCs w:val="16"/>
          <w:color w:val="auto"/>
        </w:rPr>
      </w:pPr>
    </w:p>
    <w:p>
      <w:pPr>
        <w:ind w:left="4" w:firstLine="436"/>
        <w:spacing w:after="0" w:line="272" w:lineRule="auto"/>
        <w:tabs>
          <w:tab w:leader="none" w:pos="699" w:val="left"/>
        </w:tabs>
        <w:numPr>
          <w:ilvl w:val="1"/>
          <w:numId w:val="64"/>
        </w:numPr>
        <w:rPr>
          <w:rFonts w:ascii="Arial" w:cs="Arial" w:eastAsia="Arial" w:hAnsi="Arial"/>
          <w:sz w:val="17"/>
          <w:szCs w:val="17"/>
          <w:color w:val="auto"/>
        </w:rPr>
      </w:pPr>
      <w:r>
        <w:rPr>
          <w:rFonts w:ascii="Arial" w:cs="Arial" w:eastAsia="Arial" w:hAnsi="Arial"/>
          <w:sz w:val="17"/>
          <w:szCs w:val="17"/>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67" w:name="page68"/>
    <w:bookmarkEnd w:id="6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firstLine="436"/>
        <w:spacing w:after="0" w:line="25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p>
    <w:p>
      <w:pPr>
        <w:spacing w:after="0" w:line="225" w:lineRule="exact"/>
        <w:rPr>
          <w:sz w:val="20"/>
          <w:szCs w:val="20"/>
          <w:color w:val="auto"/>
        </w:rPr>
      </w:pPr>
    </w:p>
    <w:p>
      <w:pPr>
        <w:ind w:firstLine="436"/>
        <w:spacing w:after="0" w:line="283"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7.06.</w:t>
      </w:r>
    </w:p>
    <w:p>
      <w:pPr>
        <w:spacing w:after="0" w:line="210" w:lineRule="exact"/>
        <w:rPr>
          <w:rFonts w:ascii="Arial" w:cs="Arial" w:eastAsia="Arial" w:hAnsi="Arial"/>
          <w:sz w:val="16"/>
          <w:szCs w:val="16"/>
          <w:color w:val="auto"/>
        </w:rPr>
      </w:pPr>
    </w:p>
    <w:p>
      <w:pPr>
        <w:ind w:right="140" w:firstLine="436"/>
        <w:spacing w:after="0" w:line="275"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color w:val="auto"/>
        </w:rPr>
      </w:pPr>
    </w:p>
    <w:p>
      <w:pPr>
        <w:ind w:right="40" w:firstLine="436"/>
        <w:spacing w:after="0" w:line="269"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5" w:lineRule="exact"/>
        <w:rPr>
          <w:rFonts w:ascii="Arial" w:cs="Arial" w:eastAsia="Arial" w:hAnsi="Arial"/>
          <w:sz w:val="17"/>
          <w:szCs w:val="17"/>
          <w:color w:val="auto"/>
        </w:rPr>
      </w:pPr>
    </w:p>
    <w:p>
      <w:pPr>
        <w:ind w:right="120" w:firstLine="436"/>
        <w:spacing w:after="0" w:line="25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68" w:name="page69"/>
    <w:bookmarkEnd w:id="68"/>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FIRST: To the payment of reasonable costs and expenses of collection and of all amounts payable to the Trustee under Section 7.06;</w:t>
      </w:r>
    </w:p>
    <w:p>
      <w:pPr>
        <w:spacing w:after="0" w:line="129" w:lineRule="exact"/>
        <w:rPr>
          <w:sz w:val="20"/>
          <w:szCs w:val="20"/>
          <w:color w:val="auto"/>
        </w:rPr>
      </w:pPr>
    </w:p>
    <w:p>
      <w:pPr>
        <w:jc w:val="both"/>
        <w:ind w:left="440" w:right="160"/>
        <w:spacing w:after="0" w:line="286" w:lineRule="auto"/>
        <w:rPr>
          <w:sz w:val="20"/>
          <w:szCs w:val="20"/>
          <w:color w:val="auto"/>
        </w:rPr>
      </w:pPr>
      <w:r>
        <w:rPr>
          <w:rFonts w:ascii="Arial" w:cs="Arial" w:eastAsia="Arial" w:hAnsi="Arial"/>
          <w:sz w:val="17"/>
          <w:szCs w:val="17"/>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Arial" w:cs="Arial" w:eastAsia="Arial" w:hAnsi="Arial"/>
          <w:sz w:val="18"/>
          <w:szCs w:val="18"/>
          <w:u w:val="single" w:color="auto"/>
          <w:color w:val="auto"/>
        </w:rPr>
        <w:t>Rights and Remedies Cumulative; Delay or Omission Not Waiver.</w:t>
      </w:r>
    </w:p>
    <w:p>
      <w:pPr>
        <w:spacing w:after="0" w:line="225" w:lineRule="exact"/>
        <w:rPr>
          <w:sz w:val="20"/>
          <w:szCs w:val="20"/>
          <w:color w:val="auto"/>
        </w:rPr>
      </w:pPr>
    </w:p>
    <w:p>
      <w:pPr>
        <w:ind w:right="140" w:firstLine="436"/>
        <w:spacing w:after="0" w:line="259"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firstLine="436"/>
        <w:spacing w:after="0" w:line="279" w:lineRule="auto"/>
        <w:tabs>
          <w:tab w:leader="none" w:pos="695"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Control by Securityholders</w:t>
      </w:r>
      <w:r>
        <w:rPr>
          <w:rFonts w:ascii="Arial" w:cs="Arial" w:eastAsia="Arial" w:hAnsi="Arial"/>
          <w:sz w:val="17"/>
          <w:szCs w:val="17"/>
          <w:color w:val="auto"/>
        </w:rPr>
        <w:t>. 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Undertaking to Pay Costs</w:t>
      </w:r>
      <w:r>
        <w:rPr>
          <w:rFonts w:ascii="Arial" w:cs="Arial" w:eastAsia="Arial" w:hAnsi="Arial"/>
          <w:sz w:val="17"/>
          <w:szCs w:val="17"/>
          <w:color w:val="auto"/>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p>
    <w:p>
      <w:pPr>
        <w:spacing w:after="0" w:line="225" w:lineRule="exact"/>
        <w:rPr>
          <w:sz w:val="20"/>
          <w:szCs w:val="20"/>
          <w:color w:val="auto"/>
        </w:rPr>
      </w:pPr>
    </w:p>
    <w:p>
      <w:pPr>
        <w:ind w:firstLine="436"/>
        <w:spacing w:after="0" w:line="273"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0" w:name="page71"/>
    <w:bookmarkEnd w:id="70"/>
    <w:p>
      <w:pPr>
        <w:ind w:right="16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right="500" w:firstLine="987"/>
        <w:spacing w:after="0" w:line="277" w:lineRule="auto"/>
        <w:tabs>
          <w:tab w:leader="none" w:pos="12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firstLine="1428"/>
        <w:spacing w:after="0" w:line="259" w:lineRule="auto"/>
        <w:tabs>
          <w:tab w:leader="none" w:pos="1727"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right="20" w:firstLine="1428"/>
        <w:spacing w:after="0" w:line="257" w:lineRule="auto"/>
        <w:tabs>
          <w:tab w:leader="none" w:pos="1717" w:val="left"/>
        </w:tabs>
        <w:numPr>
          <w:ilvl w:val="2"/>
          <w:numId w:val="69"/>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7" w:lineRule="exact"/>
        <w:rPr>
          <w:rFonts w:ascii="Arial" w:cs="Arial" w:eastAsia="Arial" w:hAnsi="Arial"/>
          <w:sz w:val="18"/>
          <w:szCs w:val="18"/>
          <w:color w:val="auto"/>
        </w:rPr>
      </w:pPr>
    </w:p>
    <w:p>
      <w:pPr>
        <w:ind w:right="300" w:firstLine="987"/>
        <w:spacing w:after="0" w:line="277" w:lineRule="auto"/>
        <w:tabs>
          <w:tab w:leader="none" w:pos="12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firstLine="987"/>
        <w:spacing w:after="0" w:line="259" w:lineRule="auto"/>
        <w:tabs>
          <w:tab w:leader="none" w:pos="12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ind w:right="100" w:firstLine="987"/>
        <w:spacing w:after="0" w:line="259" w:lineRule="auto"/>
        <w:tabs>
          <w:tab w:leader="none" w:pos="12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Except as otherwise provided in Section 7.01:</w:t>
      </w:r>
    </w:p>
    <w:p>
      <w:pPr>
        <w:spacing w:after="0" w:line="225" w:lineRule="exact"/>
        <w:rPr>
          <w:sz w:val="20"/>
          <w:szCs w:val="20"/>
          <w:color w:val="auto"/>
        </w:rPr>
      </w:pPr>
    </w:p>
    <w:p>
      <w:pPr>
        <w:ind w:right="20" w:firstLine="436"/>
        <w:spacing w:after="0" w:line="263"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jc w:val="both"/>
        <w:ind w:right="560" w:firstLine="436"/>
        <w:spacing w:after="0" w:line="263"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color w:val="auto"/>
        </w:rPr>
      </w:pPr>
    </w:p>
    <w:p>
      <w:pPr>
        <w:ind w:right="620" w:firstLine="436"/>
        <w:spacing w:after="0" w:line="342"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23" w:lineRule="exact"/>
        <w:rPr>
          <w:rFonts w:ascii="Arial" w:cs="Arial" w:eastAsia="Arial" w:hAnsi="Arial"/>
          <w:sz w:val="16"/>
          <w:szCs w:val="16"/>
          <w:color w:val="auto"/>
        </w:rPr>
      </w:pPr>
    </w:p>
    <w:p>
      <w:pPr>
        <w:ind w:right="60" w:firstLine="436"/>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71" w:name="page72"/>
    <w:bookmarkEnd w:id="71"/>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65" w:lineRule="exact"/>
        <w:rPr>
          <w:sz w:val="20"/>
          <w:szCs w:val="20"/>
          <w:color w:val="auto"/>
        </w:rPr>
      </w:pPr>
    </w:p>
    <w:p>
      <w:pPr>
        <w:ind w:right="200" w:firstLine="436"/>
        <w:spacing w:after="0" w:line="277"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right="60" w:firstLine="436"/>
        <w:spacing w:after="0" w:line="291"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66" w:lineRule="exact"/>
        <w:rPr>
          <w:rFonts w:ascii="Arial" w:cs="Arial" w:eastAsia="Arial" w:hAnsi="Arial"/>
          <w:sz w:val="16"/>
          <w:szCs w:val="16"/>
          <w:color w:val="auto"/>
        </w:rPr>
      </w:pPr>
    </w:p>
    <w:p>
      <w:pPr>
        <w:ind w:right="280" w:firstLine="436"/>
        <w:spacing w:after="0" w:line="263"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firstLine="436"/>
        <w:spacing w:after="0" w:line="275" w:lineRule="auto"/>
        <w:tabs>
          <w:tab w:leader="none" w:pos="6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83" w:lineRule="exact"/>
        <w:rPr>
          <w:rFonts w:ascii="Arial" w:cs="Arial" w:eastAsia="Arial" w:hAnsi="Arial"/>
          <w:sz w:val="18"/>
          <w:szCs w:val="18"/>
          <w:color w:val="auto"/>
        </w:rPr>
      </w:pPr>
    </w:p>
    <w:p>
      <w:pPr>
        <w:ind w:right="20" w:firstLine="436"/>
        <w:spacing w:after="0" w:line="269" w:lineRule="auto"/>
        <w:tabs>
          <w:tab w:leader="none" w:pos="7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8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p>
    <w:p>
      <w:pPr>
        <w:spacing w:after="0" w:line="225" w:lineRule="exact"/>
        <w:rPr>
          <w:sz w:val="20"/>
          <w:szCs w:val="20"/>
          <w:color w:val="auto"/>
        </w:rPr>
      </w:pPr>
    </w:p>
    <w:p>
      <w:pPr>
        <w:ind w:right="140" w:firstLine="436"/>
        <w:spacing w:after="0" w:line="27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The Trustee makes no representations as to the validity or sufficiency of this Indenture or of the Securities.</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8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8"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68" w:lineRule="exact"/>
        <w:rPr>
          <w:rFonts w:ascii="Arial" w:cs="Arial" w:eastAsia="Arial" w:hAnsi="Arial"/>
          <w:sz w:val="16"/>
          <w:szCs w:val="16"/>
          <w:color w:val="auto"/>
        </w:rPr>
      </w:pPr>
    </w:p>
    <w:p>
      <w:pPr>
        <w:ind w:left="700" w:hanging="264"/>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obligations of the Company under this Section to compensate and indemnify the Trustee and to pay or reimburse the Trustee for</w:t>
      </w:r>
    </w:p>
    <w:p>
      <w:pPr>
        <w:spacing w:after="0" w:line="34" w:lineRule="exact"/>
        <w:rPr>
          <w:rFonts w:ascii="Arial" w:cs="Arial" w:eastAsia="Arial" w:hAnsi="Arial"/>
          <w:sz w:val="17"/>
          <w:szCs w:val="17"/>
          <w:color w:val="auto"/>
        </w:rPr>
      </w:pPr>
    </w:p>
    <w:p>
      <w:pPr>
        <w:ind w:right="60"/>
        <w:spacing w:after="0" w:line="255" w:lineRule="auto"/>
        <w:rPr>
          <w:rFonts w:ascii="Arial" w:cs="Arial" w:eastAsia="Arial" w:hAnsi="Arial"/>
          <w:sz w:val="17"/>
          <w:szCs w:val="17"/>
          <w:color w:val="auto"/>
        </w:rPr>
      </w:pPr>
      <w:r>
        <w:rPr>
          <w:rFonts w:ascii="Arial" w:cs="Arial" w:eastAsia="Arial" w:hAnsi="Arial"/>
          <w:sz w:val="18"/>
          <w:szCs w:val="18"/>
          <w:color w:val="auto"/>
        </w:rPr>
        <w:t>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9" w:lineRule="exact"/>
        <w:rPr>
          <w:rFonts w:ascii="Arial" w:cs="Arial" w:eastAsia="Arial" w:hAnsi="Arial"/>
          <w:sz w:val="17"/>
          <w:szCs w:val="17"/>
          <w:color w:val="auto"/>
        </w:rPr>
      </w:pPr>
    </w:p>
    <w:p>
      <w:pPr>
        <w:ind w:right="80" w:firstLine="436"/>
        <w:spacing w:after="0" w:line="296"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6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Reliance on Officer’s Certificate</w:t>
      </w:r>
      <w:r>
        <w:rPr>
          <w:rFonts w:ascii="Arial" w:cs="Arial" w:eastAsia="Arial" w:hAnsi="Arial"/>
          <w:sz w:val="17"/>
          <w:szCs w:val="17"/>
          <w:color w:val="auto"/>
        </w:rPr>
        <w:t>. 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Disqualification; Conflicting Interests</w:t>
      </w:r>
      <w:r>
        <w:rPr>
          <w:rFonts w:ascii="Arial" w:cs="Arial" w:eastAsia="Arial" w:hAnsi="Arial"/>
          <w:sz w:val="16"/>
          <w:szCs w:val="16"/>
          <w:color w:val="auto"/>
        </w:rPr>
        <w:t>.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73" w:name="page74"/>
    <w:bookmarkEnd w:id="7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p>
    <w:p>
      <w:pPr>
        <w:spacing w:after="0" w:line="225" w:lineRule="exact"/>
        <w:rPr>
          <w:sz w:val="20"/>
          <w:szCs w:val="20"/>
          <w:color w:val="auto"/>
        </w:rPr>
      </w:pPr>
    </w:p>
    <w:p>
      <w:pPr>
        <w:ind w:firstLine="436"/>
        <w:spacing w:after="0" w:line="289"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6" w:lineRule="exact"/>
        <w:rPr>
          <w:rFonts w:ascii="Arial" w:cs="Arial" w:eastAsia="Arial" w:hAnsi="Arial"/>
          <w:sz w:val="16"/>
          <w:szCs w:val="16"/>
          <w:color w:val="auto"/>
        </w:rPr>
      </w:pPr>
    </w:p>
    <w:p>
      <w:pPr>
        <w:ind w:left="700" w:hanging="264"/>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right="900" w:firstLine="987"/>
        <w:spacing w:after="0" w:line="277" w:lineRule="auto"/>
        <w:tabs>
          <w:tab w:leader="none" w:pos="12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right="420" w:firstLine="987"/>
        <w:spacing w:after="0" w:line="277" w:lineRule="auto"/>
        <w:tabs>
          <w:tab w:leader="none" w:pos="124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firstLine="987"/>
        <w:spacing w:after="0" w:line="271" w:lineRule="auto"/>
        <w:tabs>
          <w:tab w:leader="none" w:pos="123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8"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4" w:name="page75"/>
    <w:bookmarkEnd w:id="74"/>
    <w:p>
      <w:pPr>
        <w:ind w:right="220" w:firstLine="436"/>
        <w:spacing w:after="0" w:line="342"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right="240" w:firstLine="436"/>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p>
    <w:p>
      <w:pPr>
        <w:spacing w:after="0" w:line="225" w:lineRule="exact"/>
        <w:rPr>
          <w:sz w:val="20"/>
          <w:szCs w:val="20"/>
          <w:color w:val="auto"/>
        </w:rPr>
      </w:pPr>
    </w:p>
    <w:p>
      <w:pPr>
        <w:ind w:right="160" w:firstLine="436"/>
        <w:spacing w:after="0" w:line="293"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rFonts w:ascii="Arial" w:cs="Arial" w:eastAsia="Arial" w:hAnsi="Arial"/>
          <w:sz w:val="16"/>
          <w:szCs w:val="16"/>
          <w:color w:val="auto"/>
        </w:rPr>
      </w:pPr>
    </w:p>
    <w:p>
      <w:pPr>
        <w:ind w:firstLine="436"/>
        <w:spacing w:after="0" w:line="285"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1" w:lineRule="exact"/>
        <w:rPr>
          <w:rFonts w:ascii="Arial" w:cs="Arial" w:eastAsia="Arial" w:hAnsi="Arial"/>
          <w:sz w:val="16"/>
          <w:szCs w:val="16"/>
          <w:color w:val="auto"/>
        </w:rPr>
      </w:pPr>
    </w:p>
    <w:p>
      <w:pPr>
        <w:ind w:right="380" w:firstLine="436"/>
        <w:spacing w:after="0" w:line="342"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23"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5" w:name="page76"/>
    <w:bookmarkEnd w:id="7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Notice of Default</w:t>
      </w:r>
      <w:r>
        <w:rPr>
          <w:rFonts w:ascii="Arial" w:cs="Arial" w:eastAsia="Arial" w:hAnsi="Arial"/>
          <w:sz w:val="17"/>
          <w:szCs w:val="17"/>
          <w:color w:val="auto"/>
        </w:rPr>
        <w:t>. 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76" w:lineRule="exact"/>
        <w:rPr>
          <w:sz w:val="20"/>
          <w:szCs w:val="20"/>
          <w:color w:val="auto"/>
        </w:rPr>
      </w:pPr>
    </w:p>
    <w:p>
      <w:pPr>
        <w:jc w:val="center"/>
        <w:ind w:left="5420" w:right="220" w:hanging="4984"/>
        <w:spacing w:after="0" w:line="449" w:lineRule="auto"/>
        <w:tabs>
          <w:tab w:leader="none" w:pos="69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fact and date of the execution by any such Person of any instrument may be proved in any reasonable manner acceptable to the Trustee. 24</w:t>
      </w:r>
    </w:p>
    <w:p>
      <w:pPr>
        <w:sectPr>
          <w:pgSz w:w="11900" w:h="16838" w:orient="portrait"/>
          <w:cols w:equalWidth="0" w:num="1">
            <w:col w:w="11000"/>
          </w:cols>
          <w:pgMar w:left="440" w:top="274" w:right="459" w:bottom="1440" w:gutter="0" w:footer="0" w:header="0"/>
        </w:sectPr>
      </w:pPr>
    </w:p>
    <w:bookmarkStart w:id="76" w:name="page77"/>
    <w:bookmarkEnd w:id="76"/>
    <w:p>
      <w:pPr>
        <w:ind w:right="300" w:firstLine="436"/>
        <w:spacing w:after="0" w:line="500"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Who May be Deemed Owners</w:t>
      </w:r>
      <w:r>
        <w:rPr>
          <w:rFonts w:ascii="Arial" w:cs="Arial" w:eastAsia="Arial" w:hAnsi="Arial"/>
          <w:sz w:val="17"/>
          <w:szCs w:val="17"/>
          <w:color w:val="auto"/>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Certain Securities Owned by Company Disregarded</w:t>
      </w:r>
      <w:r>
        <w:rPr>
          <w:rFonts w:ascii="Arial" w:cs="Arial" w:eastAsia="Arial" w:hAnsi="Arial"/>
          <w:sz w:val="17"/>
          <w:szCs w:val="17"/>
          <w:color w:val="auto"/>
        </w:rPr>
        <w:t>. 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Actions Binding on Future Securityholders</w:t>
      </w:r>
      <w:r>
        <w:rPr>
          <w:rFonts w:ascii="Arial" w:cs="Arial" w:eastAsia="Arial" w:hAnsi="Arial"/>
          <w:sz w:val="16"/>
          <w:szCs w:val="16"/>
          <w:color w:val="auto"/>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7" w:lineRule="exact"/>
        <w:rPr>
          <w:sz w:val="20"/>
          <w:szCs w:val="20"/>
          <w:color w:val="auto"/>
        </w:rPr>
      </w:pPr>
    </w:p>
    <w:p>
      <w:pPr>
        <w:ind w:left="700" w:hanging="264"/>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comply with Article Ten;</w:t>
      </w:r>
    </w:p>
    <w:p>
      <w:pPr>
        <w:spacing w:after="0" w:line="225" w:lineRule="exact"/>
        <w:rPr>
          <w:rFonts w:ascii="Arial" w:cs="Arial" w:eastAsia="Arial" w:hAnsi="Arial"/>
          <w:sz w:val="18"/>
          <w:szCs w:val="18"/>
          <w:color w:val="auto"/>
        </w:rPr>
      </w:pPr>
    </w:p>
    <w:p>
      <w:pPr>
        <w:ind w:left="5420" w:right="3840" w:hanging="4984"/>
        <w:spacing w:after="0" w:line="449" w:lineRule="auto"/>
        <w:tabs>
          <w:tab w:leader="none" w:pos="6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25</w:t>
      </w:r>
    </w:p>
    <w:p>
      <w:pPr>
        <w:sectPr>
          <w:pgSz w:w="11900" w:h="16838" w:orient="portrait"/>
          <w:cols w:equalWidth="0" w:num="1">
            <w:col w:w="10980"/>
          </w:cols>
          <w:pgMar w:left="440" w:top="274" w:right="479" w:bottom="1440" w:gutter="0" w:footer="0" w:header="0"/>
        </w:sectPr>
      </w:pPr>
    </w:p>
    <w:bookmarkStart w:id="77" w:name="page78"/>
    <w:bookmarkEnd w:id="77"/>
    <w:p>
      <w:pPr>
        <w:ind w:right="40" w:firstLine="436"/>
        <w:spacing w:after="0" w:line="25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7" w:lineRule="exact"/>
        <w:rPr>
          <w:rFonts w:ascii="Arial" w:cs="Arial" w:eastAsia="Arial" w:hAnsi="Arial"/>
          <w:sz w:val="18"/>
          <w:szCs w:val="18"/>
          <w:color w:val="auto"/>
        </w:rPr>
      </w:pPr>
    </w:p>
    <w:p>
      <w:pPr>
        <w:ind w:right="940" w:firstLine="436"/>
        <w:spacing w:after="0" w:line="27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Supplemental Indentures With Consent of Securityholders</w:t>
      </w:r>
      <w:r>
        <w:rPr>
          <w:rFonts w:ascii="Arial" w:cs="Arial" w:eastAsia="Arial" w:hAnsi="Arial"/>
          <w:sz w:val="17"/>
          <w:szCs w:val="17"/>
          <w:color w:val="auto"/>
        </w:rPr>
        <w:t>. 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78" w:name="page79"/>
    <w:bookmarkEnd w:id="7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Arial" w:cs="Arial" w:eastAsia="Arial" w:hAnsi="Arial"/>
          <w:sz w:val="17"/>
          <w:szCs w:val="17"/>
          <w:u w:val="single" w:color="auto"/>
          <w:color w:val="auto"/>
        </w:rPr>
        <w:t>Securities Affected by Supplemental Indentures</w:t>
      </w:r>
      <w:r>
        <w:rPr>
          <w:rFonts w:ascii="Arial" w:cs="Arial" w:eastAsia="Arial" w:hAnsi="Arial"/>
          <w:sz w:val="17"/>
          <w:szCs w:val="17"/>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Execution of Supplemental Indentures</w:t>
      </w:r>
      <w:r>
        <w:rPr>
          <w:rFonts w:ascii="Arial" w:cs="Arial" w:eastAsia="Arial" w:hAnsi="Arial"/>
          <w:sz w:val="17"/>
          <w:szCs w:val="17"/>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 ENTITY</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Company May Consolidate, Etc</w:t>
      </w:r>
      <w:r>
        <w:rPr>
          <w:rFonts w:ascii="Arial" w:cs="Arial" w:eastAsia="Arial" w:hAnsi="Arial"/>
          <w:sz w:val="16"/>
          <w:szCs w:val="16"/>
          <w:color w:val="auto"/>
        </w:rPr>
        <w:t>.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7"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79" w:name="page80"/>
    <w:bookmarkEnd w:id="79"/>
    <w:p>
      <w:pPr>
        <w:ind w:right="280" w:firstLine="436"/>
        <w:spacing w:after="0" w:line="277"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Discharge of Obligations</w:t>
      </w:r>
      <w:r>
        <w:rPr>
          <w:rFonts w:ascii="Arial" w:cs="Arial" w:eastAsia="Arial" w:hAnsi="Arial"/>
          <w:sz w:val="16"/>
          <w:szCs w:val="16"/>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Thereafter, Sections 7.06 and 11.05 shall survive.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8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Payment of Moneys Held by Paying Agents</w:t>
      </w:r>
      <w:r>
        <w:rPr>
          <w:rFonts w:ascii="Arial" w:cs="Arial" w:eastAsia="Arial" w:hAnsi="Arial"/>
          <w:sz w:val="16"/>
          <w:szCs w:val="16"/>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80" w:name="page81"/>
    <w:bookmarkEnd w:id="8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 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No Recourse</w:t>
      </w:r>
      <w:r>
        <w:rPr>
          <w:rFonts w:ascii="Arial" w:cs="Arial" w:eastAsia="Arial" w:hAnsi="Arial"/>
          <w:sz w:val="16"/>
          <w:szCs w:val="16"/>
          <w:color w:val="auto"/>
        </w:rPr>
        <w:t>. 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 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81" w:name="page82"/>
    <w:bookmarkEnd w:id="81"/>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 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p>
    <w:p>
      <w:pPr>
        <w:spacing w:after="0" w:line="225" w:lineRule="exact"/>
        <w:rPr>
          <w:sz w:val="20"/>
          <w:szCs w:val="20"/>
          <w:color w:val="auto"/>
        </w:rPr>
      </w:pPr>
    </w:p>
    <w:p>
      <w:pPr>
        <w:ind w:right="60" w:firstLine="436"/>
        <w:spacing w:after="0" w:line="255"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rFonts w:ascii="Arial" w:cs="Arial" w:eastAsia="Arial" w:hAnsi="Arial"/>
          <w:sz w:val="18"/>
          <w:szCs w:val="18"/>
          <w:color w:val="auto"/>
        </w:rPr>
      </w:pPr>
    </w:p>
    <w:p>
      <w:pPr>
        <w:ind w:firstLine="436"/>
        <w:spacing w:after="0" w:line="273" w:lineRule="auto"/>
        <w:tabs>
          <w:tab w:leader="none" w:pos="6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 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u w:val="single" w:color="auto"/>
          <w:color w:val="auto"/>
        </w:rPr>
        <w:t>Compliance Certificates</w:t>
      </w:r>
      <w:r>
        <w:rPr>
          <w:rFonts w:ascii="Arial" w:cs="Arial" w:eastAsia="Arial" w:hAnsi="Arial"/>
          <w:sz w:val="16"/>
          <w:szCs w:val="16"/>
          <w:color w:val="auto"/>
        </w:rPr>
        <w:t>. 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w:t>
      </w:r>
      <w:r>
        <w:rPr>
          <w:rFonts w:ascii="Arial" w:cs="Arial" w:eastAsia="Arial" w:hAnsi="Arial"/>
          <w:sz w:val="16"/>
          <w:szCs w:val="16"/>
          <w:u w:val="single" w:color="auto"/>
          <w:color w:val="auto"/>
        </w:rPr>
        <w:t>’</w:t>
      </w:r>
      <w:r>
        <w:rPr>
          <w:rFonts w:ascii="Arial" w:cs="Arial" w:eastAsia="Arial" w:hAnsi="Arial"/>
          <w:sz w:val="16"/>
          <w:szCs w:val="16"/>
          <w:color w:val="auto"/>
        </w:rPr>
        <w:t>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ectPr>
          <w:pgSz w:w="11900" w:h="16838" w:orient="portrait"/>
          <w:cols w:equalWidth="0" w:num="1">
            <w:col w:w="10040"/>
          </w:cols>
          <w:pgMar w:left="440" w:top="270" w:right="1419" w:bottom="1440" w:gutter="0" w:footer="0" w:header="0"/>
        </w:sect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[TRUSTEE]</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40"/>
          </w:cols>
          <w:pgMar w:left="440" w:top="270" w:right="1419" w:bottom="1440" w:gutter="0" w:footer="0" w:header="0"/>
          <w:type w:val="continuous"/>
        </w:sectPr>
      </w:pPr>
    </w:p>
    <w:bookmarkStart w:id="83" w:name="page84"/>
    <w:bookmarkEnd w:id="83"/>
    <w:tbl>
      <w:tblPr>
        <w:tblLayout w:type="fixed"/>
        <w:tblInd w:w="4" w:type="dxa"/>
        <w:tblCellMar>
          <w:top w:w="0" w:type="dxa"/>
          <w:left w:w="0" w:type="dxa"/>
          <w:bottom w:w="0" w:type="dxa"/>
          <w:right w:w="0" w:type="dxa"/>
        </w:tblCellMar>
      </w:tblPr>
      <w:tr>
        <w:trPr>
          <w:trHeight w:val="360"/>
        </w:trPr>
        <w:tc>
          <w:tcPr>
            <w:tcW w:w="3180" w:type="dxa"/>
            <w:vAlign w:val="bottom"/>
          </w:tcPr>
          <w:p>
            <w:pPr>
              <w:spacing w:after="0"/>
              <w:rPr>
                <w:sz w:val="24"/>
                <w:szCs w:val="24"/>
                <w:color w:val="auto"/>
              </w:rPr>
            </w:pPr>
          </w:p>
        </w:tc>
        <w:tc>
          <w:tcPr>
            <w:tcW w:w="7480" w:type="dxa"/>
            <w:vAlign w:val="bottom"/>
            <w:gridSpan w:val="2"/>
          </w:tcPr>
          <w:p>
            <w:pPr>
              <w:ind w:left="1080"/>
              <w:spacing w:after="0"/>
              <w:rPr>
                <w:sz w:val="20"/>
                <w:szCs w:val="20"/>
                <w:color w:val="auto"/>
              </w:rPr>
            </w:pPr>
            <w:r>
              <w:rPr>
                <w:rFonts w:ascii="Arial" w:cs="Arial" w:eastAsia="Arial" w:hAnsi="Arial"/>
                <w:sz w:val="18"/>
                <w:szCs w:val="18"/>
                <w:b w:val="1"/>
                <w:bCs w:val="1"/>
                <w:color w:val="auto"/>
              </w:rPr>
              <w:t>CROSS-REFERENCE TABLE</w:t>
            </w:r>
            <w:r>
              <w:rPr>
                <w:rFonts w:ascii="Arial" w:cs="Arial" w:eastAsia="Arial" w:hAnsi="Arial"/>
                <w:sz w:val="26"/>
                <w:szCs w:val="26"/>
                <w:b w:val="1"/>
                <w:bCs w:val="1"/>
                <w:color w:val="auto"/>
                <w:vertAlign w:val="superscript"/>
              </w:rPr>
              <w:t>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1"/>
              </w:rPr>
              <w:t>Section of Trust Indenture Act of 1939, as Amended</w:t>
            </w:r>
          </w:p>
        </w:tc>
        <w:tc>
          <w:tcPr>
            <w:tcW w:w="65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Section of</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180" w:type="dxa"/>
            <w:vAlign w:val="bottom"/>
            <w:tcBorders>
              <w:bottom w:val="single" w:sz="8" w:color="auto"/>
            </w:tcBorders>
            <w:vMerge w:val="continue"/>
          </w:tcPr>
          <w:p>
            <w:pPr>
              <w:spacing w:after="0"/>
              <w:rPr>
                <w:sz w:val="16"/>
                <w:szCs w:val="16"/>
                <w:color w:val="auto"/>
              </w:rPr>
            </w:pPr>
          </w:p>
        </w:tc>
        <w:tc>
          <w:tcPr>
            <w:tcW w:w="65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Indenture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65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85"/>
              </w:rPr>
              <w:t>7.09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7.08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7.10</w:t>
            </w:r>
          </w:p>
        </w:tc>
        <w:tc>
          <w:tcPr>
            <w:tcW w:w="6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310(c)</w:t>
            </w:r>
          </w:p>
        </w:tc>
        <w:tc>
          <w:tcPr>
            <w:tcW w:w="65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65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5.02</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5.02</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5.02</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5.04</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5.04</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5.04</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5.04</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5.04</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5.03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93"/>
              </w:rPr>
              <w:t>13.12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65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93"/>
              </w:rPr>
              <w:t>13.07</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65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93"/>
              </w:rPr>
              <w:t>13.07</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65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7.01</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7.01</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7.01</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6.07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6.06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8.04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6.04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8.01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6.02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85"/>
              </w:rPr>
              <w:t>4.03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480" w:type="dxa"/>
            <w:vAlign w:val="bottom"/>
            <w:gridSpan w:val="2"/>
          </w:tcPr>
          <w:p>
            <w:pPr>
              <w:jc w:val="center"/>
              <w:ind w:left="6410"/>
              <w:spacing w:after="0"/>
              <w:rPr>
                <w:sz w:val="20"/>
                <w:szCs w:val="20"/>
                <w:color w:val="auto"/>
              </w:rPr>
            </w:pPr>
            <w:r>
              <w:rPr>
                <w:rFonts w:ascii="Arial" w:cs="Arial" w:eastAsia="Arial" w:hAnsi="Arial"/>
                <w:sz w:val="18"/>
                <w:szCs w:val="18"/>
                <w:color w:val="auto"/>
                <w:w w:val="93"/>
              </w:rPr>
              <w:t>13.09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360" w:hanging="424"/>
        <w:spacing w:after="0" w:line="207" w:lineRule="auto"/>
        <w:tabs>
          <w:tab w:leader="none" w:pos="424"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0" w:right="4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20"/>
        <w:spacing w:after="0"/>
        <w:tabs>
          <w:tab w:leader="none" w:pos="160" w:val="left"/>
        </w:tabs>
        <w:rPr>
          <w:sz w:val="20"/>
          <w:szCs w:val="20"/>
          <w:color w:val="auto"/>
        </w:rPr>
      </w:pPr>
      <w:r>
        <w:rPr>
          <w:rFonts w:ascii="Arial" w:cs="Arial" w:eastAsia="Arial" w:hAnsi="Arial"/>
          <w:sz w:val="18"/>
          <w:szCs w:val="18"/>
          <w:b w:val="1"/>
          <w:bCs w:val="1"/>
          <w:color w:val="auto"/>
        </w:rPr>
        <w:t>Dated as of [</w:t>
        <w:tab/>
        <w: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85" w:name="page86"/>
    <w:bookmarkEnd w:id="85"/>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Arial" w:cs="Arial" w:eastAsia="Arial" w:hAnsi="Arial"/>
          <w:sz w:val="26"/>
          <w:szCs w:val="26"/>
          <w:b w:val="1"/>
          <w:bCs w:val="1"/>
          <w:color w:val="auto"/>
          <w:vertAlign w:val="superscript"/>
        </w:rPr>
        <w:t>1</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54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1.01   Definitions of Terms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2.01   Designation and Terms of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2.02   Form of Securities and Trustee’s Certificate</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2.03   Denominations: Provisions for Payment</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2.04   Execution and Authentications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2.05   Registration of Transfer and Exchange</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2.06</w:t>
            </w:r>
          </w:p>
        </w:tc>
        <w:tc>
          <w:tcPr>
            <w:tcW w:w="816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2.07   Mutilated, Destroyed, Lost or Stolen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2.08</w:t>
            </w:r>
          </w:p>
        </w:tc>
        <w:tc>
          <w:tcPr>
            <w:tcW w:w="816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2.09   Benefits of Indenture</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2.10</w:t>
            </w:r>
          </w:p>
        </w:tc>
        <w:tc>
          <w:tcPr>
            <w:tcW w:w="8160" w:type="dxa"/>
            <w:vAlign w:val="bottom"/>
          </w:tcPr>
          <w:p>
            <w:pPr>
              <w:ind w:left="140"/>
              <w:spacing w:after="0"/>
              <w:rPr>
                <w:sz w:val="20"/>
                <w:szCs w:val="20"/>
                <w:color w:val="auto"/>
              </w:rPr>
            </w:pPr>
            <w:r>
              <w:rPr>
                <w:rFonts w:ascii="Arial" w:cs="Arial" w:eastAsia="Arial" w:hAnsi="Arial"/>
                <w:sz w:val="18"/>
                <w:szCs w:val="18"/>
                <w:color w:val="auto"/>
              </w:rPr>
              <w:t>Authenticating Agent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2.11</w:t>
            </w:r>
          </w:p>
        </w:tc>
        <w:tc>
          <w:tcPr>
            <w:tcW w:w="816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3.01</w:t>
            </w:r>
          </w:p>
        </w:tc>
        <w:tc>
          <w:tcPr>
            <w:tcW w:w="816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3.02   Notice of 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3.03   Payment Upon 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3.04</w:t>
            </w:r>
          </w:p>
        </w:tc>
        <w:tc>
          <w:tcPr>
            <w:tcW w:w="8160" w:type="dxa"/>
            <w:vAlign w:val="bottom"/>
          </w:tcPr>
          <w:p>
            <w:pPr>
              <w:ind w:left="140"/>
              <w:spacing w:after="0"/>
              <w:rPr>
                <w:sz w:val="20"/>
                <w:szCs w:val="20"/>
                <w:color w:val="auto"/>
              </w:rPr>
            </w:pPr>
            <w:r>
              <w:rPr>
                <w:rFonts w:ascii="Arial" w:cs="Arial" w:eastAsia="Arial" w:hAnsi="Arial"/>
                <w:sz w:val="18"/>
                <w:szCs w:val="18"/>
                <w:color w:val="auto"/>
              </w:rPr>
              <w:t>Sinking Fund</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3.06   Redemption of Securities for Sinking Fund</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4.01   Payment of Principal, Premium and Interest</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4.02   Maintenance of Office or Agency</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4.03</w:t>
            </w:r>
          </w:p>
        </w:tc>
        <w:tc>
          <w:tcPr>
            <w:tcW w:w="816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4.04   Appointment to Fill Vacancy in Office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4.05   Compliance with Consolidation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5.03   Reports by the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5.04   Reports by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6.03   Application of Moneys Collected</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6.04   Limitation on Suits</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6.06   Control by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6.07   Undertaking to Pay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7 CONCERNING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7.01   Certain Duties and Responsibilities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7.02   Certain Rights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7.04   May Hold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7.05   Moneys Held in Trust</w:t>
            </w: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680" w:hanging="424"/>
        <w:spacing w:after="0" w:line="207" w:lineRule="auto"/>
        <w:tabs>
          <w:tab w:leader="none" w:pos="424" w:val="left"/>
        </w:tabs>
        <w:numPr>
          <w:ilvl w:val="0"/>
          <w:numId w:val="85"/>
        </w:numPr>
        <w:rPr>
          <w:rFonts w:ascii="Arial" w:cs="Arial" w:eastAsia="Arial" w:hAnsi="Arial"/>
          <w:sz w:val="27"/>
          <w:szCs w:val="27"/>
          <w:color w:val="auto"/>
          <w:vertAlign w:val="superscript"/>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4"/>
          </w:cols>
          <w:pgMar w:left="436" w:top="270" w:right="4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7600" w:type="dxa"/>
            <w:vAlign w:val="bottom"/>
          </w:tcPr>
          <w:p>
            <w:pPr>
              <w:jc w:val="center"/>
              <w:ind w:left="43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7600" w:type="dxa"/>
            <w:vAlign w:val="bottom"/>
          </w:tcPr>
          <w:p>
            <w:pPr>
              <w:jc w:val="center"/>
              <w:ind w:left="430"/>
              <w:spacing w:after="0"/>
              <w:rPr>
                <w:sz w:val="20"/>
                <w:szCs w:val="20"/>
                <w:color w:val="auto"/>
              </w:rPr>
            </w:pPr>
            <w:r>
              <w:rPr>
                <w:rFonts w:ascii="Arial" w:cs="Arial" w:eastAsia="Arial" w:hAnsi="Arial"/>
                <w:sz w:val="18"/>
                <w:szCs w:val="18"/>
                <w:color w:val="auto"/>
                <w:w w:val="93"/>
              </w:rPr>
              <w:t>(continued)</w:t>
            </w:r>
          </w:p>
        </w:tc>
        <w:tc>
          <w:tcPr>
            <w:tcW w:w="1920" w:type="dxa"/>
            <w:vAlign w:val="bottom"/>
          </w:tcPr>
          <w:p>
            <w:pPr>
              <w:spacing w:after="0"/>
              <w:rPr>
                <w:sz w:val="20"/>
                <w:szCs w:val="20"/>
                <w:color w:val="auto"/>
              </w:rPr>
            </w:pPr>
          </w:p>
        </w:tc>
      </w:tr>
      <w:tr>
        <w:trPr>
          <w:trHeight w:val="407"/>
        </w:trPr>
        <w:tc>
          <w:tcPr>
            <w:tcW w:w="14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44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600" w:type="dxa"/>
            <w:vAlign w:val="bottom"/>
          </w:tcPr>
          <w:p>
            <w:pPr>
              <w:ind w:left="80"/>
              <w:spacing w:after="0"/>
              <w:rPr>
                <w:sz w:val="20"/>
                <w:szCs w:val="20"/>
                <w:color w:val="auto"/>
              </w:rPr>
            </w:pPr>
            <w:r>
              <w:rPr>
                <w:rFonts w:ascii="Arial" w:cs="Arial" w:eastAsia="Arial" w:hAnsi="Arial"/>
                <w:sz w:val="18"/>
                <w:szCs w:val="18"/>
                <w:color w:val="auto"/>
              </w:rPr>
              <w:t>Compensation and Reimbursement</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600" w:type="dxa"/>
            <w:vAlign w:val="bottom"/>
          </w:tcPr>
          <w:p>
            <w:pPr>
              <w:ind w:left="80"/>
              <w:spacing w:after="0"/>
              <w:rPr>
                <w:sz w:val="20"/>
                <w:szCs w:val="20"/>
                <w:color w:val="auto"/>
              </w:rPr>
            </w:pPr>
            <w:r>
              <w:rPr>
                <w:rFonts w:ascii="Arial" w:cs="Arial" w:eastAsia="Arial" w:hAnsi="Arial"/>
                <w:sz w:val="18"/>
                <w:szCs w:val="18"/>
                <w:color w:val="auto"/>
              </w:rPr>
              <w:t>Reliance on Officer’s Certificate</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600" w:type="dxa"/>
            <w:vAlign w:val="bottom"/>
          </w:tcPr>
          <w:p>
            <w:pPr>
              <w:ind w:left="80"/>
              <w:spacing w:after="0"/>
              <w:rPr>
                <w:sz w:val="20"/>
                <w:szCs w:val="20"/>
                <w:color w:val="auto"/>
              </w:rPr>
            </w:pPr>
            <w:r>
              <w:rPr>
                <w:rFonts w:ascii="Arial" w:cs="Arial" w:eastAsia="Arial" w:hAnsi="Arial"/>
                <w:sz w:val="18"/>
                <w:szCs w:val="18"/>
                <w:color w:val="auto"/>
              </w:rPr>
              <w:t>Disqualification; Conflicting Interests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600" w:type="dxa"/>
            <w:vAlign w:val="bottom"/>
          </w:tcPr>
          <w:p>
            <w:pPr>
              <w:ind w:left="80"/>
              <w:spacing w:after="0"/>
              <w:rPr>
                <w:sz w:val="20"/>
                <w:szCs w:val="20"/>
                <w:color w:val="auto"/>
              </w:rPr>
            </w:pPr>
            <w:r>
              <w:rPr>
                <w:rFonts w:ascii="Arial" w:cs="Arial" w:eastAsia="Arial" w:hAnsi="Arial"/>
                <w:sz w:val="18"/>
                <w:szCs w:val="18"/>
                <w:color w:val="auto"/>
              </w:rPr>
              <w:t>Corporate Trustee Required; Eligibility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600" w:type="dxa"/>
            <w:vAlign w:val="bottom"/>
          </w:tcPr>
          <w:p>
            <w:pPr>
              <w:ind w:left="80"/>
              <w:spacing w:after="0"/>
              <w:rPr>
                <w:sz w:val="20"/>
                <w:szCs w:val="20"/>
                <w:color w:val="auto"/>
              </w:rPr>
            </w:pPr>
            <w:r>
              <w:rPr>
                <w:rFonts w:ascii="Arial" w:cs="Arial" w:eastAsia="Arial" w:hAnsi="Arial"/>
                <w:sz w:val="18"/>
                <w:szCs w:val="18"/>
                <w:color w:val="auto"/>
              </w:rPr>
              <w:t>Resignation and Removal; Appointment of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600" w:type="dxa"/>
            <w:vAlign w:val="bottom"/>
          </w:tcPr>
          <w:p>
            <w:pPr>
              <w:ind w:left="80"/>
              <w:spacing w:after="0"/>
              <w:rPr>
                <w:sz w:val="20"/>
                <w:szCs w:val="20"/>
                <w:color w:val="auto"/>
              </w:rPr>
            </w:pPr>
            <w:r>
              <w:rPr>
                <w:rFonts w:ascii="Arial" w:cs="Arial" w:eastAsia="Arial" w:hAnsi="Arial"/>
                <w:sz w:val="18"/>
                <w:szCs w:val="18"/>
                <w:color w:val="auto"/>
              </w:rPr>
              <w:t>Acceptance of Appointment By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600" w:type="dxa"/>
            <w:vAlign w:val="bottom"/>
          </w:tcPr>
          <w:p>
            <w:pPr>
              <w:ind w:left="80"/>
              <w:spacing w:after="0"/>
              <w:rPr>
                <w:sz w:val="20"/>
                <w:szCs w:val="20"/>
                <w:color w:val="auto"/>
              </w:rPr>
            </w:pPr>
            <w:r>
              <w:rPr>
                <w:rFonts w:ascii="Arial" w:cs="Arial" w:eastAsia="Arial" w:hAnsi="Arial"/>
                <w:sz w:val="18"/>
                <w:szCs w:val="18"/>
                <w:color w:val="auto"/>
              </w:rPr>
              <w:t>Merger, Conversion, Consolidation or Succession to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600" w:type="dxa"/>
            <w:vAlign w:val="bottom"/>
          </w:tcPr>
          <w:p>
            <w:pPr>
              <w:ind w:left="80"/>
              <w:spacing w:after="0"/>
              <w:rPr>
                <w:sz w:val="20"/>
                <w:szCs w:val="20"/>
                <w:color w:val="auto"/>
              </w:rPr>
            </w:pPr>
            <w:r>
              <w:rPr>
                <w:rFonts w:ascii="Arial" w:cs="Arial" w:eastAsia="Arial" w:hAnsi="Arial"/>
                <w:sz w:val="18"/>
                <w:szCs w:val="18"/>
                <w:color w:val="auto"/>
              </w:rPr>
              <w:t>Preferential Collection of Claims Against the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600" w:type="dxa"/>
            <w:vAlign w:val="bottom"/>
          </w:tcPr>
          <w:p>
            <w:pPr>
              <w:ind w:left="80"/>
              <w:spacing w:after="0"/>
              <w:rPr>
                <w:sz w:val="20"/>
                <w:szCs w:val="20"/>
                <w:color w:val="auto"/>
              </w:rPr>
            </w:pPr>
            <w:r>
              <w:rPr>
                <w:rFonts w:ascii="Arial" w:cs="Arial" w:eastAsia="Arial" w:hAnsi="Arial"/>
                <w:sz w:val="18"/>
                <w:szCs w:val="18"/>
                <w:color w:val="auto"/>
              </w:rPr>
              <w:t>Notice of Default</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8 CONCERNING THE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600" w:type="dxa"/>
            <w:vAlign w:val="bottom"/>
          </w:tcPr>
          <w:p>
            <w:pPr>
              <w:ind w:left="80"/>
              <w:spacing w:after="0"/>
              <w:rPr>
                <w:sz w:val="20"/>
                <w:szCs w:val="20"/>
                <w:color w:val="auto"/>
              </w:rPr>
            </w:pPr>
            <w:r>
              <w:rPr>
                <w:rFonts w:ascii="Arial" w:cs="Arial" w:eastAsia="Arial" w:hAnsi="Arial"/>
                <w:sz w:val="18"/>
                <w:szCs w:val="18"/>
                <w:color w:val="auto"/>
              </w:rPr>
              <w:t>Evidence of Action by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600" w:type="dxa"/>
            <w:vAlign w:val="bottom"/>
          </w:tcPr>
          <w:p>
            <w:pPr>
              <w:ind w:left="80"/>
              <w:spacing w:after="0"/>
              <w:rPr>
                <w:sz w:val="20"/>
                <w:szCs w:val="20"/>
                <w:color w:val="auto"/>
              </w:rPr>
            </w:pPr>
            <w:r>
              <w:rPr>
                <w:rFonts w:ascii="Arial" w:cs="Arial" w:eastAsia="Arial" w:hAnsi="Arial"/>
                <w:sz w:val="18"/>
                <w:szCs w:val="18"/>
                <w:color w:val="auto"/>
              </w:rPr>
              <w:t>Proof of Execution by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600" w:type="dxa"/>
            <w:vAlign w:val="bottom"/>
          </w:tcPr>
          <w:p>
            <w:pPr>
              <w:ind w:left="80"/>
              <w:spacing w:after="0"/>
              <w:rPr>
                <w:sz w:val="20"/>
                <w:szCs w:val="20"/>
                <w:color w:val="auto"/>
              </w:rPr>
            </w:pPr>
            <w:r>
              <w:rPr>
                <w:rFonts w:ascii="Arial" w:cs="Arial" w:eastAsia="Arial" w:hAnsi="Arial"/>
                <w:sz w:val="18"/>
                <w:szCs w:val="18"/>
                <w:color w:val="auto"/>
              </w:rPr>
              <w:t>Who May be Deemed Owners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600" w:type="dxa"/>
            <w:vAlign w:val="bottom"/>
          </w:tcPr>
          <w:p>
            <w:pPr>
              <w:ind w:left="80"/>
              <w:spacing w:after="0"/>
              <w:rPr>
                <w:sz w:val="20"/>
                <w:szCs w:val="20"/>
                <w:color w:val="auto"/>
              </w:rPr>
            </w:pPr>
            <w:r>
              <w:rPr>
                <w:rFonts w:ascii="Arial" w:cs="Arial" w:eastAsia="Arial" w:hAnsi="Arial"/>
                <w:sz w:val="18"/>
                <w:szCs w:val="18"/>
                <w:color w:val="auto"/>
              </w:rPr>
              <w:t>Certain Securities Owned by Company Disregarded</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600" w:type="dxa"/>
            <w:vAlign w:val="bottom"/>
          </w:tcPr>
          <w:p>
            <w:pPr>
              <w:ind w:left="80"/>
              <w:spacing w:after="0"/>
              <w:rPr>
                <w:sz w:val="20"/>
                <w:szCs w:val="20"/>
                <w:color w:val="auto"/>
              </w:rPr>
            </w:pPr>
            <w:r>
              <w:rPr>
                <w:rFonts w:ascii="Arial" w:cs="Arial" w:eastAsia="Arial" w:hAnsi="Arial"/>
                <w:sz w:val="18"/>
                <w:szCs w:val="18"/>
                <w:color w:val="auto"/>
              </w:rPr>
              <w:t>Actions Binding on Future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600" w:type="dxa"/>
            <w:vAlign w:val="bottom"/>
          </w:tcPr>
          <w:p>
            <w:pPr>
              <w:ind w:left="80"/>
              <w:spacing w:after="0"/>
              <w:rPr>
                <w:sz w:val="20"/>
                <w:szCs w:val="20"/>
                <w:color w:val="auto"/>
              </w:rPr>
            </w:pPr>
            <w:r>
              <w:rPr>
                <w:rFonts w:ascii="Arial" w:cs="Arial" w:eastAsia="Arial" w:hAnsi="Arial"/>
                <w:sz w:val="18"/>
                <w:szCs w:val="18"/>
                <w:color w:val="auto"/>
              </w:rPr>
              <w:t>Supplemental Indentures Without the Consent of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600" w:type="dxa"/>
            <w:vAlign w:val="bottom"/>
          </w:tcPr>
          <w:p>
            <w:pPr>
              <w:ind w:left="80"/>
              <w:spacing w:after="0"/>
              <w:rPr>
                <w:sz w:val="20"/>
                <w:szCs w:val="20"/>
                <w:color w:val="auto"/>
              </w:rPr>
            </w:pPr>
            <w:r>
              <w:rPr>
                <w:rFonts w:ascii="Arial" w:cs="Arial" w:eastAsia="Arial" w:hAnsi="Arial"/>
                <w:sz w:val="18"/>
                <w:szCs w:val="18"/>
                <w:color w:val="auto"/>
              </w:rPr>
              <w:t>Supplemental Indentures With Consent of Securityholders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600" w:type="dxa"/>
            <w:vAlign w:val="bottom"/>
          </w:tcPr>
          <w:p>
            <w:pPr>
              <w:ind w:left="80"/>
              <w:spacing w:after="0"/>
              <w:rPr>
                <w:sz w:val="20"/>
                <w:szCs w:val="20"/>
                <w:color w:val="auto"/>
              </w:rPr>
            </w:pPr>
            <w:r>
              <w:rPr>
                <w:rFonts w:ascii="Arial" w:cs="Arial" w:eastAsia="Arial" w:hAnsi="Arial"/>
                <w:sz w:val="18"/>
                <w:szCs w:val="18"/>
                <w:color w:val="auto"/>
              </w:rPr>
              <w:t>Effect of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600" w:type="dxa"/>
            <w:vAlign w:val="bottom"/>
          </w:tcPr>
          <w:p>
            <w:pPr>
              <w:ind w:left="80"/>
              <w:spacing w:after="0"/>
              <w:rPr>
                <w:sz w:val="20"/>
                <w:szCs w:val="20"/>
                <w:color w:val="auto"/>
              </w:rPr>
            </w:pPr>
            <w:r>
              <w:rPr>
                <w:rFonts w:ascii="Arial" w:cs="Arial" w:eastAsia="Arial" w:hAnsi="Arial"/>
                <w:sz w:val="18"/>
                <w:szCs w:val="18"/>
                <w:color w:val="auto"/>
              </w:rPr>
              <w:t>Securities Affected by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600" w:type="dxa"/>
            <w:vAlign w:val="bottom"/>
          </w:tcPr>
          <w:p>
            <w:pPr>
              <w:ind w:left="80"/>
              <w:spacing w:after="0"/>
              <w:rPr>
                <w:sz w:val="20"/>
                <w:szCs w:val="20"/>
                <w:color w:val="auto"/>
              </w:rPr>
            </w:pPr>
            <w:r>
              <w:rPr>
                <w:rFonts w:ascii="Arial" w:cs="Arial" w:eastAsia="Arial" w:hAnsi="Arial"/>
                <w:sz w:val="18"/>
                <w:szCs w:val="18"/>
                <w:color w:val="auto"/>
              </w:rPr>
              <w:t>Execution of 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10 SUCCESSOR ENTITY</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10.01</w:t>
            </w:r>
          </w:p>
        </w:tc>
        <w:tc>
          <w:tcPr>
            <w:tcW w:w="7600" w:type="dxa"/>
            <w:vAlign w:val="bottom"/>
          </w:tcPr>
          <w:p>
            <w:pPr>
              <w:ind w:left="80"/>
              <w:spacing w:after="0"/>
              <w:rPr>
                <w:sz w:val="20"/>
                <w:szCs w:val="20"/>
                <w:color w:val="auto"/>
              </w:rPr>
            </w:pPr>
            <w:r>
              <w:rPr>
                <w:rFonts w:ascii="Arial" w:cs="Arial" w:eastAsia="Arial" w:hAnsi="Arial"/>
                <w:sz w:val="18"/>
                <w:szCs w:val="18"/>
                <w:color w:val="auto"/>
              </w:rPr>
              <w:t>Company May Consolidate, Etc.</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10.02</w:t>
            </w:r>
          </w:p>
        </w:tc>
        <w:tc>
          <w:tcPr>
            <w:tcW w:w="7600" w:type="dxa"/>
            <w:vAlign w:val="bottom"/>
          </w:tcPr>
          <w:p>
            <w:pPr>
              <w:ind w:left="80"/>
              <w:spacing w:after="0"/>
              <w:rPr>
                <w:sz w:val="20"/>
                <w:szCs w:val="20"/>
                <w:color w:val="auto"/>
              </w:rPr>
            </w:pPr>
            <w:r>
              <w:rPr>
                <w:rFonts w:ascii="Arial" w:cs="Arial" w:eastAsia="Arial" w:hAnsi="Arial"/>
                <w:sz w:val="18"/>
                <w:szCs w:val="18"/>
                <w:color w:val="auto"/>
              </w:rPr>
              <w:t>Successor Entity Substituted</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11.01</w:t>
            </w:r>
          </w:p>
        </w:tc>
        <w:tc>
          <w:tcPr>
            <w:tcW w:w="7600" w:type="dxa"/>
            <w:vAlign w:val="bottom"/>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11.02</w:t>
            </w:r>
          </w:p>
        </w:tc>
        <w:tc>
          <w:tcPr>
            <w:tcW w:w="7600" w:type="dxa"/>
            <w:vAlign w:val="bottom"/>
          </w:tcPr>
          <w:p>
            <w:pPr>
              <w:ind w:left="80"/>
              <w:spacing w:after="0"/>
              <w:rPr>
                <w:sz w:val="20"/>
                <w:szCs w:val="20"/>
                <w:color w:val="auto"/>
              </w:rPr>
            </w:pPr>
            <w:r>
              <w:rPr>
                <w:rFonts w:ascii="Arial" w:cs="Arial" w:eastAsia="Arial" w:hAnsi="Arial"/>
                <w:sz w:val="18"/>
                <w:szCs w:val="18"/>
                <w:color w:val="auto"/>
              </w:rPr>
              <w:t>Discharge of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11.03</w:t>
            </w:r>
          </w:p>
        </w:tc>
        <w:tc>
          <w:tcPr>
            <w:tcW w:w="7600" w:type="dxa"/>
            <w:vAlign w:val="bottom"/>
          </w:tcPr>
          <w:p>
            <w:pPr>
              <w:ind w:left="80"/>
              <w:spacing w:after="0"/>
              <w:rPr>
                <w:sz w:val="20"/>
                <w:szCs w:val="20"/>
                <w:color w:val="auto"/>
              </w:rPr>
            </w:pPr>
            <w:r>
              <w:rPr>
                <w:rFonts w:ascii="Arial" w:cs="Arial" w:eastAsia="Arial" w:hAnsi="Arial"/>
                <w:sz w:val="18"/>
                <w:szCs w:val="18"/>
                <w:color w:val="auto"/>
              </w:rPr>
              <w:t>Deposited Moneys to be Held in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11.04</w:t>
            </w:r>
          </w:p>
        </w:tc>
        <w:tc>
          <w:tcPr>
            <w:tcW w:w="7600" w:type="dxa"/>
            <w:vAlign w:val="bottom"/>
          </w:tcPr>
          <w:p>
            <w:pPr>
              <w:ind w:left="80"/>
              <w:spacing w:after="0"/>
              <w:rPr>
                <w:sz w:val="20"/>
                <w:szCs w:val="20"/>
                <w:color w:val="auto"/>
              </w:rPr>
            </w:pPr>
            <w:r>
              <w:rPr>
                <w:rFonts w:ascii="Arial" w:cs="Arial" w:eastAsia="Arial" w:hAnsi="Arial"/>
                <w:sz w:val="18"/>
                <w:szCs w:val="18"/>
                <w:color w:val="auto"/>
              </w:rPr>
              <w:t>Payment of Moneys Held by Paying Agents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11.05</w:t>
            </w:r>
          </w:p>
        </w:tc>
        <w:tc>
          <w:tcPr>
            <w:tcW w:w="7600" w:type="dxa"/>
            <w:vAlign w:val="bottom"/>
          </w:tcPr>
          <w:p>
            <w:pPr>
              <w:ind w:left="80"/>
              <w:spacing w:after="0"/>
              <w:rPr>
                <w:sz w:val="20"/>
                <w:szCs w:val="20"/>
                <w:color w:val="auto"/>
              </w:rPr>
            </w:pPr>
            <w:r>
              <w:rPr>
                <w:rFonts w:ascii="Arial" w:cs="Arial" w:eastAsia="Arial" w:hAnsi="Arial"/>
                <w:sz w:val="18"/>
                <w:szCs w:val="18"/>
                <w:color w:val="auto"/>
              </w:rPr>
              <w:t>Repayment to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12.01</w:t>
            </w:r>
          </w:p>
        </w:tc>
        <w:tc>
          <w:tcPr>
            <w:tcW w:w="7600" w:type="dxa"/>
            <w:vAlign w:val="bottom"/>
          </w:tcPr>
          <w:p>
            <w:pPr>
              <w:ind w:left="80"/>
              <w:spacing w:after="0"/>
              <w:rPr>
                <w:sz w:val="20"/>
                <w:szCs w:val="20"/>
                <w:color w:val="auto"/>
              </w:rPr>
            </w:pPr>
            <w:r>
              <w:rPr>
                <w:rFonts w:ascii="Arial" w:cs="Arial" w:eastAsia="Arial" w:hAnsi="Arial"/>
                <w:sz w:val="18"/>
                <w:szCs w:val="18"/>
                <w:color w:val="auto"/>
              </w:rPr>
              <w:t>No Recourse</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13.01</w:t>
            </w:r>
          </w:p>
        </w:tc>
        <w:tc>
          <w:tcPr>
            <w:tcW w:w="7600" w:type="dxa"/>
            <w:vAlign w:val="bottom"/>
          </w:tcPr>
          <w:p>
            <w:pPr>
              <w:ind w:left="80"/>
              <w:spacing w:after="0"/>
              <w:rPr>
                <w:sz w:val="20"/>
                <w:szCs w:val="20"/>
                <w:color w:val="auto"/>
              </w:rPr>
            </w:pPr>
            <w:r>
              <w:rPr>
                <w:rFonts w:ascii="Arial" w:cs="Arial" w:eastAsia="Arial" w:hAnsi="Arial"/>
                <w:sz w:val="18"/>
                <w:szCs w:val="18"/>
                <w:color w:val="auto"/>
              </w:rPr>
              <w:t>Effect on 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13.02</w:t>
            </w:r>
          </w:p>
        </w:tc>
        <w:tc>
          <w:tcPr>
            <w:tcW w:w="7600" w:type="dxa"/>
            <w:vAlign w:val="bottom"/>
          </w:tcPr>
          <w:p>
            <w:pPr>
              <w:ind w:left="80"/>
              <w:spacing w:after="0"/>
              <w:rPr>
                <w:sz w:val="20"/>
                <w:szCs w:val="20"/>
                <w:color w:val="auto"/>
              </w:rPr>
            </w:pPr>
            <w:r>
              <w:rPr>
                <w:rFonts w:ascii="Arial" w:cs="Arial" w:eastAsia="Arial" w:hAnsi="Arial"/>
                <w:sz w:val="18"/>
                <w:szCs w:val="18"/>
                <w:color w:val="auto"/>
              </w:rPr>
              <w:t>Actions by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13.03</w:t>
            </w:r>
          </w:p>
        </w:tc>
        <w:tc>
          <w:tcPr>
            <w:tcW w:w="7600" w:type="dxa"/>
            <w:vAlign w:val="bottom"/>
          </w:tcPr>
          <w:p>
            <w:pPr>
              <w:ind w:left="80"/>
              <w:spacing w:after="0"/>
              <w:rPr>
                <w:sz w:val="20"/>
                <w:szCs w:val="20"/>
                <w:color w:val="auto"/>
              </w:rPr>
            </w:pPr>
            <w:r>
              <w:rPr>
                <w:rFonts w:ascii="Arial" w:cs="Arial" w:eastAsia="Arial" w:hAnsi="Arial"/>
                <w:sz w:val="18"/>
                <w:szCs w:val="18"/>
                <w:color w:val="auto"/>
              </w:rPr>
              <w:t>Surrender of Company Powers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13.04</w:t>
            </w:r>
          </w:p>
        </w:tc>
        <w:tc>
          <w:tcPr>
            <w:tcW w:w="7600" w:type="dxa"/>
            <w:vAlign w:val="bottom"/>
          </w:tcPr>
          <w:p>
            <w:pPr>
              <w:ind w:left="8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13.05</w:t>
            </w:r>
          </w:p>
        </w:tc>
        <w:tc>
          <w:tcPr>
            <w:tcW w:w="760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13.06</w:t>
            </w:r>
          </w:p>
        </w:tc>
        <w:tc>
          <w:tcPr>
            <w:tcW w:w="7600" w:type="dxa"/>
            <w:vAlign w:val="bottom"/>
          </w:tcPr>
          <w:p>
            <w:pPr>
              <w:ind w:left="80"/>
              <w:spacing w:after="0"/>
              <w:rPr>
                <w:sz w:val="20"/>
                <w:szCs w:val="20"/>
                <w:color w:val="auto"/>
              </w:rPr>
            </w:pPr>
            <w:r>
              <w:rPr>
                <w:rFonts w:ascii="Arial" w:cs="Arial" w:eastAsia="Arial" w:hAnsi="Arial"/>
                <w:sz w:val="18"/>
                <w:szCs w:val="18"/>
                <w:color w:val="auto"/>
              </w:rPr>
              <w:t>Treatment of Securities as Debt</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13.07</w:t>
            </w:r>
          </w:p>
        </w:tc>
        <w:tc>
          <w:tcPr>
            <w:tcW w:w="7600" w:type="dxa"/>
            <w:vAlign w:val="bottom"/>
          </w:tcPr>
          <w:p>
            <w:pPr>
              <w:ind w:left="80"/>
              <w:spacing w:after="0"/>
              <w:rPr>
                <w:sz w:val="20"/>
                <w:szCs w:val="20"/>
                <w:color w:val="auto"/>
              </w:rPr>
            </w:pPr>
            <w:r>
              <w:rPr>
                <w:rFonts w:ascii="Arial" w:cs="Arial" w:eastAsia="Arial" w:hAnsi="Arial"/>
                <w:sz w:val="18"/>
                <w:szCs w:val="18"/>
                <w:color w:val="auto"/>
              </w:rPr>
              <w:t>Certificates and Opinions as to Conditions Precedent</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13.08</w:t>
            </w:r>
          </w:p>
        </w:tc>
        <w:tc>
          <w:tcPr>
            <w:tcW w:w="7600" w:type="dxa"/>
            <w:vAlign w:val="bottom"/>
          </w:tcPr>
          <w:p>
            <w:pPr>
              <w:ind w:left="80"/>
              <w:spacing w:after="0"/>
              <w:rPr>
                <w:sz w:val="20"/>
                <w:szCs w:val="20"/>
                <w:color w:val="auto"/>
              </w:rPr>
            </w:pPr>
            <w:r>
              <w:rPr>
                <w:rFonts w:ascii="Arial" w:cs="Arial" w:eastAsia="Arial" w:hAnsi="Arial"/>
                <w:sz w:val="18"/>
                <w:szCs w:val="18"/>
                <w:color w:val="auto"/>
              </w:rPr>
              <w:t>Payments on Business Days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13.09</w:t>
            </w:r>
          </w:p>
        </w:tc>
        <w:tc>
          <w:tcPr>
            <w:tcW w:w="7600" w:type="dxa"/>
            <w:vAlign w:val="bottom"/>
          </w:tcPr>
          <w:p>
            <w:pPr>
              <w:ind w:left="80"/>
              <w:spacing w:after="0"/>
              <w:rPr>
                <w:sz w:val="20"/>
                <w:szCs w:val="20"/>
                <w:color w:val="auto"/>
              </w:rPr>
            </w:pPr>
            <w:r>
              <w:rPr>
                <w:rFonts w:ascii="Arial" w:cs="Arial" w:eastAsia="Arial" w:hAnsi="Arial"/>
                <w:sz w:val="18"/>
                <w:szCs w:val="18"/>
                <w:color w:val="auto"/>
              </w:rPr>
              <w:t>Conflict with Trust Indenture Act</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13.10</w:t>
            </w:r>
          </w:p>
        </w:tc>
        <w:tc>
          <w:tcPr>
            <w:tcW w:w="760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13.11</w:t>
            </w:r>
          </w:p>
        </w:tc>
        <w:tc>
          <w:tcPr>
            <w:tcW w:w="7600" w:type="dxa"/>
            <w:vAlign w:val="bottom"/>
          </w:tcPr>
          <w:p>
            <w:pPr>
              <w:ind w:left="80"/>
              <w:spacing w:after="0"/>
              <w:rPr>
                <w:sz w:val="20"/>
                <w:szCs w:val="20"/>
                <w:color w:val="auto"/>
              </w:rPr>
            </w:pPr>
            <w:r>
              <w:rPr>
                <w:rFonts w:ascii="Arial" w:cs="Arial" w:eastAsia="Arial" w:hAnsi="Arial"/>
                <w:sz w:val="18"/>
                <w:szCs w:val="18"/>
                <w:color w:val="auto"/>
              </w:rPr>
              <w:t>Separability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13.12</w:t>
            </w:r>
          </w:p>
        </w:tc>
        <w:tc>
          <w:tcPr>
            <w:tcW w:w="7600" w:type="dxa"/>
            <w:vAlign w:val="bottom"/>
          </w:tcPr>
          <w:p>
            <w:pPr>
              <w:ind w:left="80"/>
              <w:spacing w:after="0"/>
              <w:rPr>
                <w:sz w:val="20"/>
                <w:szCs w:val="20"/>
                <w:color w:val="auto"/>
              </w:rPr>
            </w:pPr>
            <w:r>
              <w:rPr>
                <w:rFonts w:ascii="Arial" w:cs="Arial" w:eastAsia="Arial" w:hAnsi="Arial"/>
                <w:sz w:val="18"/>
                <w:szCs w:val="18"/>
                <w:color w:val="auto"/>
              </w:rPr>
              <w:t>Compliance Certificates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14 SUBORDINATION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14.01</w:t>
            </w:r>
          </w:p>
        </w:tc>
        <w:tc>
          <w:tcPr>
            <w:tcW w:w="7600" w:type="dxa"/>
            <w:vAlign w:val="bottom"/>
          </w:tcPr>
          <w:p>
            <w:pPr>
              <w:ind w:left="80"/>
              <w:spacing w:after="0"/>
              <w:rPr>
                <w:sz w:val="20"/>
                <w:szCs w:val="20"/>
                <w:color w:val="auto"/>
              </w:rPr>
            </w:pPr>
            <w:r>
              <w:rPr>
                <w:rFonts w:ascii="Arial" w:cs="Arial" w:eastAsia="Arial" w:hAnsi="Arial"/>
                <w:sz w:val="18"/>
                <w:szCs w:val="18"/>
                <w:color w:val="auto"/>
              </w:rPr>
              <w:t>Subordination Terms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440" w:type="dxa"/>
            <w:vAlign w:val="bottom"/>
          </w:tcPr>
          <w:p>
            <w:pPr>
              <w:spacing w:after="0"/>
              <w:rPr>
                <w:sz w:val="24"/>
                <w:szCs w:val="24"/>
                <w:color w:val="auto"/>
              </w:rPr>
            </w:pPr>
          </w:p>
        </w:tc>
        <w:tc>
          <w:tcPr>
            <w:tcW w:w="7600" w:type="dxa"/>
            <w:vAlign w:val="bottom"/>
          </w:tcPr>
          <w:p>
            <w:pPr>
              <w:jc w:val="center"/>
              <w:ind w:left="450"/>
              <w:spacing w:after="0"/>
              <w:rPr>
                <w:sz w:val="20"/>
                <w:szCs w:val="20"/>
                <w:color w:val="auto"/>
              </w:rPr>
            </w:pPr>
            <w:r>
              <w:rPr>
                <w:rFonts w:ascii="Arial" w:cs="Arial" w:eastAsia="Arial" w:hAnsi="Arial"/>
                <w:sz w:val="18"/>
                <w:szCs w:val="18"/>
                <w:color w:val="auto"/>
              </w:rPr>
              <w:t>-ii-</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dated as of [ ], among</w:t>
      </w:r>
      <w:r>
        <w:rPr>
          <w:rFonts w:ascii="Arial" w:cs="Arial" w:eastAsia="Arial" w:hAnsi="Arial"/>
          <w:sz w:val="18"/>
          <w:szCs w:val="18"/>
          <w:b w:val="1"/>
          <w:bCs w:val="1"/>
          <w:color w:val="auto"/>
        </w:rPr>
        <w:t xml:space="preserve"> DISC MEDICINE, INC., </w:t>
      </w:r>
      <w:r>
        <w:rPr>
          <w:rFonts w:ascii="Arial" w:cs="Arial" w:eastAsia="Arial" w:hAnsi="Arial"/>
          <w:sz w:val="18"/>
          <w:szCs w:val="18"/>
          <w:color w:val="auto"/>
        </w:rPr>
        <w:t>a Delaware corporation (the “Company”),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for the equal and ratable benefit of the holders of Securities: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 of Terms</w:t>
      </w:r>
      <w:r>
        <w:rPr>
          <w:rFonts w:ascii="Arial" w:cs="Arial" w:eastAsia="Arial" w:hAnsi="Arial"/>
          <w:sz w:val="16"/>
          <w:szCs w:val="16"/>
          <w:color w:val="auto"/>
        </w:rPr>
        <w:t>.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an authenticating agent with respect to all or any of the series of Securities appointed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Disc Medicine,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9" w:name="page90"/>
    <w:bookmarkEnd w:id="89"/>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w:t>
      </w:r>
      <w:r>
        <w:rPr>
          <w:rFonts w:ascii="Arial" w:cs="Arial" w:eastAsia="Arial" w:hAnsi="Arial"/>
          <w:sz w:val="18"/>
          <w:szCs w:val="18"/>
          <w:b w:val="1"/>
          <w:bCs w:val="1"/>
          <w:i w:val="1"/>
          <w:i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firstLine="436"/>
        <w:spacing w:after="0" w:line="26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by one or more subsidiaries of such Person or by such Person and one or more subsidiaries of such Person;</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partnership in which such Person or a subsidiary of such Person is, at the date of determination, a general partner of such partnership; or</w:t>
      </w:r>
    </w:p>
    <w:p>
      <w:pPr>
        <w:spacing w:after="0" w:line="248"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w:t>
      </w:r>
      <w:r>
        <w:rPr>
          <w:rFonts w:ascii="Arial" w:cs="Arial" w:eastAsia="Arial" w:hAnsi="Arial"/>
          <w:sz w:val="18"/>
          <w:szCs w:val="18"/>
          <w:b w:val="1"/>
          <w:bCs w:val="1"/>
          <w:color w:val="auto"/>
        </w:rPr>
        <w:t>TRUSTEE</w:t>
      </w:r>
      <w:r>
        <w:rPr>
          <w:rFonts w:ascii="Arial" w:cs="Arial" w:eastAsia="Arial" w:hAnsi="Arial"/>
          <w:sz w:val="18"/>
          <w:szCs w:val="18"/>
          <w:color w:val="auto"/>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301"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color w:val="auto"/>
        </w:rPr>
      </w:pPr>
    </w:p>
    <w:p>
      <w:pPr>
        <w:jc w:val="both"/>
        <w:ind w:right="420" w:firstLine="987"/>
        <w:spacing w:after="0" w:line="263"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right="20" w:firstLine="987"/>
        <w:spacing w:after="0" w:line="259"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ind w:right="40" w:firstLine="987"/>
        <w:spacing w:after="0" w:line="263" w:lineRule="auto"/>
        <w:tabs>
          <w:tab w:leader="none" w:pos="121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225" w:lineRule="exact"/>
        <w:rPr>
          <w:rFonts w:ascii="Arial" w:cs="Arial" w:eastAsia="Arial" w:hAnsi="Arial"/>
          <w:sz w:val="18"/>
          <w:szCs w:val="18"/>
          <w:color w:val="auto"/>
        </w:rPr>
      </w:pPr>
    </w:p>
    <w:p>
      <w:pPr>
        <w:ind w:firstLine="987"/>
        <w:spacing w:after="0" w:line="277"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170" w:lineRule="exact"/>
        <w:rPr>
          <w:rFonts w:ascii="Arial" w:cs="Arial" w:eastAsia="Arial" w:hAnsi="Arial"/>
          <w:sz w:val="18"/>
          <w:szCs w:val="18"/>
          <w:color w:val="auto"/>
        </w:rPr>
      </w:pPr>
    </w:p>
    <w:p>
      <w:pPr>
        <w:ind w:right="280" w:firstLine="987"/>
        <w:spacing w:after="0" w:line="259" w:lineRule="auto"/>
        <w:tabs>
          <w:tab w:leader="none" w:pos="120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right="400" w:firstLine="987"/>
        <w:spacing w:after="0" w:line="277"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91" w:name="page92"/>
    <w:bookmarkEnd w:id="91"/>
    <w:p>
      <w:pPr>
        <w:ind w:left="-60" w:right="100" w:firstLine="987"/>
        <w:spacing w:after="0" w:line="279" w:lineRule="auto"/>
        <w:tabs>
          <w:tab w:leader="none" w:pos="1146" w:val="left"/>
        </w:tabs>
        <w:numPr>
          <w:ilvl w:val="0"/>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1" w:lineRule="exact"/>
        <w:rPr>
          <w:rFonts w:ascii="Arial" w:cs="Arial" w:eastAsia="Arial" w:hAnsi="Arial"/>
          <w:sz w:val="17"/>
          <w:szCs w:val="17"/>
          <w:color w:val="auto"/>
        </w:rPr>
      </w:pPr>
    </w:p>
    <w:p>
      <w:pPr>
        <w:ind w:left="-60" w:right="300" w:firstLine="987"/>
        <w:spacing w:after="0" w:line="263" w:lineRule="auto"/>
        <w:tabs>
          <w:tab w:leader="none" w:pos="12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3" w:lineRule="exact"/>
        <w:rPr>
          <w:rFonts w:ascii="Arial" w:cs="Arial" w:eastAsia="Arial" w:hAnsi="Arial"/>
          <w:sz w:val="18"/>
          <w:szCs w:val="18"/>
          <w:color w:val="auto"/>
        </w:rPr>
      </w:pPr>
    </w:p>
    <w:p>
      <w:pPr>
        <w:ind w:left="-60" w:right="140" w:firstLine="987"/>
        <w:spacing w:after="0" w:line="279" w:lineRule="auto"/>
        <w:tabs>
          <w:tab w:leader="none" w:pos="1186"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1" w:lineRule="exact"/>
        <w:rPr>
          <w:rFonts w:ascii="Arial" w:cs="Arial" w:eastAsia="Arial" w:hAnsi="Arial"/>
          <w:sz w:val="17"/>
          <w:szCs w:val="17"/>
          <w:color w:val="auto"/>
        </w:rPr>
      </w:pPr>
    </w:p>
    <w:p>
      <w:pPr>
        <w:ind w:left="-60" w:right="280" w:firstLine="987"/>
        <w:spacing w:after="0" w:line="277" w:lineRule="auto"/>
        <w:tabs>
          <w:tab w:leader="none" w:pos="11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left="1180" w:hanging="253"/>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225" w:lineRule="exact"/>
        <w:rPr>
          <w:rFonts w:ascii="Arial" w:cs="Arial" w:eastAsia="Arial" w:hAnsi="Arial"/>
          <w:sz w:val="18"/>
          <w:szCs w:val="18"/>
          <w:color w:val="auto"/>
        </w:rPr>
      </w:pPr>
    </w:p>
    <w:p>
      <w:pPr>
        <w:ind w:left="-60" w:firstLine="987"/>
        <w:spacing w:after="0" w:line="254" w:lineRule="auto"/>
        <w:tabs>
          <w:tab w:leader="none" w:pos="11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Arial" w:cs="Arial" w:eastAsia="Arial" w:hAnsi="Arial"/>
          <w:sz w:val="18"/>
          <w:szCs w:val="18"/>
          <w:color w:val="auto"/>
        </w:rPr>
      </w:pPr>
    </w:p>
    <w:p>
      <w:pPr>
        <w:ind w:left="-60" w:right="100" w:firstLine="987"/>
        <w:spacing w:after="0" w:line="286" w:lineRule="auto"/>
        <w:tabs>
          <w:tab w:leader="none" w:pos="115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65" w:lineRule="exact"/>
        <w:rPr>
          <w:rFonts w:ascii="Arial" w:cs="Arial" w:eastAsia="Arial" w:hAnsi="Arial"/>
          <w:sz w:val="17"/>
          <w:szCs w:val="17"/>
          <w:color w:val="auto"/>
        </w:rPr>
      </w:pPr>
    </w:p>
    <w:p>
      <w:pPr>
        <w:jc w:val="both"/>
        <w:ind w:left="-60" w:right="160" w:firstLine="987"/>
        <w:spacing w:after="0" w:line="263" w:lineRule="auto"/>
        <w:tabs>
          <w:tab w:leader="none" w:pos="11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83" w:lineRule="exact"/>
        <w:rPr>
          <w:rFonts w:ascii="Arial" w:cs="Arial" w:eastAsia="Arial" w:hAnsi="Arial"/>
          <w:sz w:val="18"/>
          <w:szCs w:val="18"/>
          <w:color w:val="auto"/>
        </w:rPr>
      </w:pPr>
    </w:p>
    <w:p>
      <w:pPr>
        <w:ind w:left="-60" w:right="360" w:firstLine="987"/>
        <w:spacing w:after="0" w:line="277" w:lineRule="auto"/>
        <w:tabs>
          <w:tab w:leader="none" w:pos="11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70" w:lineRule="exact"/>
        <w:rPr>
          <w:rFonts w:ascii="Arial" w:cs="Arial" w:eastAsia="Arial" w:hAnsi="Arial"/>
          <w:sz w:val="18"/>
          <w:szCs w:val="18"/>
          <w:color w:val="auto"/>
        </w:rPr>
      </w:pPr>
    </w:p>
    <w:p>
      <w:pPr>
        <w:ind w:left="-60" w:right="300" w:firstLine="987"/>
        <w:spacing w:after="0" w:line="308" w:lineRule="auto"/>
        <w:tabs>
          <w:tab w:leader="none" w:pos="118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46" w:lineRule="exact"/>
        <w:rPr>
          <w:rFonts w:ascii="Arial" w:cs="Arial" w:eastAsia="Arial" w:hAnsi="Arial"/>
          <w:sz w:val="17"/>
          <w:szCs w:val="17"/>
          <w:color w:val="auto"/>
        </w:rPr>
      </w:pPr>
    </w:p>
    <w:p>
      <w:pPr>
        <w:ind w:left="1180" w:hanging="253"/>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additional or alternative provisions, if any, related to defeasance and discharge of the offered Securities;</w:t>
      </w:r>
    </w:p>
    <w:p>
      <w:pPr>
        <w:spacing w:after="0" w:line="225" w:lineRule="exact"/>
        <w:rPr>
          <w:rFonts w:ascii="Arial" w:cs="Arial" w:eastAsia="Arial" w:hAnsi="Arial"/>
          <w:sz w:val="18"/>
          <w:szCs w:val="18"/>
          <w:color w:val="auto"/>
        </w:rPr>
      </w:pPr>
    </w:p>
    <w:p>
      <w:pPr>
        <w:ind w:left="1220" w:hanging="293"/>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1180" w:hanging="253"/>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225" w:lineRule="exact"/>
        <w:rPr>
          <w:rFonts w:ascii="Arial" w:cs="Arial" w:eastAsia="Arial" w:hAnsi="Arial"/>
          <w:sz w:val="18"/>
          <w:szCs w:val="18"/>
          <w:color w:val="auto"/>
        </w:rPr>
      </w:pPr>
    </w:p>
    <w:p>
      <w:pPr>
        <w:ind w:left="1180" w:hanging="253"/>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terms of the series;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92" w:name="page93"/>
    <w:bookmarkEnd w:id="9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 the subordination terms of the Securities of the series.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1" w:lineRule="exact"/>
        <w:rPr>
          <w:sz w:val="20"/>
          <w:szCs w:val="20"/>
          <w:color w:val="auto"/>
        </w:rPr>
      </w:pPr>
    </w:p>
    <w:p>
      <w:pPr>
        <w:ind w:firstLine="436"/>
        <w:spacing w:after="0" w:line="290"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3" w:name="page94"/>
    <w:bookmarkEnd w:id="93"/>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61" w:lineRule="exact"/>
        <w:rPr>
          <w:sz w:val="20"/>
          <w:szCs w:val="20"/>
          <w:color w:val="auto"/>
        </w:rPr>
      </w:pPr>
    </w:p>
    <w:p>
      <w:pPr>
        <w:ind w:firstLine="436"/>
        <w:spacing w:after="0" w:line="259"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shall be signed on behalf of the Company by one of its Officers. Signatures may be in the form of a manual or facsimile signature.</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96"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1" w:lineRule="exact"/>
        <w:rPr>
          <w:rFonts w:ascii="Arial" w:cs="Arial" w:eastAsia="Arial" w:hAnsi="Arial"/>
          <w:sz w:val="16"/>
          <w:szCs w:val="16"/>
          <w:color w:val="auto"/>
        </w:rPr>
      </w:pPr>
    </w:p>
    <w:p>
      <w:pPr>
        <w:ind w:firstLine="436"/>
        <w:spacing w:after="0" w:line="301"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right="200" w:firstLine="436"/>
        <w:spacing w:after="0" w:line="301"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57" w:lineRule="exact"/>
        <w:rPr>
          <w:rFonts w:ascii="Arial" w:cs="Arial" w:eastAsia="Arial" w:hAnsi="Arial"/>
          <w:sz w:val="16"/>
          <w:szCs w:val="16"/>
          <w:color w:val="auto"/>
        </w:rPr>
      </w:pPr>
    </w:p>
    <w:p>
      <w:pPr>
        <w:ind w:right="140" w:firstLine="436"/>
        <w:spacing w:after="0" w:line="25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3"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64"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color w:val="auto"/>
        </w:rPr>
      </w:pPr>
    </w:p>
    <w:p>
      <w:pPr>
        <w:ind w:firstLine="436"/>
        <w:spacing w:after="0" w:line="285"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95"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ind w:firstLine="436"/>
        <w:spacing w:after="0" w:line="269"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90"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5" w:lineRule="exact"/>
        <w:rPr>
          <w:rFonts w:ascii="Arial" w:cs="Arial" w:eastAsia="Arial" w:hAnsi="Arial"/>
          <w:sz w:val="16"/>
          <w:szCs w:val="16"/>
          <w:color w:val="auto"/>
        </w:rPr>
      </w:pPr>
    </w:p>
    <w:p>
      <w:pPr>
        <w:ind w:right="180" w:firstLine="436"/>
        <w:spacing w:after="0" w:line="286" w:lineRule="auto"/>
        <w:tabs>
          <w:tab w:leader="none" w:pos="695"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99" w:name="page100"/>
    <w:bookmarkEnd w:id="9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225"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jc w:val="both"/>
        <w:ind w:left="4" w:right="12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ind w:left="4" w:right="20" w:hanging="4"/>
        <w:spacing w:after="0" w:line="288" w:lineRule="auto"/>
        <w:tabs>
          <w:tab w:leader="none" w:pos="269" w:val="left"/>
        </w:tabs>
        <w:numPr>
          <w:ilvl w:val="0"/>
          <w:numId w:val="97"/>
        </w:numPr>
        <w:rPr>
          <w:rFonts w:ascii="Arial" w:cs="Arial" w:eastAsia="Arial" w:hAnsi="Arial"/>
          <w:sz w:val="16"/>
          <w:szCs w:val="16"/>
          <w:color w:val="auto"/>
        </w:rPr>
      </w:pPr>
      <w:r>
        <w:rPr>
          <w:rFonts w:ascii="Arial" w:cs="Arial" w:eastAsia="Arial" w:hAnsi="Arial"/>
          <w:sz w:val="16"/>
          <w:szCs w:val="16"/>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225" w:lineRule="exact"/>
        <w:rPr>
          <w:sz w:val="20"/>
          <w:szCs w:val="20"/>
          <w:color w:val="auto"/>
        </w:rPr>
      </w:pPr>
    </w:p>
    <w:p>
      <w:pPr>
        <w:jc w:val="both"/>
        <w:ind w:left="4" w:right="100" w:firstLine="436"/>
        <w:spacing w:after="0" w:line="263" w:lineRule="auto"/>
        <w:tabs>
          <w:tab w:leader="none" w:pos="6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5" w:lineRule="exact"/>
        <w:rPr>
          <w:rFonts w:ascii="Arial" w:cs="Arial" w:eastAsia="Arial" w:hAnsi="Arial"/>
          <w:sz w:val="18"/>
          <w:szCs w:val="18"/>
          <w:color w:val="auto"/>
        </w:rPr>
      </w:pPr>
    </w:p>
    <w:p>
      <w:pPr>
        <w:jc w:val="both"/>
        <w:ind w:left="4" w:right="140" w:firstLine="987"/>
        <w:spacing w:after="0" w:line="263" w:lineRule="auto"/>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70" w:lineRule="exact"/>
        <w:rPr>
          <w:rFonts w:ascii="Arial" w:cs="Arial" w:eastAsia="Arial" w:hAnsi="Arial"/>
          <w:sz w:val="18"/>
          <w:szCs w:val="18"/>
          <w:color w:val="auto"/>
        </w:rPr>
      </w:pPr>
    </w:p>
    <w:p>
      <w:pPr>
        <w:ind w:left="4" w:right="460" w:firstLine="987"/>
        <w:spacing w:after="0" w:line="277" w:lineRule="auto"/>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jc w:val="both"/>
        <w:ind w:left="4" w:right="100" w:firstLine="436"/>
        <w:spacing w:after="0" w:line="259" w:lineRule="auto"/>
        <w:tabs>
          <w:tab w:leader="none" w:pos="6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00" w:name="page101"/>
    <w:bookmarkEnd w:id="100"/>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76" w:lineRule="exact"/>
        <w:rPr>
          <w:sz w:val="20"/>
          <w:szCs w:val="20"/>
          <w:color w:val="auto"/>
        </w:rPr>
      </w:pPr>
    </w:p>
    <w:p>
      <w:pPr>
        <w:ind w:firstLine="436"/>
        <w:spacing w:after="0" w:line="255"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63"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right="280" w:firstLine="436"/>
        <w:spacing w:after="0" w:line="286" w:lineRule="auto"/>
        <w:tabs>
          <w:tab w:leader="none" w:pos="69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01" w:name="page102"/>
    <w:bookmarkEnd w:id="10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225" w:lineRule="exact"/>
        <w:rPr>
          <w:sz w:val="20"/>
          <w:szCs w:val="20"/>
          <w:color w:val="auto"/>
        </w:rPr>
      </w:pPr>
    </w:p>
    <w:p>
      <w:pPr>
        <w:ind w:left="4" w:right="20" w:firstLine="436"/>
        <w:spacing w:after="0" w:line="288" w:lineRule="auto"/>
        <w:tabs>
          <w:tab w:leader="none" w:pos="69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68" w:lineRule="exact"/>
        <w:rPr>
          <w:rFonts w:ascii="Arial" w:cs="Arial" w:eastAsia="Arial" w:hAnsi="Arial"/>
          <w:sz w:val="16"/>
          <w:szCs w:val="16"/>
          <w:color w:val="auto"/>
        </w:rPr>
      </w:pPr>
    </w:p>
    <w:p>
      <w:pPr>
        <w:ind w:left="4" w:right="80" w:firstLine="436"/>
        <w:spacing w:after="0" w:line="259" w:lineRule="auto"/>
        <w:tabs>
          <w:tab w:leader="none" w:pos="6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225" w:lineRule="exact"/>
        <w:rPr>
          <w:sz w:val="20"/>
          <w:szCs w:val="20"/>
          <w:color w:val="auto"/>
        </w:rPr>
      </w:pPr>
    </w:p>
    <w:p>
      <w:pPr>
        <w:ind w:left="4" w:right="40" w:firstLine="436"/>
        <w:spacing w:after="0" w:line="263" w:lineRule="auto"/>
        <w:tabs>
          <w:tab w:leader="none" w:pos="69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color w:val="auto"/>
        </w:rPr>
      </w:pPr>
    </w:p>
    <w:p>
      <w:pPr>
        <w:ind w:left="4" w:right="100" w:hanging="4"/>
        <w:spacing w:after="0" w:line="263" w:lineRule="auto"/>
        <w:tabs>
          <w:tab w:leader="none" w:pos="2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 w:right="120" w:firstLine="436"/>
        <w:spacing w:after="0" w:line="277" w:lineRule="auto"/>
        <w:tabs>
          <w:tab w:leader="none" w:pos="69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62" w:lineRule="exact"/>
        <w:rPr>
          <w:rFonts w:ascii="Arial" w:cs="Arial" w:eastAsia="Arial" w:hAnsi="Arial"/>
          <w:sz w:val="18"/>
          <w:szCs w:val="18"/>
          <w:color w:val="auto"/>
        </w:rPr>
      </w:pPr>
    </w:p>
    <w:p>
      <w:pPr>
        <w:ind w:left="4" w:firstLine="987"/>
        <w:spacing w:after="0" w:line="311" w:lineRule="auto"/>
        <w:tabs>
          <w:tab w:leader="none" w:pos="12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48" w:lineRule="exact"/>
        <w:rPr>
          <w:rFonts w:ascii="Arial" w:cs="Arial" w:eastAsia="Arial" w:hAnsi="Arial"/>
          <w:sz w:val="16"/>
          <w:szCs w:val="16"/>
          <w:color w:val="auto"/>
        </w:rPr>
      </w:pPr>
    </w:p>
    <w:p>
      <w:pPr>
        <w:jc w:val="both"/>
        <w:ind w:left="4" w:firstLine="987"/>
        <w:spacing w:after="0" w:line="279" w:lineRule="auto"/>
        <w:tabs>
          <w:tab w:leader="none" w:pos="125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1" w:lineRule="exact"/>
        <w:rPr>
          <w:rFonts w:ascii="Arial" w:cs="Arial" w:eastAsia="Arial" w:hAnsi="Arial"/>
          <w:sz w:val="17"/>
          <w:szCs w:val="17"/>
          <w:color w:val="auto"/>
        </w:rPr>
      </w:pPr>
    </w:p>
    <w:p>
      <w:pPr>
        <w:ind w:left="4" w:right="20" w:firstLine="987"/>
        <w:spacing w:after="0" w:line="263" w:lineRule="auto"/>
        <w:tabs>
          <w:tab w:leader="none" w:pos="12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102" w:name="page103"/>
    <w:bookmarkEnd w:id="102"/>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sz w:val="20"/>
          <w:szCs w:val="20"/>
          <w:color w:val="auto"/>
        </w:rPr>
      </w:pPr>
    </w:p>
    <w:p>
      <w:pPr>
        <w:ind w:left="4" w:firstLine="987"/>
        <w:spacing w:after="0" w:line="291" w:lineRule="auto"/>
        <w:tabs>
          <w:tab w:leader="none" w:pos="125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04" w:hanging="304"/>
        <w:spacing w:after="0"/>
        <w:tabs>
          <w:tab w:leader="none" w:pos="3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10" w:lineRule="exact"/>
        <w:rPr>
          <w:rFonts w:ascii="Arial" w:cs="Arial" w:eastAsia="Arial" w:hAnsi="Arial"/>
          <w:sz w:val="18"/>
          <w:szCs w:val="18"/>
          <w:color w:val="auto"/>
        </w:rPr>
      </w:pPr>
    </w:p>
    <w:p>
      <w:pPr>
        <w:ind w:left="4" w:right="80" w:firstLine="987"/>
        <w:spacing w:after="0" w:line="263" w:lineRule="auto"/>
        <w:tabs>
          <w:tab w:leader="none" w:pos="12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3" w:lineRule="exact"/>
        <w:rPr>
          <w:rFonts w:ascii="Arial" w:cs="Arial" w:eastAsia="Arial" w:hAnsi="Arial"/>
          <w:sz w:val="18"/>
          <w:szCs w:val="18"/>
          <w:color w:val="auto"/>
        </w:rPr>
      </w:pPr>
    </w:p>
    <w:p>
      <w:pPr>
        <w:ind w:left="4" w:right="60" w:firstLine="436"/>
        <w:spacing w:after="0" w:line="285" w:lineRule="auto"/>
        <w:tabs>
          <w:tab w:leader="none" w:pos="69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color w:val="auto"/>
        </w:rPr>
        <w:t>(4)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5" w:lineRule="exact"/>
        <w:rPr>
          <w:rFonts w:ascii="Arial" w:cs="Arial" w:eastAsia="Arial" w:hAnsi="Arial"/>
          <w:sz w:val="16"/>
          <w:szCs w:val="16"/>
          <w:color w:val="auto"/>
        </w:rPr>
      </w:pPr>
    </w:p>
    <w:p>
      <w:pPr>
        <w:ind w:left="4" w:firstLine="436"/>
        <w:spacing w:after="0" w:line="288" w:lineRule="auto"/>
        <w:tabs>
          <w:tab w:leader="none" w:pos="69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4" w:firstLine="436"/>
        <w:spacing w:after="0" w:line="257" w:lineRule="auto"/>
        <w:tabs>
          <w:tab w:leader="none" w:pos="6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4" w:right="20" w:hanging="4"/>
        <w:spacing w:after="0" w:line="296" w:lineRule="auto"/>
        <w:tabs>
          <w:tab w:leader="none" w:pos="25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03" w:name="page104"/>
    <w:bookmarkEnd w:id="10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8" w:lineRule="exact"/>
        <w:rPr>
          <w:sz w:val="20"/>
          <w:szCs w:val="20"/>
          <w:color w:val="auto"/>
        </w:rPr>
      </w:pPr>
    </w:p>
    <w:p>
      <w:pPr>
        <w:ind w:right="180" w:firstLine="436"/>
        <w:spacing w:after="0" w:line="275"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color w:val="auto"/>
        </w:rPr>
      </w:pPr>
    </w:p>
    <w:p>
      <w:pPr>
        <w:ind w:right="80" w:firstLine="436"/>
        <w:spacing w:after="0" w:line="269"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5" w:lineRule="exact"/>
        <w:rPr>
          <w:rFonts w:ascii="Arial" w:cs="Arial" w:eastAsia="Arial" w:hAnsi="Arial"/>
          <w:sz w:val="17"/>
          <w:szCs w:val="17"/>
          <w:color w:val="auto"/>
        </w:rPr>
      </w:pPr>
    </w:p>
    <w:p>
      <w:pPr>
        <w:ind w:right="160" w:firstLine="436"/>
        <w:spacing w:after="0" w:line="25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41" w:lineRule="exact"/>
        <w:rPr>
          <w:sz w:val="20"/>
          <w:szCs w:val="20"/>
          <w:color w:val="auto"/>
        </w:rPr>
      </w:pPr>
    </w:p>
    <w:p>
      <w:pPr>
        <w:ind w:left="440" w:right="900"/>
        <w:spacing w:after="0" w:line="277" w:lineRule="auto"/>
        <w:rPr>
          <w:sz w:val="20"/>
          <w:szCs w:val="20"/>
          <w:color w:val="auto"/>
        </w:rPr>
      </w:pPr>
      <w:r>
        <w:rPr>
          <w:rFonts w:ascii="Arial" w:cs="Arial" w:eastAsia="Arial" w:hAnsi="Arial"/>
          <w:sz w:val="18"/>
          <w:szCs w:val="18"/>
          <w:color w:val="auto"/>
        </w:rPr>
        <w:t>FIRST: To the payment of all indebtedness of the Company to which such series of Securities is subordinated to the extent required by Section 7.06 and any subordination terms of the series specified as contemplated by Article Fourteen;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04" w:name="page105"/>
    <w:bookmarkEnd w:id="104"/>
    <w:p>
      <w:pPr>
        <w:jc w:val="both"/>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259"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firstLine="436"/>
        <w:spacing w:after="0" w:line="279" w:lineRule="auto"/>
        <w:tabs>
          <w:tab w:leader="none" w:pos="6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05" w:name="page106"/>
    <w:bookmarkEnd w:id="10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3" w:lineRule="auto"/>
        <w:tabs>
          <w:tab w:leader="none" w:pos="69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77"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right="520" w:firstLine="987"/>
        <w:spacing w:after="0" w:line="277" w:lineRule="auto"/>
        <w:tabs>
          <w:tab w:leader="none" w:pos="123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right="20" w:firstLine="1428"/>
        <w:spacing w:after="0" w:line="259" w:lineRule="auto"/>
        <w:tabs>
          <w:tab w:leader="none" w:pos="1727"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right="40" w:firstLine="1428"/>
        <w:spacing w:after="0" w:line="257" w:lineRule="auto"/>
        <w:tabs>
          <w:tab w:leader="none" w:pos="1717"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06" w:name="page107"/>
    <w:bookmarkEnd w:id="106"/>
    <w:p>
      <w:pPr>
        <w:ind w:right="120" w:firstLine="1428"/>
        <w:spacing w:after="0" w:line="277" w:lineRule="auto"/>
        <w:tabs>
          <w:tab w:leader="none" w:pos="1687"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firstLine="1428"/>
        <w:spacing w:after="0" w:line="259" w:lineRule="auto"/>
        <w:tabs>
          <w:tab w:leader="none" w:pos="16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ind w:right="320" w:firstLine="1428"/>
        <w:spacing w:after="0" w:line="259" w:lineRule="auto"/>
        <w:tabs>
          <w:tab w:leader="none" w:pos="168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117" w:lineRule="exact"/>
        <w:rPr>
          <w:sz w:val="20"/>
          <w:szCs w:val="20"/>
          <w:color w:val="auto"/>
        </w:rPr>
      </w:pPr>
    </w:p>
    <w:p>
      <w:pPr>
        <w:ind w:right="20" w:firstLine="436"/>
        <w:spacing w:after="0" w:line="263"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jc w:val="both"/>
        <w:ind w:right="560" w:firstLine="436"/>
        <w:spacing w:after="0" w:line="263"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color w:val="auto"/>
        </w:rPr>
      </w:pPr>
    </w:p>
    <w:p>
      <w:pPr>
        <w:ind w:right="620" w:firstLine="436"/>
        <w:spacing w:after="0" w:line="342"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23" w:lineRule="exact"/>
        <w:rPr>
          <w:rFonts w:ascii="Arial" w:cs="Arial" w:eastAsia="Arial" w:hAnsi="Arial"/>
          <w:sz w:val="16"/>
          <w:szCs w:val="16"/>
          <w:color w:val="auto"/>
        </w:rPr>
      </w:pPr>
    </w:p>
    <w:p>
      <w:pPr>
        <w:ind w:right="40" w:firstLine="436"/>
        <w:spacing w:after="0" w:line="293"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right="180" w:firstLine="436"/>
        <w:spacing w:after="0" w:line="277"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right="40" w:firstLine="436"/>
        <w:spacing w:after="0" w:line="291"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07" w:name="page108"/>
    <w:bookmarkEnd w:id="107"/>
    <w:p>
      <w:pPr>
        <w:ind w:right="280" w:firstLine="436"/>
        <w:spacing w:after="0" w:line="263"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firstLine="436"/>
        <w:spacing w:after="0" w:line="275" w:lineRule="auto"/>
        <w:tabs>
          <w:tab w:leader="none" w:pos="69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83" w:lineRule="exact"/>
        <w:rPr>
          <w:rFonts w:ascii="Arial" w:cs="Arial" w:eastAsia="Arial" w:hAnsi="Arial"/>
          <w:sz w:val="18"/>
          <w:szCs w:val="18"/>
          <w:color w:val="auto"/>
        </w:rPr>
      </w:pPr>
    </w:p>
    <w:p>
      <w:pPr>
        <w:ind w:right="20" w:firstLine="436"/>
        <w:spacing w:after="0" w:line="269" w:lineRule="auto"/>
        <w:tabs>
          <w:tab w:leader="none" w:pos="78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8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277"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right="180" w:firstLine="436"/>
        <w:spacing w:after="0" w:line="286" w:lineRule="auto"/>
        <w:tabs>
          <w:tab w:leader="none" w:pos="69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8"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68" w:lineRule="exact"/>
        <w:rPr>
          <w:rFonts w:ascii="Arial" w:cs="Arial" w:eastAsia="Arial" w:hAnsi="Arial"/>
          <w:sz w:val="16"/>
          <w:szCs w:val="16"/>
          <w:color w:val="auto"/>
        </w:rPr>
      </w:pPr>
    </w:p>
    <w:p>
      <w:pPr>
        <w:jc w:val="both"/>
        <w:ind w:right="380" w:firstLine="436"/>
        <w:spacing w:after="0" w:line="259"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6" w:lineRule="exact"/>
        <w:rPr>
          <w:rFonts w:ascii="Arial" w:cs="Arial" w:eastAsia="Arial" w:hAnsi="Arial"/>
          <w:sz w:val="18"/>
          <w:szCs w:val="18"/>
          <w:color w:val="auto"/>
        </w:rPr>
      </w:pPr>
    </w:p>
    <w:p>
      <w:pPr>
        <w:ind w:right="80" w:firstLine="436"/>
        <w:spacing w:after="0" w:line="296" w:lineRule="auto"/>
        <w:tabs>
          <w:tab w:leader="none" w:pos="69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9"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6" w:lineRule="exact"/>
        <w:rPr>
          <w:rFonts w:ascii="Arial" w:cs="Arial" w:eastAsia="Arial" w:hAnsi="Arial"/>
          <w:sz w:val="16"/>
          <w:szCs w:val="16"/>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right="900" w:firstLine="987"/>
        <w:spacing w:after="0" w:line="277" w:lineRule="auto"/>
        <w:tabs>
          <w:tab w:leader="none" w:pos="123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right="420" w:firstLine="987"/>
        <w:spacing w:after="0" w:line="277" w:lineRule="auto"/>
        <w:tabs>
          <w:tab w:leader="none" w:pos="124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right="400" w:firstLine="987"/>
        <w:spacing w:after="0" w:line="263" w:lineRule="auto"/>
        <w:tabs>
          <w:tab w:leader="none" w:pos="123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1" w:lineRule="exact"/>
        <w:rPr>
          <w:sz w:val="20"/>
          <w:szCs w:val="20"/>
          <w:color w:val="auto"/>
        </w:rPr>
      </w:pPr>
    </w:p>
    <w:p>
      <w:pPr>
        <w:ind w:right="60" w:firstLine="436"/>
        <w:spacing w:after="0" w:line="263"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color w:val="auto"/>
        </w:rPr>
      </w:pPr>
    </w:p>
    <w:p>
      <w:pPr>
        <w:ind w:right="220" w:firstLine="436"/>
        <w:spacing w:after="0" w:line="342"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10" w:name="page111"/>
    <w:bookmarkEnd w:id="110"/>
    <w:p>
      <w:pPr>
        <w:ind w:right="240" w:firstLine="436"/>
        <w:spacing w:after="0" w:line="277"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93"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rFonts w:ascii="Arial" w:cs="Arial" w:eastAsia="Arial" w:hAnsi="Arial"/>
          <w:sz w:val="16"/>
          <w:szCs w:val="16"/>
          <w:color w:val="auto"/>
        </w:rPr>
      </w:pPr>
    </w:p>
    <w:p>
      <w:pPr>
        <w:ind w:firstLine="436"/>
        <w:spacing w:after="0" w:line="285"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1" w:lineRule="exact"/>
        <w:rPr>
          <w:rFonts w:ascii="Arial" w:cs="Arial" w:eastAsia="Arial" w:hAnsi="Arial"/>
          <w:sz w:val="16"/>
          <w:szCs w:val="16"/>
          <w:color w:val="auto"/>
        </w:rPr>
      </w:pPr>
    </w:p>
    <w:p>
      <w:pPr>
        <w:ind w:right="380" w:firstLine="436"/>
        <w:spacing w:after="0" w:line="342"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23"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11" w:name="page112"/>
    <w:bookmarkEnd w:id="111"/>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CONCERNING THE SECURITYHOLDERS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38" w:lineRule="exact"/>
        <w:rPr>
          <w:sz w:val="20"/>
          <w:szCs w:val="20"/>
          <w:color w:val="auto"/>
        </w:rPr>
      </w:pPr>
    </w:p>
    <w:p>
      <w:pPr>
        <w:ind w:left="680" w:hanging="244"/>
        <w:spacing w:after="0"/>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right="320" w:firstLine="436"/>
        <w:spacing w:after="0" w:line="500"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6" w:lineRule="exact"/>
        <w:rPr>
          <w:sz w:val="20"/>
          <w:szCs w:val="20"/>
          <w:color w:val="auto"/>
        </w:rPr>
      </w:pPr>
    </w:p>
    <w:p>
      <w:pPr>
        <w:ind w:left="5420" w:right="4060" w:hanging="4984"/>
        <w:spacing w:after="0" w:line="449" w:lineRule="auto"/>
        <w:tabs>
          <w:tab w:leader="none" w:pos="69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 26</w:t>
      </w:r>
    </w:p>
    <w:p>
      <w:pPr>
        <w:sectPr>
          <w:pgSz w:w="11900" w:h="16838" w:orient="portrait"/>
          <w:cols w:equalWidth="0" w:num="1">
            <w:col w:w="11000"/>
          </w:cols>
          <w:pgMar w:left="440" w:top="274" w:right="459" w:bottom="1440" w:gutter="0" w:footer="0" w:header="0"/>
        </w:sectPr>
      </w:pPr>
    </w:p>
    <w:bookmarkStart w:id="113" w:name="page114"/>
    <w:bookmarkEnd w:id="113"/>
    <w:p>
      <w:pPr>
        <w:ind w:left="700" w:hanging="264"/>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Article Ten;</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7" w:lineRule="exact"/>
        <w:rPr>
          <w:rFonts w:ascii="Arial" w:cs="Arial" w:eastAsia="Arial" w:hAnsi="Arial"/>
          <w:sz w:val="18"/>
          <w:szCs w:val="18"/>
          <w:color w:val="auto"/>
        </w:rPr>
      </w:pPr>
    </w:p>
    <w:p>
      <w:pPr>
        <w:ind w:right="940" w:firstLine="436"/>
        <w:spacing w:after="0" w:line="277"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5" w:name="page116"/>
    <w:bookmarkEnd w:id="115"/>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w:t>
      </w:r>
    </w:p>
    <w:p>
      <w:pPr>
        <w:spacing w:after="0" w:line="4" w:lineRule="exact"/>
        <w:rPr>
          <w:sz w:val="20"/>
          <w:szCs w:val="20"/>
          <w:color w:val="auto"/>
        </w:rPr>
      </w:pPr>
    </w:p>
    <w:p>
      <w:pPr>
        <w:ind w:left="4" w:hanging="4"/>
        <w:spacing w:after="0" w:line="292" w:lineRule="auto"/>
        <w:tabs>
          <w:tab w:leader="none" w:pos="25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225" w:lineRule="exact"/>
        <w:rPr>
          <w:sz w:val="20"/>
          <w:szCs w:val="20"/>
          <w:color w:val="auto"/>
        </w:rPr>
      </w:pPr>
    </w:p>
    <w:p>
      <w:pPr>
        <w:ind w:left="4" w:right="60" w:firstLine="436"/>
        <w:spacing w:after="0" w:line="257" w:lineRule="auto"/>
        <w:tabs>
          <w:tab w:leader="none" w:pos="69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color w:val="auto"/>
        </w:rPr>
      </w:pPr>
    </w:p>
    <w:p>
      <w:pPr>
        <w:ind w:left="4" w:right="280" w:firstLine="436"/>
        <w:spacing w:after="0" w:line="277" w:lineRule="auto"/>
        <w:tabs>
          <w:tab w:leader="none" w:pos="69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4" w:right="120" w:firstLine="436"/>
        <w:spacing w:after="0" w:line="263" w:lineRule="auto"/>
        <w:tabs>
          <w:tab w:leader="none" w:pos="69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Thereafter, Sections 7.06 and 11.05 shall survive.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17" w:name="page118"/>
    <w:bookmarkEnd w:id="117"/>
    <w:p>
      <w:pPr>
        <w:jc w:val="both"/>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5" w:lineRule="auto"/>
        <w:tabs>
          <w:tab w:leader="none" w:pos="6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18" w:name="page119"/>
    <w:bookmarkEnd w:id="118"/>
    <w:p>
      <w:pPr>
        <w:ind w:firstLine="436"/>
        <w:spacing w:after="0" w:line="273" w:lineRule="auto"/>
        <w:tabs>
          <w:tab w:leader="none" w:pos="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ectPr>
          <w:pgSz w:w="11900" w:h="16838" w:orient="portrait"/>
          <w:cols w:equalWidth="0" w:num="1">
            <w:col w:w="10040"/>
          </w:cols>
          <w:pgMar w:left="440" w:top="270" w:right="1419" w:bottom="1440" w:gutter="0" w:footer="0" w:header="0"/>
        </w:sect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40"/>
          </w:cols>
          <w:pgMar w:left="440" w:top="270" w:right="1419" w:bottom="1440" w:gutter="0" w:footer="0" w:header="0"/>
          <w:type w:val="continuous"/>
        </w:sectPr>
      </w:pPr>
    </w:p>
    <w:bookmarkStart w:id="120" w:name="page121"/>
    <w:bookmarkEnd w:id="120"/>
    <w:tbl>
      <w:tblPr>
        <w:tblLayout w:type="fixed"/>
        <w:tblInd w:w="4" w:type="dxa"/>
        <w:tblCellMar>
          <w:top w:w="0" w:type="dxa"/>
          <w:left w:w="0" w:type="dxa"/>
          <w:bottom w:w="0" w:type="dxa"/>
          <w:right w:w="0" w:type="dxa"/>
        </w:tblCellMar>
      </w:tblPr>
      <w:tr>
        <w:trPr>
          <w:trHeight w:val="360"/>
        </w:trPr>
        <w:tc>
          <w:tcPr>
            <w:tcW w:w="3180" w:type="dxa"/>
            <w:vAlign w:val="bottom"/>
          </w:tcPr>
          <w:p>
            <w:pPr>
              <w:spacing w:after="0"/>
              <w:rPr>
                <w:sz w:val="24"/>
                <w:szCs w:val="24"/>
                <w:color w:val="auto"/>
              </w:rPr>
            </w:pPr>
          </w:p>
        </w:tc>
        <w:tc>
          <w:tcPr>
            <w:tcW w:w="7540" w:type="dxa"/>
            <w:vAlign w:val="bottom"/>
            <w:gridSpan w:val="3"/>
          </w:tcPr>
          <w:p>
            <w:pPr>
              <w:jc w:val="right"/>
              <w:ind w:right="3980"/>
              <w:spacing w:after="0"/>
              <w:rPr>
                <w:sz w:val="20"/>
                <w:szCs w:val="20"/>
                <w:color w:val="auto"/>
              </w:rPr>
            </w:pPr>
            <w:r>
              <w:rPr>
                <w:rFonts w:ascii="Arial" w:cs="Arial" w:eastAsia="Arial" w:hAnsi="Arial"/>
                <w:sz w:val="18"/>
                <w:szCs w:val="18"/>
                <w:b w:val="1"/>
                <w:bCs w:val="1"/>
                <w:color w:val="auto"/>
              </w:rPr>
              <w:t>CROSS-REFERENCE TABLE</w:t>
            </w:r>
            <w:r>
              <w:rPr>
                <w:rFonts w:ascii="Arial" w:cs="Arial" w:eastAsia="Arial" w:hAnsi="Arial"/>
                <w:sz w:val="26"/>
                <w:szCs w:val="26"/>
                <w:b w:val="1"/>
                <w:bCs w:val="1"/>
                <w:color w:val="auto"/>
                <w:vertAlign w:val="superscript"/>
              </w:rPr>
              <w:t>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1"/>
              </w:rPr>
              <w:t>Section of Trust Indenture Act of 1939, as Amended</w:t>
            </w:r>
          </w:p>
        </w:tc>
        <w:tc>
          <w:tcPr>
            <w:tcW w:w="65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Section of</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180" w:type="dxa"/>
            <w:vAlign w:val="bottom"/>
            <w:tcBorders>
              <w:bottom w:val="single" w:sz="8" w:color="auto"/>
            </w:tcBorders>
            <w:vMerge w:val="continue"/>
          </w:tcPr>
          <w:p>
            <w:pPr>
              <w:spacing w:after="0"/>
              <w:rPr>
                <w:sz w:val="16"/>
                <w:szCs w:val="16"/>
                <w:color w:val="auto"/>
              </w:rPr>
            </w:pPr>
          </w:p>
        </w:tc>
        <w:tc>
          <w:tcPr>
            <w:tcW w:w="65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Indenture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6500" w:type="dxa"/>
            <w:vAlign w:val="bottom"/>
          </w:tcPr>
          <w:p>
            <w:pPr>
              <w:spacing w:after="0"/>
              <w:rPr>
                <w:sz w:val="16"/>
                <w:szCs w:val="16"/>
                <w:color w:val="auto"/>
              </w:rPr>
            </w:pP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7.09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310(c)</w:t>
            </w:r>
          </w:p>
        </w:tc>
        <w:tc>
          <w:tcPr>
            <w:tcW w:w="6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6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5.03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13.12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6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13.07</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6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13.07</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6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8.04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540" w:type="dxa"/>
            <w:vAlign w:val="bottom"/>
            <w:gridSpan w:val="3"/>
          </w:tcPr>
          <w:p>
            <w:pPr>
              <w:jc w:val="right"/>
              <w:ind w:right="60"/>
              <w:spacing w:after="0"/>
              <w:rPr>
                <w:sz w:val="20"/>
                <w:szCs w:val="20"/>
                <w:color w:val="auto"/>
              </w:rPr>
            </w:pPr>
            <w:r>
              <w:rPr>
                <w:rFonts w:ascii="Arial" w:cs="Arial" w:eastAsia="Arial" w:hAnsi="Arial"/>
                <w:sz w:val="18"/>
                <w:szCs w:val="18"/>
                <w:color w:val="auto"/>
              </w:rPr>
              <w:t>13.09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6" w:lineRule="exact"/>
        <w:rPr>
          <w:sz w:val="20"/>
          <w:szCs w:val="20"/>
          <w:color w:val="auto"/>
        </w:rPr>
      </w:pPr>
    </w:p>
    <w:p>
      <w:pPr>
        <w:ind w:left="424" w:right="340" w:hanging="424"/>
        <w:spacing w:after="0" w:line="207" w:lineRule="auto"/>
        <w:tabs>
          <w:tab w:leader="none" w:pos="424" w:val="left"/>
        </w:tabs>
        <w:numPr>
          <w:ilvl w:val="0"/>
          <w:numId w:val="128"/>
        </w:numPr>
        <w:rPr>
          <w:rFonts w:ascii="Arial" w:cs="Arial" w:eastAsia="Arial" w:hAnsi="Arial"/>
          <w:sz w:val="27"/>
          <w:szCs w:val="27"/>
          <w:color w:val="auto"/>
          <w:vertAlign w:val="superscript"/>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0" w:right="479" w:bottom="1440" w:gutter="0" w:footer="0" w:header="0"/>
        </w:sectPr>
      </w:pPr>
    </w:p>
    <w:bookmarkStart w:id="121" w:name="page122"/>
    <w:bookmarkEnd w:id="121"/>
    <w:p>
      <w:pPr>
        <w:ind w:left="10184"/>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9044"/>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14500"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3" w:lineRule="exact"/>
        <w:rPr>
          <w:sz w:val="20"/>
          <w:szCs w:val="20"/>
          <w:color w:val="auto"/>
        </w:rPr>
      </w:pPr>
    </w:p>
    <w:p>
      <w:pPr>
        <w:ind w:left="9044"/>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9044"/>
        <w:spacing w:after="0"/>
        <w:rPr>
          <w:sz w:val="20"/>
          <w:szCs w:val="20"/>
          <w:color w:val="auto"/>
        </w:rPr>
      </w:pPr>
      <w:r>
        <w:rPr>
          <w:rFonts w:ascii="Arial" w:cs="Arial" w:eastAsia="Arial" w:hAnsi="Arial"/>
          <w:sz w:val="18"/>
          <w:szCs w:val="18"/>
          <w:color w:val="auto"/>
        </w:rPr>
        <w:t>Boston, MA 02210</w:t>
      </w:r>
    </w:p>
    <w:p>
      <w:pPr>
        <w:spacing w:after="0" w:line="116" w:lineRule="exact"/>
        <w:rPr>
          <w:sz w:val="20"/>
          <w:szCs w:val="20"/>
          <w:color w:val="auto"/>
        </w:rPr>
      </w:pPr>
    </w:p>
    <w:p>
      <w:pPr>
        <w:ind w:left="9044"/>
        <w:spacing w:after="0"/>
        <w:rPr>
          <w:sz w:val="20"/>
          <w:szCs w:val="20"/>
          <w:color w:val="auto"/>
        </w:rPr>
      </w:pPr>
      <w:r>
        <w:rPr>
          <w:rFonts w:ascii="Arial" w:cs="Arial" w:eastAsia="Arial" w:hAnsi="Arial"/>
          <w:sz w:val="18"/>
          <w:szCs w:val="18"/>
          <w:color w:val="auto"/>
        </w:rPr>
        <w:t>goodwinlaw.com</w:t>
      </w:r>
    </w:p>
    <w:p>
      <w:pPr>
        <w:spacing w:after="0" w:line="23" w:lineRule="exact"/>
        <w:rPr>
          <w:sz w:val="20"/>
          <w:szCs w:val="20"/>
          <w:color w:val="auto"/>
        </w:rPr>
      </w:pPr>
    </w:p>
    <w:p>
      <w:pPr>
        <w:ind w:left="9044"/>
        <w:spacing w:after="0"/>
        <w:rPr>
          <w:sz w:val="20"/>
          <w:szCs w:val="20"/>
          <w:color w:val="auto"/>
        </w:rPr>
      </w:pPr>
      <w:r>
        <w:rPr>
          <w:rFonts w:ascii="Arial" w:cs="Arial" w:eastAsia="Arial" w:hAnsi="Arial"/>
          <w:sz w:val="18"/>
          <w:szCs w:val="18"/>
          <w:color w:val="auto"/>
        </w:rPr>
        <w:t>+1 617 570 1000</w:t>
      </w:r>
    </w:p>
    <w:p>
      <w:pPr>
        <w:spacing w:after="0" w:line="332"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Watertown, MA 02472</w:t>
      </w:r>
    </w:p>
    <w:p>
      <w:pPr>
        <w:spacing w:after="0" w:line="238"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(as amended or supplemented, the “Registration Statement”) pursuant to the Securities Act of 1933, as amended (the “Securities Act”), relating to the offering by Disc Medicine, Inc., a Delaware corporation (the “Company”), of up to $300,000,000 of any combination of (i) the Company’s common stock, par value $0.0001 per share (“Common Stock”), (ii) the Company’s preferred stock, par value $0.0001 per share (“Preferred Stock”), (iii) the Company’s debt securities (“Debt Securities”),</w:t>
      </w:r>
    </w:p>
    <w:p>
      <w:pPr>
        <w:spacing w:after="0" w:line="1" w:lineRule="exact"/>
        <w:rPr>
          <w:sz w:val="20"/>
          <w:szCs w:val="20"/>
          <w:color w:val="auto"/>
        </w:rPr>
      </w:pPr>
    </w:p>
    <w:p>
      <w:pPr>
        <w:ind w:left="304" w:hanging="304"/>
        <w:spacing w:after="0"/>
        <w:tabs>
          <w:tab w:leader="none" w:pos="30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warrants to purchase Common Stock, Preferred Stock, Debt Securities or Units (as defined below ) (“Warrants”) and (v) units comprised of</w:t>
      </w:r>
    </w:p>
    <w:p>
      <w:pPr>
        <w:spacing w:after="0" w:line="20" w:lineRule="exact"/>
        <w:rPr>
          <w:rFonts w:ascii="Arial" w:cs="Arial" w:eastAsia="Arial" w:hAnsi="Arial"/>
          <w:sz w:val="17"/>
          <w:szCs w:val="17"/>
          <w:color w:val="auto"/>
        </w:rPr>
      </w:pPr>
    </w:p>
    <w:p>
      <w:pPr>
        <w:ind w:left="4" w:right="80"/>
        <w:spacing w:after="0" w:line="292" w:lineRule="auto"/>
        <w:rPr>
          <w:rFonts w:ascii="Arial" w:cs="Arial" w:eastAsia="Arial" w:hAnsi="Arial"/>
          <w:sz w:val="17"/>
          <w:szCs w:val="17"/>
          <w:color w:val="auto"/>
        </w:rPr>
      </w:pPr>
      <w:r>
        <w:rPr>
          <w:rFonts w:ascii="Arial" w:cs="Arial" w:eastAsia="Arial" w:hAnsi="Arial"/>
          <w:sz w:val="16"/>
          <w:szCs w:val="16"/>
          <w:color w:val="auto"/>
        </w:rPr>
        <w:t>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62"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w:t>
      </w:r>
    </w:p>
    <w:p>
      <w:pPr>
        <w:sectPr>
          <w:pgSz w:w="11900" w:h="16838" w:orient="portrait"/>
          <w:cols w:equalWidth="0" w:num="1">
            <w:col w:w="11024"/>
          </w:cols>
          <w:pgMar w:left="436" w:top="121"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opinions set forth below, we refer to the following as the “Future Approval and Issuance” of Securities:</w:t>
      </w:r>
    </w:p>
    <w:p>
      <w:pPr>
        <w:spacing w:after="0" w:line="131" w:lineRule="exact"/>
        <w:rPr>
          <w:sz w:val="20"/>
          <w:szCs w:val="20"/>
          <w:color w:val="auto"/>
        </w:rPr>
      </w:pPr>
    </w:p>
    <w:p>
      <w:pPr>
        <w:ind w:left="960" w:hanging="424"/>
        <w:spacing w:after="0" w:line="259"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92" w:lineRule="exact"/>
        <w:rPr>
          <w:rFonts w:ascii="Arial" w:cs="Arial" w:eastAsia="Arial" w:hAnsi="Arial"/>
          <w:sz w:val="18"/>
          <w:szCs w:val="18"/>
          <w:color w:val="auto"/>
        </w:rPr>
      </w:pPr>
    </w:p>
    <w:p>
      <w:pPr>
        <w:ind w:left="960" w:right="60" w:hanging="424"/>
        <w:spacing w:after="0" w:line="311"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54" w:lineRule="exact"/>
        <w:rPr>
          <w:rFonts w:ascii="Arial" w:cs="Arial" w:eastAsia="Arial" w:hAnsi="Arial"/>
          <w:sz w:val="16"/>
          <w:szCs w:val="16"/>
          <w:color w:val="auto"/>
        </w:rPr>
      </w:pPr>
    </w:p>
    <w:p>
      <w:pPr>
        <w:ind w:left="960" w:right="60" w:hanging="424"/>
        <w:spacing w:after="0" w:line="279" w:lineRule="auto"/>
        <w:tabs>
          <w:tab w:leader="none" w:pos="9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76" w:lineRule="exact"/>
        <w:rPr>
          <w:rFonts w:ascii="Arial" w:cs="Arial" w:eastAsia="Arial" w:hAnsi="Arial"/>
          <w:sz w:val="17"/>
          <w:szCs w:val="17"/>
          <w:color w:val="auto"/>
        </w:rPr>
      </w:pPr>
    </w:p>
    <w:p>
      <w:pPr>
        <w:ind w:left="960" w:right="60" w:hanging="424"/>
        <w:spacing w:after="0" w:line="263"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right="480" w:firstLine="436"/>
        <w:spacing w:after="0" w:line="277" w:lineRule="auto"/>
        <w:tabs>
          <w:tab w:leader="none" w:pos="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the Future Approval and Issuance of shares of Common Stock, such shares of Common Stock will be validly issued, fully paid and nonassessable.</w:t>
      </w:r>
    </w:p>
    <w:p>
      <w:pPr>
        <w:sectPr>
          <w:pgSz w:w="11900" w:h="16838" w:orient="portrait"/>
          <w:cols w:equalWidth="0" w:num="1">
            <w:col w:w="10980"/>
          </w:cols>
          <w:pgMar w:left="440" w:top="274" w:right="4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80" w:firstLine="436"/>
        <w:spacing w:after="0" w:line="277" w:lineRule="auto"/>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the Future Approval and Issuance of shares of Preferred Stock, such shares of Preferred Stock will be validly issued, fully paid and nonassessable.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the Future Approval and Issuance of Debt Securities, such Debt Securities will be valid and binding obligations of the Company.</w:t>
      </w:r>
    </w:p>
    <w:p>
      <w:pPr>
        <w:spacing w:after="0" w:line="236" w:lineRule="exact"/>
        <w:rPr>
          <w:rFonts w:ascii="Arial" w:cs="Arial" w:eastAsia="Arial" w:hAnsi="Arial"/>
          <w:sz w:val="17"/>
          <w:szCs w:val="17"/>
          <w:color w:val="auto"/>
        </w:rPr>
      </w:pPr>
    </w:p>
    <w:p>
      <w:pPr>
        <w:ind w:left="620" w:hanging="184"/>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the Future Approval and Issuance of Warrants, such Warrants will be valid and binding obligations of the Company.</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the Future Approval and Issuance of Units, such Units will be valid and binding obligations of the Company.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This opinion letter and the opinions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ectPr>
          <w:pgSz w:w="11900" w:h="16838" w:orient="portrait"/>
          <w:cols w:equalWidth="0" w:num="1">
            <w:col w:w="10980"/>
          </w:cols>
          <w:pgMar w:left="440" w:top="274" w:right="4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Disc Medicine, Inc. for the registration of its common stock, preferred stock, debt securities, warrants, and units and to the incorporation by reference therein of our report dated March 25, 2022, with respect to the consolidated financial statements of Disc Medicine, Inc. included in Disc Medicine, Inc.’s Current Report on Form 8-K dated December 29, 2022,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2023</w:t>
      </w:r>
    </w:p>
    <w:p>
      <w:pPr>
        <w:sectPr>
          <w:pgSz w:w="11900" w:h="16838" w:orient="portrait"/>
          <w:cols w:equalWidth="0" w:num="1">
            <w:col w:w="11020"/>
          </w:cols>
          <w:pgMar w:left="440" w:top="121"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Disc Medicine, Inc. for the registration of its common stock, preferred stock, debt securities, warrants, and units and to the incorporation by reference therein of our report dated March 10, 2022, with respect to the consolidated financial statements of Gemini Therapeutics, Inc. included in its Annual Report (Form 10-</w:t>
      </w:r>
    </w:p>
    <w:p>
      <w:pPr>
        <w:spacing w:after="0" w:line="2" w:lineRule="exact"/>
        <w:rPr>
          <w:sz w:val="20"/>
          <w:szCs w:val="20"/>
          <w:color w:val="auto"/>
        </w:rPr>
      </w:pPr>
    </w:p>
    <w:p>
      <w:pPr>
        <w:ind w:left="4" w:right="4160" w:hanging="4"/>
        <w:spacing w:after="0" w:line="492" w:lineRule="auto"/>
        <w:tabs>
          <w:tab w:leader="none" w:pos="2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the year ended December 31, 2021, filed with the Securities and Exchange Commission. /s/ Ernst &amp; Young LLP</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17, 2023</w:t>
      </w:r>
    </w:p>
    <w:p>
      <w:pPr>
        <w:sectPr>
          <w:pgSz w:w="11900" w:h="16838" w:orient="portrait"/>
          <w:cols w:equalWidth="0" w:num="1">
            <w:col w:w="11024"/>
          </w:cols>
          <w:pgMar w:left="436" w:top="121"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107</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6"/>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0"/>
              </w:rPr>
              <w:t>Fee</w:t>
            </w: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6"/>
              </w:rPr>
              <w:t>Proposed</w:t>
            </w: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7"/>
              </w:rPr>
              <w:t>Carry</w:t>
            </w:r>
          </w:p>
        </w:tc>
        <w:tc>
          <w:tcPr>
            <w:tcW w:w="7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8"/>
              </w:rPr>
              <w:t>Unsold</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11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9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1100" w:type="dxa"/>
            <w:vAlign w:val="bottom"/>
            <w:tcBorders>
              <w:right w:val="single" w:sz="8" w:color="auto"/>
            </w:tcBorders>
          </w:tcPr>
          <w:p>
            <w:pPr>
              <w:ind w:left="360"/>
              <w:spacing w:after="0" w:line="135" w:lineRule="exact"/>
              <w:rPr>
                <w:sz w:val="20"/>
                <w:szCs w:val="20"/>
                <w:color w:val="auto"/>
              </w:rPr>
            </w:pPr>
            <w:r>
              <w:rPr>
                <w:rFonts w:ascii="Arial" w:cs="Arial" w:eastAsia="Arial" w:hAnsi="Arial"/>
                <w:sz w:val="13"/>
                <w:szCs w:val="13"/>
                <w:color w:val="auto"/>
              </w:rPr>
              <w:t>Amount</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Rule</w:t>
            </w:r>
          </w:p>
        </w:tc>
        <w:tc>
          <w:tcPr>
            <w:tcW w:w="11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3"/>
                <w:szCs w:val="13"/>
                <w:color w:val="auto"/>
              </w:rPr>
              <w:t>Registered (1)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Unit (2)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Offering 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231"/>
        </w:trPr>
        <w:tc>
          <w:tcPr>
            <w:tcW w:w="920" w:type="dxa"/>
            <w:vAlign w:val="bottom"/>
            <w:tcBorders>
              <w:left w:val="single" w:sz="8" w:color="auto"/>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rPr>
              <w:t>Newly Registered Securities</w:t>
            </w: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Primary Offering of Securities:</w:t>
            </w:r>
          </w:p>
        </w:tc>
        <w:tc>
          <w:tcPr>
            <w:tcW w:w="7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9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par value</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$0.0001</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r>
        <w:trPr>
          <w:trHeight w:val="215"/>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Stock (4)</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9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Units (7)</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9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Unallocated</w:t>
            </w:r>
          </w:p>
        </w:tc>
        <w:tc>
          <w:tcPr>
            <w:tcW w:w="8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8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$300,000,000</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0.00011020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$33,060</w:t>
            </w:r>
          </w:p>
        </w:tc>
        <w:tc>
          <w:tcPr>
            <w:tcW w:w="5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r>
        <w:trPr>
          <w:trHeight w:val="215"/>
        </w:trPr>
        <w:tc>
          <w:tcPr>
            <w:tcW w:w="9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Be Paid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Total Registration Fee:</w:t>
            </w:r>
          </w:p>
        </w:tc>
        <w:tc>
          <w:tcPr>
            <w:tcW w:w="8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$300,000,000</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$33,060</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Carry Forward Securities</w:t>
            </w: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92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5"/>
              </w:rPr>
              <w:t>Carry</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3"/>
              </w:rPr>
              <w:t>Forward</w:t>
            </w:r>
          </w:p>
        </w:tc>
        <w:tc>
          <w:tcPr>
            <w:tcW w:w="1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92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Securities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91"/>
              </w:rPr>
              <w:t>Total Offering Amounts</w:t>
            </w: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$300,000,000</w:t>
            </w:r>
          </w:p>
        </w:tc>
        <w:tc>
          <w:tcPr>
            <w:tcW w:w="9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$33,060</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Net Fee Due</w:t>
            </w: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$33,060</w:t>
            </w:r>
          </w:p>
        </w:tc>
        <w:tc>
          <w:tcPr>
            <w:tcW w:w="5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424" w:right="20" w:hanging="424"/>
        <w:spacing w:after="0" w:line="267" w:lineRule="auto"/>
        <w:tabs>
          <w:tab w:leader="none" w:pos="42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amount to be registered consists of up to $300,000,000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Arial" w:cs="Arial" w:eastAsia="Arial" w:hAnsi="Arial"/>
          <w:sz w:val="17"/>
          <w:szCs w:val="17"/>
          <w:color w:val="auto"/>
        </w:rPr>
      </w:pPr>
    </w:p>
    <w:p>
      <w:pPr>
        <w:jc w:val="both"/>
        <w:ind w:left="424" w:right="200" w:hanging="424"/>
        <w:spacing w:after="0" w:line="250" w:lineRule="auto"/>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 w:lineRule="exact"/>
        <w:rPr>
          <w:rFonts w:ascii="Arial" w:cs="Arial" w:eastAsia="Arial" w:hAnsi="Arial"/>
          <w:sz w:val="18"/>
          <w:szCs w:val="18"/>
          <w:color w:val="auto"/>
        </w:rPr>
      </w:pPr>
    </w:p>
    <w:p>
      <w:pPr>
        <w:ind w:left="424" w:right="380" w:hanging="424"/>
        <w:spacing w:after="0" w:line="265" w:lineRule="auto"/>
        <w:tabs>
          <w:tab w:leader="none" w:pos="42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424" w:right="340" w:hanging="424"/>
        <w:spacing w:after="0" w:line="265" w:lineRule="auto"/>
        <w:tabs>
          <w:tab w:leader="none" w:pos="42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424" w:right="260" w:hanging="424"/>
        <w:spacing w:after="0" w:line="250" w:lineRule="auto"/>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Including such indeterminate principal amount of debt securities as may be issued from time to time at indeterminate prices or upon exercise of warrants registered hereby, as the case may be.</w:t>
      </w:r>
    </w:p>
    <w:p>
      <w:pPr>
        <w:jc w:val="both"/>
        <w:ind w:left="424" w:right="460" w:hanging="424"/>
        <w:spacing w:after="0" w:line="255" w:lineRule="auto"/>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ectPr>
          <w:pgSz w:w="11900" w:h="16838" w:orient="portrait"/>
          <w:cols w:equalWidth="0" w:num="1">
            <w:col w:w="11024"/>
          </w:cols>
          <w:pgMar w:left="436" w:top="125" w:right="439" w:bottom="179" w:gutter="0" w:footer="0" w:header="0"/>
        </w:sectPr>
      </w:pPr>
    </w:p>
    <w:bookmarkStart w:id="127" w:name="page128"/>
    <w:bookmarkEnd w:id="127"/>
    <w:p>
      <w:pPr>
        <w:ind w:left="424" w:hanging="424"/>
        <w:spacing w:after="0" w:line="263" w:lineRule="auto"/>
        <w:tabs>
          <w:tab w:leader="none" w:pos="4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sectPr>
      <w:pgSz w:w="11900" w:h="16838" w:orient="portrait"/>
      <w:cols w:equalWidth="0" w:num="1">
        <w:col w:w="10724"/>
      </w:cols>
      <w:pgMar w:left="436" w:top="125"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decimal"/>
      <w:start w:val="617"/>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lvl w:ilvl="1">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76272110"/>
    <w:multiLevelType w:val="hybridMultilevel"/>
    <w:lvl w:ilvl="0">
      <w:lvlJc w:val="left"/>
      <w:lvlText w:val="(%1)"/>
      <w:numFmt w:val="lowerRoman"/>
      <w:start w:val="3"/>
    </w:lvl>
  </w:abstractNum>
  <w:abstractNum w:abstractNumId="39">
    <w:nsid w:val="4C04A8AF"/>
    <w:multiLevelType w:val="hybridMultilevel"/>
    <w:lvl w:ilvl="0">
      <w:lvlJc w:val="left"/>
      <w:lvlText w:val="(%1)"/>
      <w:numFmt w:val="decimal"/>
      <w:start w:val="2"/>
    </w:lvl>
    <w:lvl w:ilvl="1">
      <w:lvlJc w:val="left"/>
      <w:lvlText w:val="(%2)"/>
      <w:numFmt w:val="lowerRoman"/>
      <w:start w:val="1"/>
    </w:lvl>
  </w:abstractNum>
  <w:abstractNum w:abstractNumId="40">
    <w:nsid w:val="1716703B"/>
    <w:multiLevelType w:val="hybridMultilevel"/>
    <w:lvl w:ilvl="0">
      <w:lvlJc w:val="left"/>
      <w:lvlText w:val="(%1)"/>
      <w:numFmt w:val="lowerRoman"/>
      <w:start w:val="1"/>
    </w:lvl>
  </w:abstractNum>
  <w:abstractNum w:abstractNumId="41">
    <w:nsid w:val="14E17E33"/>
    <w:multiLevelType w:val="hybridMultilevel"/>
    <w:lvl w:ilvl="0">
      <w:lvlJc w:val="left"/>
      <w:lvlText w:val="%1"/>
      <w:numFmt w:val="decimal"/>
      <w:start w:val="1"/>
    </w:lvl>
    <w:lvl w:ilvl="1">
      <w:lvlJc w:val="left"/>
      <w:lvlText w:val="(%2)"/>
      <w:numFmt w:val="lowerRoman"/>
      <w:start w:val="3"/>
    </w:lvl>
  </w:abstractNum>
  <w:abstractNum w:abstractNumId="42">
    <w:nsid w:val="3222E7CD"/>
    <w:multiLevelType w:val="hybridMultilevel"/>
    <w:lvl w:ilvl="0">
      <w:lvlJc w:val="left"/>
      <w:lvlText w:val="(%1)"/>
      <w:numFmt w:val="decimal"/>
      <w:start w:val="6"/>
    </w:lvl>
    <w:lvl w:ilvl="1">
      <w:lvlJc w:val="left"/>
      <w:lvlText w:val="%2"/>
      <w:numFmt w:val="lowerRoman"/>
      <w:start w:val="1"/>
    </w:lvl>
  </w:abstractNum>
  <w:abstractNum w:abstractNumId="43">
    <w:nsid w:val="74DE0EE3"/>
    <w:multiLevelType w:val="hybridMultilevel"/>
    <w:lvl w:ilvl="0">
      <w:lvlJc w:val="left"/>
      <w:lvlText w:val="1"/>
      <w:numFmt w:val="bullet"/>
      <w:start w:val="1"/>
    </w:lvl>
  </w:abstractNum>
  <w:abstractNum w:abstractNumId="44">
    <w:nsid w:val="68EBC550"/>
    <w:multiLevelType w:val="hybridMultilevel"/>
    <w:lvl w:ilvl="0">
      <w:lvlJc w:val="left"/>
      <w:lvlText w:val="(%1)"/>
      <w:numFmt w:val="decimal"/>
      <w:start w:val="1"/>
    </w:lvl>
  </w:abstractNum>
  <w:abstractNum w:abstractNumId="45">
    <w:nsid w:val="2DF6D648"/>
    <w:multiLevelType w:val="hybridMultilevel"/>
    <w:lvl w:ilvl="0">
      <w:lvlJc w:val="left"/>
      <w:lvlText w:val="(%1)"/>
      <w:numFmt w:val="decimal"/>
      <w:start w:val="1"/>
    </w:lvl>
    <w:lvl w:ilvl="1">
      <w:lvlJc w:val="left"/>
      <w:lvlText w:val="(%2)"/>
      <w:numFmt w:val="lowerLetter"/>
      <w:start w:val="1"/>
    </w:lvl>
  </w:abstractNum>
  <w:abstractNum w:abstractNumId="46">
    <w:nsid w:val="46B7D447"/>
    <w:multiLevelType w:val="hybridMultilevel"/>
    <w:lvl w:ilvl="0">
      <w:lvlJc w:val="left"/>
      <w:lvlText w:val="(%1)"/>
      <w:numFmt w:val="lowerLetter"/>
      <w:start w:val="12"/>
    </w:lvl>
  </w:abstractNum>
  <w:abstractNum w:abstractNumId="47">
    <w:nsid w:val="4A2AC315"/>
    <w:multiLevelType w:val="hybridMultilevel"/>
    <w:lvl w:ilvl="0">
      <w:lvlJc w:val="left"/>
      <w:lvlText w:val="(%1)"/>
      <w:numFmt w:val="decimal"/>
      <w:start w:val="1"/>
    </w:lvl>
  </w:abstractNum>
  <w:abstractNum w:abstractNumId="48">
    <w:nsid w:val="39EE015C"/>
    <w:multiLevelType w:val="hybridMultilevel"/>
    <w:lvl w:ilvl="0">
      <w:lvlJc w:val="left"/>
      <w:lvlText w:val="(%1)"/>
      <w:numFmt w:val="decimal"/>
      <w:start w:val="2"/>
    </w:lvl>
  </w:abstractNum>
  <w:abstractNum w:abstractNumId="49">
    <w:nsid w:val="57FC4FBB"/>
    <w:multiLevelType w:val="hybridMultilevel"/>
    <w:lvl w:ilvl="0">
      <w:lvlJc w:val="left"/>
      <w:lvlText w:val="(%1)"/>
      <w:numFmt w:val="decimal"/>
      <w:start w:val="1"/>
    </w:lvl>
  </w:abstractNum>
  <w:abstractNum w:abstractNumId="50">
    <w:nsid w:val="CC1016F"/>
    <w:multiLevelType w:val="hybridMultilevel"/>
    <w:lvl w:ilvl="0">
      <w:lvlJc w:val="left"/>
      <w:lvlText w:val="(%1)"/>
      <w:numFmt w:val="decimal"/>
      <w:start w:val="3"/>
    </w:lvl>
  </w:abstractNum>
  <w:abstractNum w:abstractNumId="51">
    <w:nsid w:val="43F18422"/>
    <w:multiLevelType w:val="hybridMultilevel"/>
    <w:lvl w:ilvl="0">
      <w:lvlJc w:val="left"/>
      <w:lvlText w:val="%1"/>
      <w:numFmt w:val="lowerRoman"/>
      <w:start w:val="1"/>
    </w:lvl>
    <w:lvl w:ilvl="1">
      <w:lvlJc w:val="left"/>
      <w:lvlText w:val="(%2)"/>
      <w:numFmt w:val="decimal"/>
      <w:start w:val="1"/>
    </w:lvl>
  </w:abstractNum>
  <w:abstractNum w:abstractNumId="52">
    <w:nsid w:val="60EF0119"/>
    <w:multiLevelType w:val="hybridMultilevel"/>
    <w:lvl w:ilvl="0">
      <w:lvlJc w:val="left"/>
      <w:lvlText w:val="(%1)"/>
      <w:numFmt w:val="lowerRoman"/>
      <w:start w:val="4"/>
    </w:lvl>
    <w:lvl w:ilvl="1">
      <w:lvlJc w:val="left"/>
      <w:lvlText w:val="(%2)"/>
      <w:numFmt w:val="decimal"/>
      <w:start w:val="2"/>
    </w:lvl>
  </w:abstractNum>
  <w:abstractNum w:abstractNumId="53">
    <w:nsid w:val="26F324BA"/>
    <w:multiLevelType w:val="hybridMultilevel"/>
    <w:lvl w:ilvl="0">
      <w:lvlJc w:val="left"/>
      <w:lvlText w:val="(%1)"/>
      <w:numFmt w:val="decimal"/>
      <w:start w:val="1"/>
    </w:lvl>
  </w:abstractNum>
  <w:abstractNum w:abstractNumId="54">
    <w:nsid w:val="7F01579B"/>
    <w:multiLevelType w:val="hybridMultilevel"/>
    <w:lvl w:ilvl="0">
      <w:lvlJc w:val="left"/>
      <w:lvlText w:val="(%1)"/>
      <w:numFmt w:val="decimal"/>
      <w:start w:val="2"/>
    </w:lvl>
  </w:abstractNum>
  <w:abstractNum w:abstractNumId="55">
    <w:nsid w:val="49DA307D"/>
    <w:multiLevelType w:val="hybridMultilevel"/>
    <w:lvl w:ilvl="0">
      <w:lvlJc w:val="left"/>
      <w:lvlText w:val="(%1)"/>
      <w:numFmt w:val="decimal"/>
      <w:start w:val="1"/>
    </w:lvl>
  </w:abstractNum>
  <w:abstractNum w:abstractNumId="56">
    <w:nsid w:val="7055A5F5"/>
    <w:multiLevelType w:val="hybridMultilevel"/>
    <w:lvl w:ilvl="0">
      <w:lvlJc w:val="left"/>
      <w:lvlText w:val="(%1)"/>
      <w:numFmt w:val="decimal"/>
      <w:start w:val="1"/>
    </w:lvl>
    <w:lvl w:ilvl="1">
      <w:lvlJc w:val="left"/>
      <w:lvlText w:val="(%2)"/>
      <w:numFmt w:val="lowerLetter"/>
      <w:start w:val="1"/>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decimal"/>
      <w:start w:val="1"/>
    </w:lvl>
  </w:abstractNum>
  <w:abstractNum w:abstractNumId="59">
    <w:nsid w:val="488AC1A"/>
    <w:multiLevelType w:val="hybridMultilevel"/>
    <w:lvl w:ilvl="0">
      <w:lvlJc w:val="left"/>
      <w:lvlText w:val="(%1)"/>
      <w:numFmt w:val="decimal"/>
      <w:start w:val="1"/>
    </w:lvl>
  </w:abstractNum>
  <w:abstractNum w:abstractNumId="60">
    <w:nsid w:val="5FB8011C"/>
    <w:multiLevelType w:val="hybridMultilevel"/>
    <w:lvl w:ilvl="0">
      <w:lvlJc w:val="left"/>
      <w:lvlText w:val="%1"/>
      <w:numFmt w:val="decimal"/>
      <w:start w:val="1"/>
    </w:lvl>
    <w:lvl w:ilvl="1">
      <w:lvlJc w:val="left"/>
      <w:lvlText w:val="(%2)"/>
      <w:numFmt w:val="decimal"/>
      <w:start w:val="1"/>
    </w:lvl>
  </w:abstractNum>
  <w:abstractNum w:abstractNumId="61">
    <w:nsid w:val="6AA78F7F"/>
    <w:multiLevelType w:val="hybridMultilevel"/>
    <w:lvl w:ilvl="0">
      <w:lvlJc w:val="left"/>
      <w:lvlText w:val="(%1)"/>
      <w:numFmt w:val="decimal"/>
      <w:start w:val="3"/>
    </w:lvl>
    <w:lvl w:ilvl="1">
      <w:lvlJc w:val="left"/>
      <w:lvlText w:val="%2"/>
      <w:numFmt w:val="decimal"/>
      <w:start w:val="1"/>
    </w:lvl>
  </w:abstractNum>
  <w:abstractNum w:abstractNumId="62">
    <w:nsid w:val="7672BD2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3">
    <w:nsid w:val="6FC75AF8"/>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64">
    <w:nsid w:val="6A5F7029"/>
    <w:multiLevelType w:val="hybridMultilevel"/>
    <w:lvl w:ilvl="0">
      <w:lvlJc w:val="left"/>
      <w:lvlText w:val="(%1)"/>
      <w:numFmt w:val="decimal"/>
      <w:start w:val="4"/>
    </w:lvl>
  </w:abstractNum>
  <w:abstractNum w:abstractNumId="65">
    <w:nsid w:val="7D5E18F8"/>
    <w:multiLevelType w:val="hybridMultilevel"/>
    <w:lvl w:ilvl="0">
      <w:lvlJc w:val="left"/>
      <w:lvlText w:val="(%1)"/>
      <w:numFmt w:val="decimal"/>
      <w:start w:val="1"/>
    </w:lvl>
  </w:abstractNum>
  <w:abstractNum w:abstractNumId="66">
    <w:nsid w:val="5F3534A4"/>
    <w:multiLevelType w:val="hybridMultilevel"/>
    <w:lvl w:ilvl="0">
      <w:lvlJc w:val="left"/>
      <w:lvlText w:val="(%1)"/>
      <w:numFmt w:val="decimal"/>
      <w:start w:val="1"/>
    </w:lvl>
  </w:abstractNum>
  <w:abstractNum w:abstractNumId="67">
    <w:nsid w:val="73A1821B"/>
    <w:multiLevelType w:val="hybridMultilevel"/>
    <w:lvl w:ilvl="0">
      <w:lvlJc w:val="left"/>
      <w:lvlText w:val="(%1)"/>
      <w:numFmt w:val="decimal"/>
      <w:start w:val="1"/>
    </w:lvl>
  </w:abstractNum>
  <w:abstractNum w:abstractNumId="68">
    <w:nsid w:val="7DE67713"/>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5"/>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1)"/>
      <w:numFmt w:val="decimal"/>
      <w:start w:val="1"/>
    </w:lvl>
  </w:abstractNum>
  <w:abstractNum w:abstractNumId="73">
    <w:nsid w:val="71C91298"/>
    <w:multiLevelType w:val="hybridMultilevel"/>
    <w:lvl w:ilvl="0">
      <w:lvlJc w:val="left"/>
      <w:lvlText w:val="(%1)"/>
      <w:numFmt w:val="decimal"/>
      <w:start w:val="1"/>
    </w:lvl>
    <w:lvl w:ilvl="1">
      <w:lvlJc w:val="left"/>
      <w:lvlText w:val="(%2)"/>
      <w:numFmt w:val="lowerLetter"/>
      <w:start w:val="1"/>
    </w:lvl>
  </w:abstractNum>
  <w:abstractNum w:abstractNumId="74">
    <w:nsid w:val="9DAF632"/>
    <w:multiLevelType w:val="hybridMultilevel"/>
    <w:lvl w:ilvl="0">
      <w:lvlJc w:val="left"/>
      <w:lvlText w:val="(%1)"/>
      <w:numFmt w:val="decimal"/>
      <w:start w:val="4"/>
    </w:lvl>
  </w:abstractNum>
  <w:abstractNum w:abstractNumId="75">
    <w:nsid w:val="53299938"/>
    <w:multiLevelType w:val="hybridMultilevel"/>
    <w:lvl w:ilvl="0">
      <w:lvlJc w:val="left"/>
      <w:lvlText w:val="(%1)"/>
      <w:numFmt w:val="decimal"/>
      <w:start w:val="1"/>
    </w:lvl>
  </w:abstractNum>
  <w:abstractNum w:abstractNumId="76">
    <w:nsid w:val="1FBFE8E0"/>
    <w:multiLevelType w:val="hybridMultilevel"/>
    <w:lvl w:ilvl="0">
      <w:lvlJc w:val="left"/>
      <w:lvlText w:val="(%1)"/>
      <w:numFmt w:val="decimal"/>
      <w:start w:val="1"/>
    </w:lvl>
  </w:abstractNum>
  <w:abstractNum w:abstractNumId="77">
    <w:nsid w:val="5092CA79"/>
    <w:multiLevelType w:val="hybridMultilevel"/>
    <w:lvl w:ilvl="0">
      <w:lvlJc w:val="left"/>
      <w:lvlText w:val="(%1)"/>
      <w:numFmt w:val="decimal"/>
      <w:start w:val="2"/>
    </w:lvl>
  </w:abstractNum>
  <w:abstractNum w:abstractNumId="78">
    <w:nsid w:val="1D545C4D"/>
    <w:multiLevelType w:val="hybridMultilevel"/>
    <w:lvl w:ilvl="0">
      <w:lvlJc w:val="left"/>
      <w:lvlText w:val="(%1)"/>
      <w:numFmt w:val="decimal"/>
      <w:start w:val="1"/>
    </w:lvl>
  </w:abstractNum>
  <w:abstractNum w:abstractNumId="79">
    <w:nsid w:val="59ADEA3D"/>
    <w:multiLevelType w:val="hybridMultilevel"/>
    <w:lvl w:ilvl="0">
      <w:lvlJc w:val="left"/>
      <w:lvlText w:val="(%1)"/>
      <w:numFmt w:val="decimal"/>
      <w:start w:val="4"/>
    </w:lvl>
  </w:abstractNum>
  <w:abstractNum w:abstractNumId="80">
    <w:nsid w:val="288F1A34"/>
    <w:multiLevelType w:val="hybridMultilevel"/>
    <w:lvl w:ilvl="0">
      <w:lvlJc w:val="left"/>
      <w:lvlText w:val="(%1)"/>
      <w:numFmt w:val="decimal"/>
      <w:start w:val="1"/>
    </w:lvl>
  </w:abstractNum>
  <w:abstractNum w:abstractNumId="81">
    <w:nsid w:val="2A155DBC"/>
    <w:multiLevelType w:val="hybridMultilevel"/>
    <w:lvl w:ilvl="0">
      <w:lvlJc w:val="left"/>
      <w:lvlText w:val="(%1)"/>
      <w:numFmt w:val="decimal"/>
      <w:start w:val="2"/>
    </w:lvl>
  </w:abstractNum>
  <w:abstractNum w:abstractNumId="82">
    <w:nsid w:val="1D9F6E5F"/>
    <w:multiLevelType w:val="hybridMultilevel"/>
    <w:lvl w:ilvl="0">
      <w:lvlJc w:val="left"/>
      <w:lvlText w:val="(%1)"/>
      <w:numFmt w:val="decimal"/>
      <w:start w:val="1"/>
    </w:lvl>
  </w:abstractNum>
  <w:abstractNum w:abstractNumId="83">
    <w:nsid w:val="97E1B4E"/>
    <w:multiLevelType w:val="hybridMultilevel"/>
    <w:lvl w:ilvl="0">
      <w:lvlJc w:val="left"/>
      <w:lvlText w:val="2"/>
      <w:numFmt w:val="bullet"/>
      <w:start w:val="1"/>
    </w:lvl>
  </w:abstractNum>
  <w:abstractNum w:abstractNumId="84">
    <w:nsid w:val="51088277"/>
    <w:multiLevelType w:val="hybridMultilevel"/>
    <w:lvl w:ilvl="0">
      <w:lvlJc w:val="left"/>
      <w:lvlText w:val="1"/>
      <w:numFmt w:val="bullet"/>
      <w:start w:val="1"/>
    </w:lvl>
  </w:abstractNum>
  <w:abstractNum w:abstractNumId="85">
    <w:nsid w:val="1CA0C5FA"/>
    <w:multiLevelType w:val="hybridMultilevel"/>
    <w:lvl w:ilvl="0">
      <w:lvlJc w:val="left"/>
      <w:lvlText w:val="(%1)"/>
      <w:numFmt w:val="decimal"/>
      <w:start w:val="1"/>
    </w:lvl>
  </w:abstractNum>
  <w:abstractNum w:abstractNumId="86">
    <w:nsid w:val="53584BCB"/>
    <w:multiLevelType w:val="hybridMultilevel"/>
    <w:lvl w:ilvl="0">
      <w:lvlJc w:val="left"/>
      <w:lvlText w:val="(%1)"/>
      <w:numFmt w:val="decimal"/>
      <w:start w:val="1"/>
    </w:lvl>
    <w:lvl w:ilvl="1">
      <w:lvlJc w:val="left"/>
      <w:lvlText w:val="(%2)"/>
      <w:numFmt w:val="lowerLetter"/>
      <w:start w:val="1"/>
    </w:lvl>
  </w:abstractNum>
  <w:abstractNum w:abstractNumId="87">
    <w:nsid w:val="415E286C"/>
    <w:multiLevelType w:val="hybridMultilevel"/>
    <w:lvl w:ilvl="0">
      <w:lvlJc w:val="left"/>
      <w:lvlText w:val="(%1)"/>
      <w:numFmt w:val="lowerLetter"/>
      <w:start w:val="12"/>
    </w:lvl>
  </w:abstractNum>
  <w:abstractNum w:abstractNumId="88">
    <w:nsid w:val="7C58FD05"/>
    <w:multiLevelType w:val="hybridMultilevel"/>
    <w:lvl w:ilvl="0">
      <w:lvlJc w:val="left"/>
      <w:lvlText w:val="(%1)"/>
      <w:numFmt w:val="decimal"/>
      <w:start w:val="1"/>
    </w:lvl>
  </w:abstractNum>
  <w:abstractNum w:abstractNumId="89">
    <w:nsid w:val="23D86AAC"/>
    <w:multiLevelType w:val="hybridMultilevel"/>
    <w:lvl w:ilvl="0">
      <w:lvlJc w:val="left"/>
      <w:lvlText w:val="(%1)"/>
      <w:numFmt w:val="decimal"/>
      <w:start w:val="2"/>
    </w:lvl>
  </w:abstractNum>
  <w:abstractNum w:abstractNumId="90">
    <w:nsid w:val="45E6D486"/>
    <w:multiLevelType w:val="hybridMultilevel"/>
    <w:lvl w:ilvl="0">
      <w:lvlJc w:val="left"/>
      <w:lvlText w:val="(%1)"/>
      <w:numFmt w:val="decimal"/>
      <w:start w:val="1"/>
    </w:lvl>
  </w:abstractNum>
  <w:abstractNum w:abstractNumId="91">
    <w:nsid w:val="5C10FE21"/>
    <w:multiLevelType w:val="hybridMultilevel"/>
    <w:lvl w:ilvl="0">
      <w:lvlJc w:val="left"/>
      <w:lvlText w:val="(%1)"/>
      <w:numFmt w:val="decimal"/>
      <w:start w:val="3"/>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1)"/>
      <w:numFmt w:val="decimal"/>
      <w:start w:val="1"/>
    </w:lvl>
  </w:abstractNum>
  <w:abstractNum w:abstractNumId="94">
    <w:nsid w:val="4BD8591A"/>
    <w:multiLevelType w:val="hybridMultilevel"/>
    <w:lvl w:ilvl="0">
      <w:lvlJc w:val="left"/>
      <w:lvlText w:val="(%1)"/>
      <w:numFmt w:val="decimal"/>
      <w:start w:val="2"/>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1)"/>
      <w:numFmt w:val="lowerRoman"/>
      <w:start w:val="2"/>
    </w:lvl>
  </w:abstractNum>
  <w:abstractNum w:abstractNumId="97">
    <w:nsid w:val="2B0D8DBE"/>
    <w:multiLevelType w:val="hybridMultilevel"/>
    <w:lvl w:ilvl="0">
      <w:lvlJc w:val="left"/>
      <w:lvlText w:val="(%1)"/>
      <w:numFmt w:val="decimal"/>
      <w:start w:val="1"/>
    </w:lvl>
    <w:lvl w:ilvl="1">
      <w:lvlJc w:val="left"/>
      <w:lvlText w:val="(%2)"/>
      <w:numFmt w:val="lowerLetter"/>
      <w:start w:val="1"/>
    </w:lvl>
  </w:abstractNum>
  <w:abstractNum w:abstractNumId="98">
    <w:nsid w:val="6C80EC70"/>
    <w:multiLevelType w:val="hybridMultilevel"/>
    <w:lvl w:ilvl="0">
      <w:lvlJc w:val="left"/>
      <w:lvlText w:val="(%1)"/>
      <w:numFmt w:val="decimal"/>
      <w:start w:val="3"/>
    </w:lvl>
  </w:abstractNum>
  <w:abstractNum w:abstractNumId="99">
    <w:nsid w:val="379E21B5"/>
    <w:multiLevelType w:val="hybridMultilevel"/>
    <w:lvl w:ilvl="0">
      <w:lvlJc w:val="left"/>
      <w:lvlText w:val="(%1)"/>
      <w:numFmt w:val="decimal"/>
      <w:start w:val="1"/>
    </w:lvl>
  </w:abstractNum>
  <w:abstractNum w:abstractNumId="100">
    <w:nsid w:val="69E373"/>
    <w:multiLevelType w:val="hybridMultilevel"/>
    <w:lvl w:ilvl="0">
      <w:lvlJc w:val="left"/>
      <w:lvlText w:val="(%1)"/>
      <w:numFmt w:val="decimal"/>
      <w:start w:val="1"/>
    </w:lvl>
  </w:abstractNum>
  <w:abstractNum w:abstractNumId="101">
    <w:nsid w:val="2C27173B"/>
    <w:multiLevelType w:val="hybridMultilevel"/>
    <w:lvl w:ilvl="0">
      <w:lvlJc w:val="left"/>
      <w:lvlText w:val="%1"/>
      <w:numFmt w:val="decimal"/>
      <w:start w:val="1"/>
    </w:lvl>
    <w:lvl w:ilvl="1">
      <w:lvlJc w:val="left"/>
      <w:lvlText w:val="(%2)"/>
      <w:numFmt w:val="decimal"/>
      <w:start w:val="1"/>
    </w:lvl>
  </w:abstractNum>
  <w:abstractNum w:abstractNumId="102">
    <w:nsid w:val="4C9B0904"/>
    <w:multiLevelType w:val="hybridMultilevel"/>
    <w:lvl w:ilvl="0">
      <w:lvlJc w:val="left"/>
      <w:lvlText w:val="(%1)"/>
      <w:numFmt w:val="decimal"/>
      <w:start w:val="3"/>
    </w:lvl>
    <w:lvl w:ilvl="1">
      <w:lvlJc w:val="left"/>
      <w:lvlText w:val="%2"/>
      <w:numFmt w:val="decimal"/>
      <w:start w:val="1"/>
    </w:lvl>
  </w:abstractNum>
  <w:abstractNum w:abstractNumId="103">
    <w:nsid w:val="6AA7B75C"/>
    <w:multiLevelType w:val="hybridMultilevel"/>
    <w:lvl w:ilvl="0">
      <w:lvlJc w:val="left"/>
      <w:lvlText w:val="(%1)"/>
      <w:numFmt w:val="decimal"/>
      <w:start w:val="1"/>
    </w:lvl>
    <w:lvl w:ilvl="1">
      <w:lvlJc w:val="left"/>
      <w:lvlText w:val="(%2)"/>
      <w:numFmt w:val="lowerLetter"/>
      <w:start w:val="1"/>
    </w:lvl>
  </w:abstractNum>
  <w:abstractNum w:abstractNumId="104">
    <w:nsid w:val="1DF029D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05">
    <w:nsid w:val="5675FF36"/>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106">
    <w:nsid w:val="3DD15094"/>
    <w:multiLevelType w:val="hybridMultilevel"/>
    <w:lvl w:ilvl="0">
      <w:lvlJc w:val="left"/>
      <w:lvlText w:val="(%1)"/>
      <w:numFmt w:val="decimal"/>
      <w:start w:val="4"/>
    </w:lvl>
  </w:abstractNum>
  <w:abstractNum w:abstractNumId="107">
    <w:nsid w:val="3DB012B3"/>
    <w:multiLevelType w:val="hybridMultilevel"/>
    <w:lvl w:ilvl="0">
      <w:lvlJc w:val="left"/>
      <w:lvlText w:val="(%1)"/>
      <w:numFmt w:val="decimal"/>
      <w:start w:val="1"/>
    </w:lvl>
  </w:abstractNum>
  <w:abstractNum w:abstractNumId="108">
    <w:nsid w:val="2708C9AF"/>
    <w:multiLevelType w:val="hybridMultilevel"/>
    <w:lvl w:ilvl="0">
      <w:lvlJc w:val="left"/>
      <w:lvlText w:val="(%1)"/>
      <w:numFmt w:val="decimal"/>
      <w:start w:val="2"/>
    </w:lvl>
  </w:abstractNum>
  <w:abstractNum w:abstractNumId="109">
    <w:nsid w:val="5B25ACE2"/>
    <w:multiLevelType w:val="hybridMultilevel"/>
    <w:lvl w:ilvl="0">
      <w:lvlJc w:val="left"/>
      <w:lvlText w:val="(%1)"/>
      <w:numFmt w:val="decimal"/>
      <w:start w:val="1"/>
    </w:lvl>
  </w:abstractNum>
  <w:abstractNum w:abstractNumId="110">
    <w:nsid w:val="175DFCF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11">
    <w:nsid w:val="4F97E3E4"/>
    <w:multiLevelType w:val="hybridMultilevel"/>
    <w:lvl w:ilvl="0">
      <w:lvlJc w:val="left"/>
      <w:lvlText w:val="(%1)"/>
      <w:numFmt w:val="lowerLetter"/>
      <w:start w:val="2"/>
    </w:lvl>
  </w:abstractNum>
  <w:abstractNum w:abstractNumId="112">
    <w:nsid w:val="53B0A9E"/>
    <w:multiLevelType w:val="hybridMultilevel"/>
    <w:lvl w:ilvl="0">
      <w:lvlJc w:val="left"/>
      <w:lvlText w:val="(%1)"/>
      <w:numFmt w:val="decimal"/>
      <w:start w:val="1"/>
    </w:lvl>
  </w:abstractNum>
  <w:abstractNum w:abstractNumId="113">
    <w:nsid w:val="34FD6B4F"/>
    <w:multiLevelType w:val="hybridMultilevel"/>
    <w:lvl w:ilvl="0">
      <w:lvlJc w:val="left"/>
      <w:lvlText w:val="(%1)"/>
      <w:numFmt w:val="decimal"/>
      <w:start w:val="7"/>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1"/>
    </w:lvl>
  </w:abstractNum>
  <w:abstractNum w:abstractNumId="116">
    <w:nsid w:val="519E3149"/>
    <w:multiLevelType w:val="hybridMultilevel"/>
    <w:lvl w:ilvl="0">
      <w:lvlJc w:val="left"/>
      <w:lvlText w:val="(%1)"/>
      <w:numFmt w:val="decimal"/>
      <w:start w:val="1"/>
    </w:lvl>
    <w:lvl w:ilvl="1">
      <w:lvlJc w:val="left"/>
      <w:lvlText w:val="(%2)"/>
      <w:numFmt w:val="lowerLetter"/>
      <w:start w:val="1"/>
    </w:lvl>
  </w:abstractNum>
  <w:abstractNum w:abstractNumId="117">
    <w:nsid w:val="2C6E4AFD"/>
    <w:multiLevelType w:val="hybridMultilevel"/>
    <w:lvl w:ilvl="0">
      <w:lvlJc w:val="left"/>
      <w:lvlText w:val="(%1)"/>
      <w:numFmt w:val="decimal"/>
      <w:start w:val="3"/>
    </w:lvl>
  </w:abstractNum>
  <w:abstractNum w:abstractNumId="118">
    <w:nsid w:val="17A1B582"/>
    <w:multiLevelType w:val="hybridMultilevel"/>
    <w:lvl w:ilvl="0">
      <w:lvlJc w:val="left"/>
      <w:lvlText w:val="(%1)"/>
      <w:numFmt w:val="decimal"/>
      <w:start w:val="5"/>
    </w:lvl>
  </w:abstractNum>
  <w:abstractNum w:abstractNumId="119">
    <w:nsid w:val="4DF72E4E"/>
    <w:multiLevelType w:val="hybridMultilevel"/>
    <w:lvl w:ilvl="0">
      <w:lvlJc w:val="left"/>
      <w:lvlText w:val="(%1)"/>
      <w:numFmt w:val="decimal"/>
      <w:start w:val="1"/>
    </w:lvl>
  </w:abstractNum>
  <w:abstractNum w:abstractNumId="120">
    <w:nsid w:val="5046B5A9"/>
    <w:multiLevelType w:val="hybridMultilevel"/>
    <w:lvl w:ilvl="0">
      <w:lvlJc w:val="left"/>
      <w:lvlText w:val="(%1)"/>
      <w:numFmt w:val="decimal"/>
      <w:start w:val="1"/>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1)"/>
      <w:numFmt w:val="decimal"/>
      <w:start w:val="2"/>
    </w:lvl>
  </w:abstractNum>
  <w:abstractNum w:abstractNumId="123">
    <w:nsid w:val="5EC6AFD4"/>
    <w:multiLevelType w:val="hybridMultilevel"/>
    <w:lvl w:ilvl="0">
      <w:lvlJc w:val="left"/>
      <w:lvlText w:val="(%1)"/>
      <w:numFmt w:val="lowerLetter"/>
      <w:start w:val="2"/>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decimal"/>
      <w:start w:val="1"/>
    </w:lvl>
  </w:abstractNum>
  <w:abstractNum w:abstractNumId="126">
    <w:nsid w:val="57A61A29"/>
    <w:multiLevelType w:val="hybridMultilevel"/>
    <w:lvl w:ilvl="0">
      <w:lvlJc w:val="left"/>
      <w:lvlText w:val="(%1)"/>
      <w:numFmt w:val="decimal"/>
      <w:start w:val="2"/>
    </w:lvl>
  </w:abstractNum>
  <w:abstractNum w:abstractNumId="127">
    <w:nsid w:val="5399C654"/>
    <w:multiLevelType w:val="hybridMultilevel"/>
    <w:lvl w:ilvl="0">
      <w:lvlJc w:val="left"/>
      <w:lvlText w:val="2"/>
      <w:numFmt w:val="bullet"/>
      <w:start w:val="1"/>
    </w:lvl>
  </w:abstractNum>
  <w:abstractNum w:abstractNumId="128">
    <w:nsid w:val="20EE1348"/>
    <w:multiLevelType w:val="hybridMultilevel"/>
    <w:lvl w:ilvl="0">
      <w:lvlJc w:val="left"/>
      <w:lvlText w:val="(%1)"/>
      <w:numFmt w:val="lowerRoman"/>
      <w:start w:val="4"/>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2"/>
    </w:lvl>
  </w:abstractNum>
  <w:abstractNum w:abstractNumId="132">
    <w:nsid w:val="704E1DD5"/>
    <w:multiLevelType w:val="hybridMultilevel"/>
    <w:lvl w:ilvl="0">
      <w:lvlJc w:val="left"/>
      <w:lvlText w:val="%1)"/>
      <w:numFmt w:val="upperLetter"/>
      <w:start w:val="1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jpe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jpeg"/><Relationship Id="rId179" Type="http://schemas.openxmlformats.org/officeDocument/2006/relationships/image" Target="media/image150.png"/><Relationship Id="rId180" Type="http://schemas.openxmlformats.org/officeDocument/2006/relationships/image" Target="media/image151.png"/><Relationship Id="rId23" Type="http://schemas.openxmlformats.org/officeDocument/2006/relationships/hyperlink" Target="http://www.sec.gov/ix?doc=/Archives/edgar/data/1816736/000095017022003288/gmtx-20211231.htm" TargetMode="External"/><Relationship Id="rId24" Type="http://schemas.openxmlformats.org/officeDocument/2006/relationships/hyperlink" Target="http://www.sec.gov/ix?doc=/Archives/edgar/data/1816736/000095017022008015/gmtx-20220331.htm" TargetMode="External"/><Relationship Id="rId25" Type="http://schemas.openxmlformats.org/officeDocument/2006/relationships/hyperlink" Target="http://www.sec.gov/ix?doc=/Archives/edgar/data/1816736/000095017022016671/gmtx-20220630.htm" TargetMode="External"/><Relationship Id="rId26" Type="http://schemas.openxmlformats.org/officeDocument/2006/relationships/hyperlink" Target="http://www.sec.gov/ix?doc=/Archives/edgar/data/1816736/000095017022024195/gmtx-20220930.htm" TargetMode="External"/><Relationship Id="rId27" Type="http://schemas.openxmlformats.org/officeDocument/2006/relationships/hyperlink" Target="http://www.sec.gov/ix?doc=/Archives/edgar/data/1816736/000119312522009374/d237658d8k.htm" TargetMode="External"/><Relationship Id="rId28" Type="http://schemas.openxmlformats.org/officeDocument/2006/relationships/hyperlink" Target="http://www.sec.gov/ix?doc=/Archives/edgar/data/1816736/000119312522055899/d29362d8k.htm" TargetMode="External"/><Relationship Id="rId29" Type="http://schemas.openxmlformats.org/officeDocument/2006/relationships/hyperlink" Target="http://www.sec.gov/ix?doc=/Archives/edgar/data/1816736/000119312522095633/d345871d8k.htm" TargetMode="External"/><Relationship Id="rId30" Type="http://schemas.openxmlformats.org/officeDocument/2006/relationships/hyperlink" Target="http://www.sec.gov/ix?doc=/Archives/edgar/data/1816736/000119312522216814/d94880d8k.htm" TargetMode="External"/><Relationship Id="rId31" Type="http://schemas.openxmlformats.org/officeDocument/2006/relationships/hyperlink" Target="http://www.sec.gov/ix?doc=/Archives/edgar/data/1816736/000119312522301064/d425106d8k.htm" TargetMode="External"/><Relationship Id="rId32" Type="http://schemas.openxmlformats.org/officeDocument/2006/relationships/hyperlink" Target="http://www.sec.gov/ix?doc=/Archives/edgar/data/1816736/000114036122047153/brhc10045909_8k.htm" TargetMode="External"/><Relationship Id="rId33" Type="http://schemas.openxmlformats.org/officeDocument/2006/relationships/hyperlink" Target="http://www.sec.gov/ix?doc=/Archives/edgar/data/1816736/000114036122047453/brhc10045896_8k.htm" TargetMode="External"/><Relationship Id="rId34" Type="http://schemas.openxmlformats.org/officeDocument/2006/relationships/hyperlink" Target="http://www.sec.gov/Archives/edgar/data/1816736/000121390020021145/ea125295-8a12b_fsdevelop.htm" TargetMode="External"/><Relationship Id="rId35" Type="http://schemas.openxmlformats.org/officeDocument/2006/relationships/hyperlink" Target="http://www.sec.gov/Archives/edgar/data/1816736/000095017022003288/gmtx-ex4_4.htm" TargetMode="External"/><Relationship Id="rId36" Type="http://schemas.openxmlformats.org/officeDocument/2006/relationships/hyperlink" Target="http://www.sec.gov/Archives/edgar/data/1816736/000114036122043943/ny20005172x8_s4a.htm" TargetMode="External"/><Relationship Id="rId89" Type="http://schemas.openxmlformats.org/officeDocument/2006/relationships/hyperlink" Target="http://www.sec.gov/Archives/edgar/data/1816736/000114036122032239/ny20005172x1_s4.htm#tANNEXA" TargetMode="External"/><Relationship Id="rId90" Type="http://schemas.openxmlformats.org/officeDocument/2006/relationships/hyperlink" Target="http://www.sec.gov/Archives/edgar/data/1816736/000121390020034347/fs42020_geminifsdevcorp.htm#T52" TargetMode="External"/><Relationship Id="rId91" Type="http://schemas.openxmlformats.org/officeDocument/2006/relationships/hyperlink" Target="http://www.sec.gov/Archives/edgar/data/1816736/000114036122047453/brhc10045896_ex3-1.htm" TargetMode="External"/><Relationship Id="rId92" Type="http://schemas.openxmlformats.org/officeDocument/2006/relationships/hyperlink" Target="http://www.sec.gov/Archives/edgar/data/1816736/000114036122047453/brhc10045896_ex3-2.htm" TargetMode="External"/><Relationship Id="rId93" Type="http://schemas.openxmlformats.org/officeDocument/2006/relationships/hyperlink" Target="http://www.sec.gov/Archives/edgar/data/1816736/000121390020034347/fs42020_geminifsdevcorp.htm#T53" TargetMode="External"/><Relationship Id="rId94" Type="http://schemas.openxmlformats.org/officeDocument/2006/relationships/hyperlink" Target="http://www.sec.gov/Archives/edgar/data/1816736/000121390021002636/fs42021a5ex4-1_fsdevelop.htm" TargetMode="External"/><Relationship Id="rId95" Type="http://schemas.openxmlformats.org/officeDocument/2006/relationships/hyperlink" Target="http://www.sec.gov/Archives/edgar/data/1816736/000114036122047453/brhc10045896_ex10-1.htm" TargetMode="External"/><Relationship Id="rId96"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2023-01-18T05:21:12Z</dcterms:created>
  <dcterms:modified xsi:type="dcterms:W3CDTF">2023-01-18T05:21:12Z</dcterms:modified>
</cp:coreProperties>
</file>