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DISC MEDICINE,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001-39438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85-1612845</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321 Arsenal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101</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Watertown, Massachusetts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02472</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617 674-9274</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IRON</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jc w:val="both"/>
        <w:ind w:right="360"/>
        <w:spacing w:after="0" w:line="310" w:lineRule="auto"/>
        <w:rPr>
          <w:sz w:val="20"/>
          <w:szCs w:val="20"/>
          <w:color w:val="auto"/>
        </w:rPr>
      </w:pPr>
      <w:r>
        <w:rPr>
          <w:rFonts w:ascii="Times New Roman" w:cs="Times New Roman" w:eastAsia="Times New Roman" w:hAnsi="Times New Roman"/>
          <w:sz w:val="15"/>
          <w:szCs w:val="15"/>
          <w:color w:val="auto"/>
        </w:rPr>
        <w:t>On January 12, 2026, Disc Medicine, Inc. (the “Company”) issued a press release announcing, among other things, that its preliminary unaudited cash, cash equivalents and marketable securities as of December 31, 2025 were approximately $791 million. A copy of the press release is attached as Exhibit 99.1 to this Current Report on Form 8-K.</w:t>
      </w:r>
    </w:p>
    <w:p>
      <w:pPr>
        <w:spacing w:after="0" w:line="1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The Company has not yet completed its year-end financial close process for the year ended December 31, 2025. This estimate of the Company’s cash, cash equivalents and marketable securities as of December 31, 2025 is preliminary and is subject to change upon completion of the Company’s financial statement closing procedures. The Company’s independent registered public accounting firm has not audited, reviewed or performed any procedures with respect to this preliminary result and, accordingly, does not express an opinion or any other form of assurance about it. Additional information and disclosure would be required for a more complete understanding of the Company’s financial position and results of operations as of December 31, 2025. The information presented herein should not be considered a substitute for the financial information the Company files with the Securities and Exchange Commission in its annual report on Form 10-K for the year ended December 31, 2025. The Company has no intention or obligation to update the preliminary estimate of its cash, cash equivalents and marketable securities set forth above.</w:t>
      </w:r>
    </w:p>
    <w:p>
      <w:pPr>
        <w:spacing w:after="0" w:line="167"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5"/>
          <w:szCs w:val="15"/>
          <w:color w:val="auto"/>
        </w:rPr>
        <w:t>The information contained in Item 2.02 of this Current Report on Form 8-K is intended to be furnished and shall not be deemed to be “filed” for the purposes of Section 18 of the Securities and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6"/>
          <w:szCs w:val="16"/>
          <w:color w:val="auto"/>
        </w:rPr>
        <w:t>On January 12, 2026, the Company also announced its recent achievements and key business objectives and milestones for 2026. A copy of the press release is attached as Exhibit 99.1 to this Current Report on Form 8-K and is incorporated herein by reference.</w:t>
      </w:r>
    </w:p>
    <w:p>
      <w:pPr>
        <w:spacing w:after="0" w:line="14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Commencing on January 12, 2026, the Company will participate in the 44th Annual J.P. Morgan Healthcare Conference (the “Conference”). A copy of the Company's presentation materials that it intends to use at the Conference, including at a previously announced investor presentation on January 14, 2026, is attached as Exhibit 99.2 to this Current Report on Form 8-K and is incorporated herein by reference.</w:t>
      </w:r>
    </w:p>
    <w:p>
      <w:pPr>
        <w:spacing w:after="0" w:line="1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7.01 of this Current Report on Form 8-K (including Exhibits 99.1 and 99.2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provided by specific reference in such filing. The Company undertakes no obligation to update, supplement or amend the materials attached hereto as Exhibit 99.1 or Exhibit 99.2.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Exhibit No.</w:t>
            </w:r>
          </w:p>
        </w:tc>
        <w:tc>
          <w:tcPr>
            <w:tcW w:w="220" w:type="dxa"/>
            <w:vAlign w:val="bottom"/>
          </w:tcPr>
          <w:p>
            <w:pPr>
              <w:spacing w:after="0"/>
              <w:rPr>
                <w:sz w:val="17"/>
                <w:szCs w:val="17"/>
                <w:color w:val="auto"/>
              </w:rPr>
            </w:pPr>
          </w:p>
        </w:tc>
        <w:tc>
          <w:tcPr>
            <w:tcW w:w="10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33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Disc Medicine, Inc. press release, dated January 12, 2026</w:t>
            </w: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220" w:type="dxa"/>
            <w:vAlign w:val="bottom"/>
          </w:tcPr>
          <w:p>
            <w:pPr>
              <w:spacing w:after="0"/>
              <w:rPr>
                <w:sz w:val="14"/>
                <w:szCs w:val="14"/>
                <w:color w:val="auto"/>
              </w:rPr>
            </w:pPr>
          </w:p>
        </w:tc>
        <w:tc>
          <w:tcPr>
            <w:tcW w:w="3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Disc Medicine, Inc. presentation, dated January 2026</w:t>
            </w:r>
          </w:p>
        </w:tc>
        <w:tc>
          <w:tcPr>
            <w:tcW w:w="20" w:type="dxa"/>
            <w:vAlign w:val="bottom"/>
            <w:tcBorders>
              <w:top w:val="single" w:sz="8" w:color="0000FF"/>
              <w:bottom w:val="single" w:sz="8" w:color="0000EE"/>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400" w:type="dxa"/>
            <w:vAlign w:val="bottom"/>
          </w:tcPr>
          <w:p>
            <w:pPr>
              <w:spacing w:after="0"/>
              <w:rPr>
                <w:sz w:val="14"/>
                <w:szCs w:val="14"/>
                <w:color w:val="auto"/>
              </w:rPr>
            </w:pPr>
          </w:p>
        </w:tc>
      </w:tr>
      <w:tr>
        <w:trPr>
          <w:trHeight w:val="20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17"/>
                <w:szCs w:val="17"/>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January 12,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Name: John Quisel, J.D., Ph.D</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ind w:left="1020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-109855</wp:posOffset>
            </wp:positionV>
            <wp:extent cx="1832610" cy="278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2610" cy="2781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Disc Medicine Highlights Recent Achievements and Key Business Objectives and Milestones for 2026</w:t>
      </w:r>
    </w:p>
    <w:p>
      <w:pPr>
        <w:spacing w:after="0" w:line="198"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Bitopertin was awarded the Commissioner’s National Priority Review Voucher (CNPV) and NDA is currently under FDA review</w:t>
      </w:r>
    </w:p>
    <w:p>
      <w:pPr>
        <w:spacing w:after="0" w:line="20" w:lineRule="exact"/>
        <w:rPr>
          <w:rFonts w:ascii="Times New Roman" w:cs="Times New Roman" w:eastAsia="Times New Roman" w:hAnsi="Times New Roman"/>
          <w:sz w:val="17"/>
          <w:szCs w:val="17"/>
          <w:color w:val="auto"/>
        </w:rPr>
      </w:pPr>
    </w:p>
    <w:p>
      <w:pPr>
        <w:ind w:left="740" w:right="60" w:hanging="370"/>
        <w:spacing w:after="0" w:line="231"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Updated data from the Phase 2 study of DISC-0974 in patients with myelofibrosis (MF) and anemia expected in H2 2026, followed by an End of Phase 2 Meeting</w:t>
      </w:r>
    </w:p>
    <w:p>
      <w:pPr>
        <w:spacing w:after="0" w:line="1" w:lineRule="exact"/>
        <w:rPr>
          <w:rFonts w:ascii="Times New Roman" w:cs="Times New Roman" w:eastAsia="Times New Roman" w:hAnsi="Times New Roman"/>
          <w:sz w:val="17"/>
          <w:szCs w:val="17"/>
          <w:color w:val="auto"/>
        </w:rPr>
      </w:pPr>
    </w:p>
    <w:p>
      <w:pPr>
        <w:ind w:left="740" w:right="360" w:hanging="370"/>
        <w:spacing w:after="0" w:line="25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Initial data from the ongoing Phase 2 study of DISC-3405 in polycythemia vera (PV) and Phase 1b study in sickle cell disease (SCD) expected in H2 2026</w:t>
      </w:r>
    </w:p>
    <w:p>
      <w:pPr>
        <w:spacing w:after="0" w:line="330" w:lineRule="exact"/>
        <w:rPr>
          <w:sz w:val="20"/>
          <w:szCs w:val="20"/>
          <w:color w:val="auto"/>
        </w:rPr>
      </w:pPr>
    </w:p>
    <w:p>
      <w:pPr>
        <w:jc w:val="both"/>
        <w:ind w:right="340"/>
        <w:spacing w:after="0" w:line="252" w:lineRule="auto"/>
        <w:rPr>
          <w:sz w:val="20"/>
          <w:szCs w:val="20"/>
          <w:color w:val="auto"/>
        </w:rPr>
      </w:pPr>
      <w:r>
        <w:rPr>
          <w:rFonts w:ascii="Arial" w:cs="Arial" w:eastAsia="Arial" w:hAnsi="Arial"/>
          <w:sz w:val="17"/>
          <w:szCs w:val="17"/>
          <w:color w:val="auto"/>
        </w:rPr>
        <w:t>WATERTOWN, Mass. (January 12, 2026) – Disc Medicine, Inc. (NASDAQ:IRON), a clinical-stage biopharmaceutical company focused on the discovery, development, and commercialization of novel treatments for patients suffering from serious hematologic diseases, today outlined its recent pipeline progress and strategic priorities for 2026.</w:t>
      </w:r>
    </w:p>
    <w:p>
      <w:pPr>
        <w:spacing w:after="0" w:line="14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“2025 was a transformative year for Disc, marked by strong execution across our portfolio and meaningful progress toward becoming a fully integrated clinical and commercial organization,” said John Quisel, J.D., Ph.D., President and Chief Executive Officer of Disc. “Most notably, bitopertin received CNPV designation and we submitted our NDA under the accelerated approval pathway, positioning the NDA for rapid review by the FDA. We also reported positive initial Phase 2 data from the RALLY-MF study of DISC-0974 in anemia of myelofibrosis, demonstrating robust and broad hematologic activity, and advanced our third program DISC-3405 into proof-of-concept studies for polycythemia vera and sickle cell disease.”</w:t>
      </w:r>
    </w:p>
    <w:p>
      <w:pPr>
        <w:spacing w:after="0" w:line="15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“As we look ahead to 2026, we are entering an exciting and pivotal period for Disc,” continued Dr. Quisel. “We are preparing to execute a successful US launch of bitopertin for EPP while continuing enrollment in the global APOLLO confirmatory study. Across our pipeline, we expect multiple Phase 2 updates for DISC-0974 and DISC-3405, including important regulatory interactions and expansion into new indications. Together, we believe these milestones position Disc for sustained growth as we work to deliver meaningful new therapies to patients with serious hematologic diseases.”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Key Achievements During 2025</w:t>
      </w:r>
    </w:p>
    <w:p>
      <w:pPr>
        <w:spacing w:after="0" w:line="12"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Bitopertin NDA submitted and accepted under the accelerated approval pathway with priority review</w:t>
      </w:r>
    </w:p>
    <w:p>
      <w:pPr>
        <w:spacing w:after="0" w:line="4" w:lineRule="exact"/>
        <w:rPr>
          <w:rFonts w:ascii="Times New Roman" w:cs="Times New Roman" w:eastAsia="Times New Roman" w:hAnsi="Times New Roman"/>
          <w:sz w:val="17"/>
          <w:szCs w:val="17"/>
          <w:color w:val="auto"/>
        </w:rPr>
      </w:pPr>
    </w:p>
    <w:p>
      <w:pPr>
        <w:ind w:left="740" w:right="40" w:hanging="370"/>
        <w:spacing w:after="0" w:line="231"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Bitopertin awarded the Commissioner’s National Priority Voucher (CNPV), a pilot program designed to accelerate the NDA review period to 1-2 months</w:t>
      </w:r>
    </w:p>
    <w:p>
      <w:pPr>
        <w:spacing w:after="0" w:line="1" w:lineRule="exact"/>
        <w:rPr>
          <w:rFonts w:ascii="Times New Roman" w:cs="Times New Roman" w:eastAsia="Times New Roman" w:hAnsi="Times New Roman"/>
          <w:sz w:val="17"/>
          <w:szCs w:val="17"/>
          <w:color w:val="auto"/>
        </w:rPr>
      </w:pPr>
    </w:p>
    <w:p>
      <w:pPr>
        <w:ind w:left="740" w:hanging="370"/>
        <w:spacing w:after="0" w:line="231"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Transition to commercial-ready organization through build out of marketing, market access, medical science liaison, and sales teams and related infrastructure</w:t>
      </w:r>
    </w:p>
    <w:p>
      <w:pPr>
        <w:spacing w:after="0" w:line="1" w:lineRule="exact"/>
        <w:rPr>
          <w:rFonts w:ascii="Times New Roman" w:cs="Times New Roman" w:eastAsia="Times New Roman" w:hAnsi="Times New Roman"/>
          <w:sz w:val="17"/>
          <w:szCs w:val="17"/>
          <w:color w:val="auto"/>
        </w:rPr>
      </w:pPr>
    </w:p>
    <w:p>
      <w:pPr>
        <w:ind w:left="740" w:right="120" w:hanging="370"/>
        <w:spacing w:after="0" w:line="252"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Presentation of positive initial data from the Phase 2 RALLY-MF study of DISC-0974 for anemia of MF, demonstrating robust and broad hematologic efficacy across patient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749300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832610" cy="278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32610" cy="278130"/>
                    </a:xfrm>
                    <a:prstGeom prst="rect">
                      <a:avLst/>
                    </a:prstGeom>
                    <a:noFill/>
                  </pic:spPr>
                </pic:pic>
              </a:graphicData>
            </a:graphic>
          </wp:anchor>
        </w:drawing>
        <w:t>Issuance of a Composition of Matter patent for DISC-0974, providing patent exclusivity until 2041, not including potential extensions</w:t>
      </w:r>
    </w:p>
    <w:p>
      <w:pPr>
        <w:spacing w:after="0" w:line="20"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Initiated Phase 2 study of DISC-3405 in PV and Phase 1b study of DISC-3405 in SCD</w:t>
      </w:r>
    </w:p>
    <w:p>
      <w:pPr>
        <w:spacing w:after="0" w:line="4" w:lineRule="exact"/>
        <w:rPr>
          <w:rFonts w:ascii="Times New Roman" w:cs="Times New Roman" w:eastAsia="Times New Roman" w:hAnsi="Times New Roman"/>
          <w:sz w:val="17"/>
          <w:szCs w:val="17"/>
          <w:color w:val="auto"/>
        </w:rPr>
      </w:pPr>
    </w:p>
    <w:p>
      <w:pPr>
        <w:ind w:left="740" w:right="60" w:hanging="370"/>
        <w:spacing w:after="0" w:line="252"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Strengthened balance sheet through two equity offerings, bringing unaudited cash, cash equivalents, and marketable securities to $791 million as of December 31, 2025, which provides runway into 2029</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Objectives and Milestones for 2026</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Bitopertin: GlyT1 Inhibitor (Heme Synthesis)</w:t>
      </w: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Anticipate FDA approval decision regarding NDA for bitopertin for the treatment of EPP under the CNPV program</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 launch and initial commercialization of bitopertin in the US, if approved</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Continue enrollment of the global, confirmatory APOLLO study with topline data expected by early 2027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DISC-0974: Anti-hemojuvelin Antibody (Hepcidin Suppression)</w:t>
      </w:r>
    </w:p>
    <w:p>
      <w:pPr>
        <w:spacing w:after="0" w:line="10" w:lineRule="exact"/>
        <w:rPr>
          <w:sz w:val="20"/>
          <w:szCs w:val="20"/>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Progress ongoing Phase 2 MF anemia trial with updated data expected H2 2026</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Conduct End of Phase 2 meeting with the FDA about DISC-0974 in MF anemia in H2 2026</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 Phase 2 study of DISC-0974 in patients with anemia and inflammatory bowel disease (IBD)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DISC-3405: Anti-TMPRSS6 Antibody (Hepcidin Induction)</w:t>
      </w:r>
    </w:p>
    <w:p>
      <w:pPr>
        <w:spacing w:after="0" w:line="10" w:lineRule="exact"/>
        <w:rPr>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Progress ongoing Phase 2 PV trial with updated data expected H2 2026</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Progress ongoing Phase 1b SCD trial with updated data expected H2 2026</w:t>
      </w:r>
    </w:p>
    <w:p>
      <w:pPr>
        <w:spacing w:after="0" w:line="178" w:lineRule="exact"/>
        <w:rPr>
          <w:sz w:val="20"/>
          <w:szCs w:val="20"/>
          <w:color w:val="auto"/>
        </w:rPr>
      </w:pPr>
    </w:p>
    <w:p>
      <w:pPr>
        <w:ind w:right="680"/>
        <w:spacing w:after="0" w:line="358" w:lineRule="auto"/>
        <w:rPr>
          <w:sz w:val="20"/>
          <w:szCs w:val="20"/>
          <w:color w:val="auto"/>
        </w:rPr>
      </w:pPr>
      <w:r>
        <w:rPr>
          <w:rFonts w:ascii="Arial" w:cs="Arial" w:eastAsia="Arial" w:hAnsi="Arial"/>
          <w:sz w:val="17"/>
          <w:szCs w:val="17"/>
          <w:color w:val="auto"/>
        </w:rPr>
        <w:t xml:space="preserve">Bitopertin, DISC-0974, and DISC-3405 are investigational agents and are not approved for use as therapies in any jurisdiction worldwide. </w:t>
      </w:r>
      <w:r>
        <w:rPr>
          <w:rFonts w:ascii="Arial" w:cs="Arial" w:eastAsia="Arial" w:hAnsi="Arial"/>
          <w:sz w:val="17"/>
          <w:szCs w:val="17"/>
          <w:b w:val="1"/>
          <w:bCs w:val="1"/>
          <w:color w:val="auto"/>
        </w:rPr>
        <w:t>About Disc Medicine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Disc Medicine (NASDAQ:IRON) is a clinical 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cs="Arial" w:eastAsia="Arial" w:hAnsi="Arial"/>
          <w:sz w:val="17"/>
          <w:szCs w:val="17"/>
          <w:u w:val="single" w:color="auto"/>
          <w:color w:val="0563C1"/>
        </w:rPr>
        <w:t>www.discmedicine.com</w:t>
      </w:r>
      <w:r>
        <w:rPr>
          <w:rFonts w:ascii="Arial" w:cs="Arial" w:eastAsia="Arial" w:hAnsi="Arial"/>
          <w:sz w:val="17"/>
          <w:szCs w:val="17"/>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 Cautionary Statement Regarding Forward-Looking Statements</w:t>
      </w:r>
    </w:p>
    <w:p>
      <w:pPr>
        <w:spacing w:after="0" w:line="1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DISC-0974 and DISC-3405, including projected timelines for the initiation and completion of its clinical trials, anticipated timing of release of data,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756285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315" w:right="399" w:bottom="1440" w:gutter="0" w:footer="0" w:header="0"/>
        </w:sectPr>
      </w:pPr>
    </w:p>
    <w:bookmarkStart w:id="5" w:name="page6"/>
    <w:bookmarkEnd w:id="5"/>
    <w:p>
      <w:pPr>
        <w:ind w:right="60"/>
        <w:spacing w:after="0" w:line="23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832610" cy="278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32610" cy="278130"/>
                    </a:xfrm>
                    <a:prstGeom prst="rect">
                      <a:avLst/>
                    </a:prstGeom>
                    <a:noFill/>
                  </pic:spPr>
                </pic:pic>
              </a:graphicData>
            </a:graphic>
          </wp:anchor>
        </w:drawing>
        <w:t>clinical activities; the registrational pathway for bitopertin, including the potential for accelerated approval, benefits of the CNPV, expected review period and the timing of approval, if granted; Disc’s expectations with respect to the potential launch and commercialization of bitopertin, if approved; anticipated discussions with regulatory agencies; Disc’s preliminary unaudited cash, cash equivalents and marketable securities as of December 31, 2025;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final audit adjustments and other developments that may arise that would cause Disc’s expectations with respect to the estimate of cash, cash equivalents and marketable securities as of December 31, 2025 to differ, perhaps materially, from the financial results that will be reflected in Disc’s audited consolidated financial statements for the fiscal year ended December 31, 2025; and the other risks and uncertainties described in Disc’s filings with the Securities and Exchange Commission, including in the “Risk Factors” section of Disc’s Annual Report on Form 10-K for the year ended December 31, 2024,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957580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3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832610" cy="278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832610" cy="278130"/>
                    </a:xfrm>
                    <a:prstGeom prst="rect">
                      <a:avLst/>
                    </a:prstGeom>
                    <a:noFill/>
                  </pic:spPr>
                </pic:pic>
              </a:graphicData>
            </a:graphic>
          </wp:anchor>
        </w:drawing>
        <w:t>Media Contact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Peg Rusconi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Deerfield Group</w:t>
      </w:r>
    </w:p>
    <w:p>
      <w:pPr>
        <w:spacing w:after="0"/>
        <w:rPr>
          <w:sz w:val="20"/>
          <w:szCs w:val="20"/>
          <w:color w:val="auto"/>
        </w:rPr>
      </w:pPr>
      <w:r>
        <w:rPr>
          <w:rFonts w:ascii="Arial" w:cs="Arial" w:eastAsia="Arial" w:hAnsi="Arial"/>
          <w:sz w:val="17"/>
          <w:szCs w:val="17"/>
          <w:color w:val="auto"/>
        </w:rPr>
        <w:t>peg.rusconi@deerfieldgroup.com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 Contact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Christina Tartaglia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Precision AQ</w:t>
      </w:r>
    </w:p>
    <w:p>
      <w:pPr>
        <w:spacing w:after="0"/>
        <w:rPr>
          <w:sz w:val="20"/>
          <w:szCs w:val="20"/>
          <w:color w:val="auto"/>
        </w:rPr>
      </w:pPr>
      <w:r>
        <w:rPr>
          <w:rFonts w:ascii="Arial" w:cs="Arial" w:eastAsia="Arial" w:hAnsi="Arial"/>
          <w:sz w:val="17"/>
          <w:szCs w:val="17"/>
          <w:color w:val="auto"/>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969010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313" w:right="1440"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2026-01-12T07:41:22Z</dcterms:created>
  <dcterms:modified xsi:type="dcterms:W3CDTF">2026-01-12T07:41:22Z</dcterms:modified>
</cp:coreProperties>
</file>