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593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5930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486"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Bitterman Kevin</w:t>
              </w:r>
            </w:hyperlink>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Disc Medicine,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IRON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40" w:type="dxa"/>
            <w:vAlign w:val="bottom"/>
            <w:gridSpan w:val="3"/>
            <w:vMerge w:val="continue"/>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80" w:type="dxa"/>
            <w:vAlign w:val="bottom"/>
            <w:tcBorders>
              <w:bottom w:val="single" w:sz="8" w:color="0000EE"/>
            </w:tcBorders>
          </w:tcPr>
          <w:p>
            <w:pPr>
              <w:spacing w:after="0"/>
              <w:rPr>
                <w:sz w:val="6"/>
                <w:szCs w:val="6"/>
                <w:color w:val="auto"/>
              </w:rPr>
            </w:pPr>
          </w:p>
        </w:tc>
        <w:tc>
          <w:tcPr>
            <w:tcW w:w="20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40" w:type="dxa"/>
            <w:vAlign w:val="bottom"/>
            <w:gridSpan w:val="3"/>
            <w:vMerge w:val="continue"/>
          </w:tcPr>
          <w:p>
            <w:pPr>
              <w:spacing w:after="0"/>
              <w:rPr>
                <w:sz w:val="5"/>
                <w:szCs w:val="5"/>
                <w:color w:val="auto"/>
              </w:rPr>
            </w:pPr>
          </w:p>
        </w:tc>
        <w:tc>
          <w:tcPr>
            <w:tcW w:w="1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80" w:type="dxa"/>
            <w:vAlign w:val="bottom"/>
          </w:tcPr>
          <w:p>
            <w:pPr>
              <w:spacing w:after="0"/>
              <w:rPr>
                <w:sz w:val="5"/>
                <w:szCs w:val="5"/>
                <w:color w:val="auto"/>
              </w:rPr>
            </w:pPr>
          </w:p>
        </w:tc>
        <w:tc>
          <w:tcPr>
            <w:tcW w:w="20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60" w:type="dxa"/>
            <w:vAlign w:val="bottom"/>
            <w:tcBorders>
              <w:top w:val="single" w:sz="8" w:color="0000EE"/>
            </w:tcBorders>
          </w:tcPr>
          <w:p>
            <w:pPr>
              <w:spacing w:after="0"/>
              <w:rPr>
                <w:sz w:val="6"/>
                <w:szCs w:val="6"/>
                <w:color w:val="auto"/>
              </w:rPr>
            </w:pPr>
          </w:p>
        </w:tc>
        <w:tc>
          <w:tcPr>
            <w:tcW w:w="800" w:type="dxa"/>
            <w:vAlign w:val="bottom"/>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8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60" w:type="dxa"/>
            <w:vAlign w:val="bottom"/>
            <w:tcBorders>
              <w:top w:val="single" w:sz="8" w:color="EEEEEE"/>
            </w:tcBorders>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14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00" w:type="dxa"/>
            <w:vAlign w:val="bottom"/>
            <w:vMerge w:val="restart"/>
          </w:tcPr>
          <w:p>
            <w:pPr>
              <w:ind w:left="2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60" w:type="dxa"/>
            <w:vAlign w:val="bottom"/>
            <w:gridSpan w:val="2"/>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18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12/17/2025</w:t>
            </w:r>
          </w:p>
        </w:tc>
        <w:tc>
          <w:tcPr>
            <w:tcW w:w="20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DISC MEDICINE, INC.</w:t>
            </w:r>
          </w:p>
        </w:tc>
        <w:tc>
          <w:tcPr>
            <w:tcW w:w="1400" w:type="dxa"/>
            <w:vAlign w:val="bottom"/>
          </w:tcPr>
          <w:p>
            <w:pPr>
              <w:spacing w:after="0"/>
              <w:rPr>
                <w:sz w:val="11"/>
                <w:szCs w:val="11"/>
                <w:color w:val="auto"/>
              </w:rPr>
            </w:pPr>
          </w:p>
        </w:tc>
        <w:tc>
          <w:tcPr>
            <w:tcW w:w="1840" w:type="dxa"/>
            <w:vAlign w:val="bottom"/>
            <w:gridSpan w:val="3"/>
            <w:vMerge w:val="continue"/>
          </w:tcPr>
          <w:p>
            <w:pPr>
              <w:spacing w:after="0"/>
              <w:rPr>
                <w:sz w:val="11"/>
                <w:szCs w:val="11"/>
                <w:color w:val="auto"/>
              </w:rPr>
            </w:pPr>
          </w:p>
        </w:tc>
        <w:tc>
          <w:tcPr>
            <w:tcW w:w="20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40" w:type="dxa"/>
            <w:vAlign w:val="bottom"/>
            <w:gridSpan w:val="3"/>
            <w:vMerge w:val="continue"/>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321 ARSENAL STREET, SUITE 101</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680" w:type="dxa"/>
            <w:vAlign w:val="bottom"/>
            <w:tcBorders>
              <w:bottom w:val="single" w:sz="8" w:color="2C2C2C"/>
            </w:tcBorders>
          </w:tcPr>
          <w:p>
            <w:pPr>
              <w:spacing w:after="0"/>
              <w:rPr>
                <w:sz w:val="12"/>
                <w:szCs w:val="12"/>
                <w:color w:val="auto"/>
              </w:rPr>
            </w:pPr>
          </w:p>
        </w:tc>
        <w:tc>
          <w:tcPr>
            <w:tcW w:w="20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486"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WATERTOWN</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02472</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486"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jc w:val="center"/>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jc w:val="right"/>
              <w:ind w:right="230"/>
              <w:spacing w:after="0"/>
              <w:rPr>
                <w:sz w:val="20"/>
                <w:szCs w:val="20"/>
                <w:color w:val="auto"/>
              </w:rPr>
            </w:pPr>
            <w:r>
              <w:rPr>
                <w:rFonts w:ascii="Arial" w:cs="Arial" w:eastAsia="Arial" w:hAnsi="Arial"/>
                <w:sz w:val="12"/>
                <w:szCs w:val="12"/>
                <w:b w:val="1"/>
                <w:bCs w:val="1"/>
                <w:color w:val="auto"/>
                <w:w w:val="96"/>
              </w:rPr>
              <w:t>Amount</w:t>
            </w:r>
          </w:p>
        </w:tc>
        <w:tc>
          <w:tcPr>
            <w:tcW w:w="4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6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0000FF"/>
              </w:rPr>
              <w:t>12/17/2025</w:t>
            </w: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jc w:val="right"/>
              <w:ind w:right="210"/>
              <w:spacing w:after="0"/>
              <w:rPr>
                <w:sz w:val="20"/>
                <w:szCs w:val="20"/>
                <w:color w:val="auto"/>
              </w:rPr>
            </w:pPr>
            <w:r>
              <w:rPr>
                <w:rFonts w:ascii="Times New Roman" w:cs="Times New Roman" w:eastAsia="Times New Roman" w:hAnsi="Times New Roman"/>
                <w:sz w:val="17"/>
                <w:szCs w:val="17"/>
                <w:color w:val="0000FF"/>
              </w:rPr>
              <w:t>393</w:t>
            </w:r>
          </w:p>
        </w:tc>
        <w:tc>
          <w:tcPr>
            <w:tcW w:w="4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gridSpan w:val="3"/>
            <w:vMerge w:val="restart"/>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91.47</w:t>
            </w:r>
            <w:r>
              <w:rPr>
                <w:rFonts w:ascii="Times New Roman" w:cs="Times New Roman" w:eastAsia="Times New Roman" w:hAnsi="Times New Roman"/>
                <w:sz w:val="22"/>
                <w:szCs w:val="22"/>
                <w:color w:val="008000"/>
                <w:vertAlign w:val="superscript"/>
              </w:rPr>
              <w:t>(1)</w:t>
            </w: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349,210</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0000FF"/>
              </w:rPr>
              <w:t>12/17/2025</w:t>
            </w: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jc w:val="right"/>
              <w:ind w:right="210"/>
              <w:spacing w:after="0"/>
              <w:rPr>
                <w:sz w:val="20"/>
                <w:szCs w:val="20"/>
                <w:color w:val="auto"/>
              </w:rPr>
            </w:pPr>
            <w:r>
              <w:rPr>
                <w:rFonts w:ascii="Times New Roman" w:cs="Times New Roman" w:eastAsia="Times New Roman" w:hAnsi="Times New Roman"/>
                <w:sz w:val="17"/>
                <w:szCs w:val="17"/>
                <w:color w:val="0000FF"/>
              </w:rPr>
              <w:t>213</w:t>
            </w:r>
          </w:p>
        </w:tc>
        <w:tc>
          <w:tcPr>
            <w:tcW w:w="4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gridSpan w:val="3"/>
            <w:vMerge w:val="restart"/>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91.47</w:t>
            </w:r>
            <w:r>
              <w:rPr>
                <w:rFonts w:ascii="Times New Roman" w:cs="Times New Roman" w:eastAsia="Times New Roman" w:hAnsi="Times New Roman"/>
                <w:sz w:val="22"/>
                <w:szCs w:val="22"/>
                <w:color w:val="008000"/>
                <w:vertAlign w:val="superscript"/>
              </w:rPr>
              <w:t>(1)</w:t>
            </w: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337,485</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0000FF"/>
              </w:rPr>
              <w:t>12/17/2025</w:t>
            </w: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jc w:val="right"/>
              <w:ind w:right="210"/>
              <w:spacing w:after="0"/>
              <w:rPr>
                <w:sz w:val="20"/>
                <w:szCs w:val="20"/>
                <w:color w:val="auto"/>
              </w:rPr>
            </w:pPr>
            <w:r>
              <w:rPr>
                <w:rFonts w:ascii="Times New Roman" w:cs="Times New Roman" w:eastAsia="Times New Roman" w:hAnsi="Times New Roman"/>
                <w:sz w:val="17"/>
                <w:szCs w:val="17"/>
                <w:color w:val="0000FF"/>
              </w:rPr>
              <w:t>148</w:t>
            </w:r>
          </w:p>
        </w:tc>
        <w:tc>
          <w:tcPr>
            <w:tcW w:w="4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gridSpan w:val="3"/>
            <w:vMerge w:val="restart"/>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91.47</w:t>
            </w:r>
            <w:r>
              <w:rPr>
                <w:rFonts w:ascii="Times New Roman" w:cs="Times New Roman" w:eastAsia="Times New Roman" w:hAnsi="Times New Roman"/>
                <w:sz w:val="22"/>
                <w:szCs w:val="22"/>
                <w:color w:val="008000"/>
                <w:vertAlign w:val="superscript"/>
              </w:rPr>
              <w:t>(1)</w:t>
            </w: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14,013</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right"/>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jc w:val="right"/>
              <w:ind w:right="29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3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$91.2501 to $91.52 inclusive. The Reporting Person undertakes to provide to the Issuer, any security holder of the Issuer, or the staff of the Securities and Exchange Commission, upon request, full information regarding the number of shares sold at each separate price within the range set forth in footnote.</w:t>
      </w:r>
    </w:p>
    <w:p>
      <w:pPr>
        <w:spacing w:after="0" w:line="20" w:lineRule="exact"/>
        <w:rPr>
          <w:rFonts w:ascii="Times New Roman" w:cs="Times New Roman" w:eastAsia="Times New Roman" w:hAnsi="Times New Roman"/>
          <w:sz w:val="13"/>
          <w:szCs w:val="13"/>
          <w:color w:val="008000"/>
        </w:rPr>
      </w:pPr>
    </w:p>
    <w:p>
      <w:pPr>
        <w:ind w:left="40" w:right="3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Atlas Venture Opportunity Fund I, LP ("Opportunity I"). The general partner of Opportunity I is Atlas Venture Associates Opportunity I, LP ("Associates I"). Atlas Venture Associates Opportunity I, LLC ("Associates I LLC") is the general partner of Associates I. The Reporting Person is a member of Associates I LLC and disclaims beneficial ownership of such securities held by Opportunity I, except to the extent of his pecuniary interest therein, if any.</w:t>
      </w:r>
    </w:p>
    <w:p>
      <w:pPr>
        <w:spacing w:after="0" w:line="20" w:lineRule="exact"/>
        <w:rPr>
          <w:rFonts w:ascii="Times New Roman" w:cs="Times New Roman" w:eastAsia="Times New Roman" w:hAnsi="Times New Roman"/>
          <w:sz w:val="13"/>
          <w:szCs w:val="13"/>
          <w:color w:val="008000"/>
        </w:rPr>
      </w:pPr>
    </w:p>
    <w:p>
      <w:pPr>
        <w:jc w:val="both"/>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Atlas Venture Opportunity Fund II, LP ("Opportunity II"). The general partner of Opportunity II is Atlas Venture Associates Opportunity II, LP ("Associates II"). Atlas Venture Associates Opportunity II, LLC ("Associates II LLC") is the general partner of Associates II. The Reporting Person is a member of Associates II LLC and disclaims beneficial ownership of such securities held by Opportunity II, except to the extent of his pecuniary interest therein, if any.</w:t>
      </w:r>
    </w:p>
    <w:p>
      <w:pPr>
        <w:spacing w:after="0" w:line="20" w:lineRule="exact"/>
        <w:rPr>
          <w:rFonts w:ascii="Times New Roman" w:cs="Times New Roman" w:eastAsia="Times New Roman" w:hAnsi="Times New Roman"/>
          <w:sz w:val="13"/>
          <w:szCs w:val="13"/>
          <w:color w:val="008000"/>
        </w:rPr>
      </w:pPr>
    </w:p>
    <w:p>
      <w:pPr>
        <w:ind w:left="40" w:right="220" w:firstLine="7"/>
        <w:spacing w:after="0" w:line="249"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Atlas Venture Fund XII, L.P. ("Atlas XII"). The general partner of Atlas XII is Atlas Venture Associates XII, L.P. ("Associates XII"). Atlas Venture Associates XII, LLC ("Associates XII LLC") is the general partner of Associates XII. The Reporting Person is a member of Associates XII LLC and disclaims beneficial ownership of such securities held by Atlas XII, except to the extent of his pecuniary interest therein, if any.</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Ommer Chohan, Attorney-  </w:t>
      </w:r>
      <w:r>
        <w:rPr>
          <w:rFonts w:ascii="Times New Roman" w:cs="Times New Roman" w:eastAsia="Times New Roman" w:hAnsi="Times New Roman"/>
          <w:sz w:val="33"/>
          <w:szCs w:val="33"/>
          <w:color w:val="0000FF"/>
          <w:vertAlign w:val="subscript"/>
        </w:rPr>
        <w:t>12/18/2025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19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48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91747" TargetMode="External"/><Relationship Id="rId14"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2025-12-18T17:19:37Z</dcterms:created>
  <dcterms:modified xsi:type="dcterms:W3CDTF">2025-12-18T17:19:37Z</dcterms:modified>
</cp:coreProperties>
</file>