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Disc Medicine,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321 Arsenal Street, Suite 101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Watertown, MA 02472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January 20, 2023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 – 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Re: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Disc Medicine, Inc.</w:t>
            </w:r>
          </w:p>
        </w:tc>
      </w:tr>
      <w:tr>
        <w:trPr>
          <w:trHeight w:val="2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Registration Statement on Form S-3</w:t>
            </w:r>
          </w:p>
        </w:tc>
      </w:tr>
      <w:tr>
        <w:trPr>
          <w:trHeight w:val="2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File No. 333-269270</w:t>
            </w:r>
          </w:p>
        </w:tc>
      </w:tr>
      <w:tr>
        <w:trPr>
          <w:trHeight w:val="19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Request for Acceleration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Disc Medicine, Inc. (the “Company”) hereby requests acceleration of the effective date of its Registration Statement on Form S-3 (File No. 333-269270) (the “Registration Statement”), so that it may become effective at 4:01 pm Eastern time on January 24, 2023, or as soon thereafter as practicable.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DISC MEDICINE, INC.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John Quisel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4394835</wp:posOffset>
            </wp:positionH>
            <wp:positionV relativeFrom="paragraph">
              <wp:posOffset>17145</wp:posOffset>
            </wp:positionV>
            <wp:extent cx="259715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John Quisel, J.D., Ph.D.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Chief Executive Officer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Cc: William Collins, Goodwin Procter LLP</w:t>
      </w:r>
    </w:p>
    <w:sectPr>
      <w:pgSz w:w="11900" w:h="16838" w:orient="portrait"/>
      <w:cols w:equalWidth="0" w:num="1">
        <w:col w:w="10800"/>
      </w:cols>
      <w:pgMar w:left="440" w:top="229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2023-02-22T23:08:49Z</dcterms:created>
  <dcterms:modified xsi:type="dcterms:W3CDTF">2023-02-22T23:08:49Z</dcterms:modified>
</cp:coreProperties>
</file>