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85-1612845</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 Watertown, MA 02472</w:t>
            </w: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13, 2023, Disc Medicine, Inc. (the “Company”) entered into a securities purchase agreement (the “Purchase Agreement”) with the investors identified therein. Pursuant to the Purchase Agreement, the Company agreed to sell and issue to the investors in a registered direct offering (the “Offering”) (i) an aggregate of 1,488,166 shares (the “Shares”) of the Company’s common stock, par value $0.0001 per share (the “Common Stock”), at a purchase price of $23.00 per Share, and (ii) with respect to certain investors, in lieu of Shares, pre-funded warrants (the “Pre-Funded Warrants”) to purchase an aggregate of 1,229,224 shares of Common Stock, at a purchase price of $22.9999 per Pre-Funded Warrant.</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price per Pre-Funded Warrant represents the price per Share to be sold in the Offering, minus the $0.0001 per share exercise price of each such Pre-Funded Warrant. Each Pre-Funded Warrant will have an exercise price equal to $0.0001 per share. The Pre-Funded Warrants are exercisable at any time after their original issuance and will not expire until exercised in full.</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Pre-Funded Warrants to be issued in the Offering will provide that a holder of Pre-Funded Warrants will not have the right to exercise any portion of its Pre-Funded Warrants if such holder, together with its affiliates, would beneficially own in excess of 9.99% of the number of shares of the Company’s Common Stock outstanding immediately after giving effect to such exercise (the “Beneficial Ownership Limitation”);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Offering is expected to close on or about February 15, 2023, subject to the satisfaction of certain customary closing conditions. The Company expects to receive aggregate gross proceeds from the Offering of approximately $62.5 million, before deducting estimated offering expenses payable by the Company. The Company expects the net proceeds from the Offering to be used to fund research and clinical development of the Company’s current or additional product candidates, and the remainder for working capital and other general corporate purposes, which may include an in-license, acquisition or investment in complementary businesses or technologies.</w:t>
      </w:r>
    </w:p>
    <w:p>
      <w:pPr>
        <w:spacing w:after="0" w:line="18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representations, warranties and covenants contained in the Purchase Agreement were made only for the purpose of such agreement and as of specific dates, were solely for the benefit of the parties to the Purchase Agreement and may be subject to limitations agreed upon by the parties thereto.</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shares of Common Stock and Pre-Funded Warrants were offered by the Company pursuant to an effective shelf registration statement on Form S-3 (File No. 333-269272), as amended, which was declared effective by the Securities and Exchange Commission on January 24, 2023.</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Pre-Funded Warrants do not purport to be complete and are qualified in their entirety by reference to such agreements, copies of which are filed as Exhibits 10.1 and 4.1 hereto, respectively, and incorporated by reference herein.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copy of the legal opinion of Goodwin Procter LLP relating to the validity of the Shares and the Pre-Funded Warrants issued in the Offering is filed as Exhibit 5.1 to this Current Report on Form 8-K and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This Item 1.01 contains forward-looking statements within the meaning of the Private Securities Litigation Reform Act of 1995, as amended, including, without limitation, statements regarding Disc’s anticipated use of net proceeds from the offering, statements regarding the completion and timing of the offering, development of and regulatory status of the Company’s product candidates, potential for in-licensing, acquisitions or investments in complementary businesses or technologies, and the Company’s strategy, business plans and focus. The words “may,” “will,” “could,” “would,” “should,” “expect,” “plan,” “anticipate,” “intend,” “believe,” “estimate,” “predict,” “project,” “potential,” “continue,” “target” and similar expressions are intended to identify forward-</w:t>
      </w:r>
    </w:p>
    <w:p>
      <w:pPr>
        <w:sectPr>
          <w:pgSz w:w="11900" w:h="16838" w:orient="portrait"/>
          <w:cols w:equalWidth="0" w:num="1">
            <w:col w:w="11020"/>
          </w:cols>
          <w:pgMar w:left="440" w:top="293" w:right="4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looking statements, although not all forward-looking statements contain these identifying words. Any forward-looking statements in this Item 1.01 are based on management’s current expectations and beliefs and are subject to a number of risks, uncertainties, and important factors that may cause actual events or results to differ materially from those expressed or implied by any forward-looking statements contained in this Item 1.01, including, without limitation, those related to the Company’s financial results, the timing and successful completion of the registered offering of the Company’s common stock and pre-funded warrants, the risks identified in the Company’s SEC filings, including but not limited to the risks discussed in the Company’s Current Report on Form 8-K filed with the SEC on December 29, 2022 and in the Company’s other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Item 1.01 represent the Company’s views only as of the date hereof and should not be relied upon as representing its views as of any subsequent date.</w:t>
      </w:r>
    </w:p>
    <w:p>
      <w:pPr>
        <w:spacing w:after="0" w:line="33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2023, the Company issued a press release announcing the Offering. A copy of the press release is furnished as Exhibit 99.1 hereto.</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Exhibit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117"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Goodwin Procter LLP</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as of February 13, 2023, by and between Disc Medicine, Inc. and the investors identified therein.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(contained in Exhibit 5.1)</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14,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5" w:right="4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52"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1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Warrant No.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4" w:lineRule="exact"/>
        <w:rPr>
          <w:sz w:val="20"/>
          <w:szCs w:val="20"/>
          <w:color w:val="auto"/>
        </w:rPr>
      </w:pPr>
    </w:p>
    <w:p>
      <w:pPr>
        <w:sectPr>
          <w:pgSz w:w="11900" w:h="16838" w:orient="portrait"/>
          <w:cols w:equalWidth="0" w:num="4">
            <w:col w:w="984" w:space="180"/>
            <w:col w:w="4000" w:space="720"/>
            <w:col w:w="1660" w:space="80"/>
            <w:col w:w="3400"/>
          </w:cols>
          <w:pgMar w:left="436" w:top="117" w:right="439" w:bottom="1440" w:gutter="0" w:footer="0" w:header="0"/>
          <w:type w:val="continuous"/>
        </w:sectPr>
      </w:pPr>
    </w:p>
    <w:p>
      <w:pPr>
        <w:spacing w:after="0" w:line="7" w:lineRule="exact"/>
        <w:rPr>
          <w:sz w:val="20"/>
          <w:szCs w:val="20"/>
          <w:color w:val="auto"/>
        </w:rPr>
      </w:pPr>
    </w:p>
    <w:p>
      <w:pPr>
        <w:ind w:left="5884"/>
        <w:spacing w:after="0"/>
        <w:rPr>
          <w:sz w:val="20"/>
          <w:szCs w:val="20"/>
          <w:color w:val="auto"/>
        </w:rPr>
      </w:pPr>
      <w:r>
        <w:rPr>
          <w:rFonts w:ascii="Times New Roman" w:cs="Times New Roman" w:eastAsia="Times New Roman" w:hAnsi="Times New Roman"/>
          <w:sz w:val="18"/>
          <w:szCs w:val="18"/>
          <w:color w:val="auto"/>
        </w:rPr>
        <w:t>Original Issue Date: February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2023</w:t>
      </w:r>
    </w:p>
    <w:p>
      <w:pPr>
        <w:spacing w:after="0" w:line="211" w:lineRule="exact"/>
        <w:rPr>
          <w:sz w:val="20"/>
          <w:szCs w:val="20"/>
          <w:color w:val="auto"/>
        </w:rPr>
      </w:pPr>
    </w:p>
    <w:p>
      <w:pPr>
        <w:sectPr>
          <w:pgSz w:w="11900" w:h="16838" w:orient="portrait"/>
          <w:cols w:equalWidth="0" w:num="2">
            <w:col w:w="8144" w:space="180"/>
            <w:col w:w="2700"/>
          </w:cols>
          <w:pgMar w:left="436" w:top="117" w:right="43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p>
    <w:p>
      <w:pPr>
        <w:spacing w:after="0" w:line="27" w:lineRule="exact"/>
        <w:rPr>
          <w:sz w:val="20"/>
          <w:szCs w:val="20"/>
          <w:color w:val="auto"/>
        </w:rPr>
      </w:pPr>
    </w:p>
    <w:p>
      <w:pPr>
        <w:ind w:left="4"/>
        <w:spacing w:after="0"/>
        <w:tabs>
          <w:tab w:leader="none" w:pos="2804" w:val="left"/>
        </w:tabs>
        <w:rPr>
          <w:sz w:val="20"/>
          <w:szCs w:val="20"/>
          <w:color w:val="auto"/>
        </w:rPr>
      </w:pPr>
      <w:r>
        <w:rPr>
          <w:rFonts w:ascii="Times New Roman" w:cs="Times New Roman" w:eastAsia="Times New Roman" w:hAnsi="Times New Roman"/>
          <w:sz w:val="18"/>
          <w:szCs w:val="18"/>
          <w:color w:val="auto"/>
        </w:rPr>
        <w:t>which are hereby acknowledged, [</w:t>
      </w:r>
      <w:r>
        <w:rPr>
          <w:sz w:val="20"/>
          <w:szCs w:val="20"/>
          <w:color w:val="auto"/>
        </w:rPr>
        <w:tab/>
      </w:r>
      <w:r>
        <w:rPr>
          <w:rFonts w:ascii="Times New Roman" w:cs="Times New Roman" w:eastAsia="Times New Roman" w:hAnsi="Times New Roman"/>
          <w:sz w:val="17"/>
          <w:szCs w:val="17"/>
          <w:color w:val="auto"/>
        </w:rPr>
        <w:t>] or its permitted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subject to the terms set forth below, to purchase from the</w:t>
      </w:r>
    </w:p>
    <w:p>
      <w:pPr>
        <w:spacing w:after="0" w:line="9" w:lineRule="exact"/>
        <w:rPr>
          <w:sz w:val="20"/>
          <w:szCs w:val="20"/>
          <w:color w:val="auto"/>
        </w:rPr>
      </w:pPr>
    </w:p>
    <w:p>
      <w:pPr>
        <w:ind w:left="4"/>
        <w:spacing w:after="0"/>
        <w:tabs>
          <w:tab w:leader="none" w:pos="2064" w:val="left"/>
        </w:tabs>
        <w:rPr>
          <w:sz w:val="20"/>
          <w:szCs w:val="20"/>
          <w:color w:val="auto"/>
        </w:rPr>
      </w:pPr>
      <w:r>
        <w:rPr>
          <w:rFonts w:ascii="Times New Roman" w:cs="Times New Roman" w:eastAsia="Times New Roman" w:hAnsi="Times New Roman"/>
          <w:sz w:val="18"/>
          <w:szCs w:val="18"/>
          <w:color w:val="auto"/>
        </w:rPr>
        <w:t>Company up to a total of [</w:t>
      </w:r>
      <w:r>
        <w:rPr>
          <w:sz w:val="20"/>
          <w:szCs w:val="20"/>
          <w:color w:val="auto"/>
        </w:rPr>
        <w:tab/>
      </w:r>
      <w:r>
        <w:rPr>
          <w:rFonts w:ascii="Times New Roman" w:cs="Times New Roman" w:eastAsia="Times New Roman" w:hAnsi="Times New Roman"/>
          <w:sz w:val="17"/>
          <w:szCs w:val="17"/>
          <w:color w:val="auto"/>
        </w:rPr>
        <w:t>] shares of common stock, $0.0001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the Company (each such share,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an exercise price per share equal to $0.0001 per share (as adjusted from time to time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provided in Section 9 herein,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issued in exchange, transfer or replacement hereof,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subject to the following terms and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left="4" w:right="12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Times New Roman" w:cs="Times New Roman" w:eastAsia="Times New Roman" w:hAnsi="Times New Roman"/>
          <w:sz w:val="18"/>
          <w:szCs w:val="18"/>
          <w:color w:val="auto"/>
        </w:rPr>
      </w:pPr>
    </w:p>
    <w:p>
      <w:pPr>
        <w:ind w:left="4" w:right="40" w:hanging="4"/>
        <w:spacing w:after="0" w:line="258"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w:t>
      </w:r>
    </w:p>
    <w:p>
      <w:pPr>
        <w:spacing w:after="0" w:line="183"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4" w:right="20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ectPr>
          <w:pgSz w:w="11900" w:h="16838" w:orient="portrait"/>
          <w:cols w:equalWidth="0" w:num="1">
            <w:col w:w="11024"/>
          </w:cols>
          <w:pgMar w:left="436" w:top="117" w:right="439" w:bottom="1440" w:gutter="0" w:footer="0" w:header="0"/>
          <w:type w:val="continuous"/>
        </w:sectPr>
      </w:pPr>
    </w:p>
    <w:bookmarkStart w:id="5" w:name="page6"/>
    <w:bookmarkEnd w:id="5"/>
    <w:p>
      <w:pPr>
        <w:ind w:left="4" w:right="240" w:hanging="4"/>
        <w:spacing w:after="0" w:line="282" w:lineRule="auto"/>
        <w:tabs>
          <w:tab w:leader="none" w:pos="2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S-3 (File No. 333-269272), declared effective on January 24, 2023.</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4" w:right="140" w:hanging="4"/>
        <w:spacing w:after="0" w:line="266"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which as of the Issuance Date was “T+2”.</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200" w:hanging="4"/>
        <w:spacing w:after="0" w:line="282"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Company’s transfer agent and registrar for the Common Stock, and any successor appointed in such capacity.</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means the Company.</w:t>
      </w:r>
    </w:p>
    <w:p>
      <w:pPr>
        <w:spacing w:after="0" w:line="225" w:lineRule="exact"/>
        <w:rPr>
          <w:sz w:val="20"/>
          <w:szCs w:val="20"/>
          <w:color w:val="auto"/>
        </w:rPr>
      </w:pPr>
    </w:p>
    <w:p>
      <w:pPr>
        <w:ind w:left="4" w:hanging="4"/>
        <w:spacing w:after="0" w:line="25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Warrants</w:t>
      </w:r>
      <w:r>
        <w:rPr>
          <w:rFonts w:ascii="Times New Roman" w:cs="Times New Roman" w:eastAsia="Times New Roman" w:hAnsi="Times New Roman"/>
          <w:sz w:val="18"/>
          <w:szCs w:val="18"/>
          <w:color w:val="auto"/>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Warrant Agent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right="40" w:hanging="4"/>
        <w:spacing w:after="0" w:line="253"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the Warrant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Upon any such registration or transfer, a new warrant to purchase Common Stock in substantially the form of this Warrant (any such new warrant, a “</w:t>
      </w:r>
      <w:r>
        <w:rPr>
          <w:rFonts w:ascii="Times New Roman" w:cs="Times New Roman" w:eastAsia="Times New Roman" w:hAnsi="Times New Roman"/>
          <w:sz w:val="18"/>
          <w:szCs w:val="18"/>
          <w:u w:val="single" w:color="auto"/>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the Warrant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9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hanging="4"/>
        <w:spacing w:after="0" w:line="282"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Section 10 of this Warrant at any time and from time to time on or after the Original Issue Date.</w:t>
      </w:r>
    </w:p>
    <w:p>
      <w:pPr>
        <w:sectPr>
          <w:pgSz w:w="11900" w:h="16838" w:orient="portrait"/>
          <w:cols w:equalWidth="0" w:num="1">
            <w:col w:w="10984"/>
          </w:cols>
          <w:pgMar w:left="436" w:top="270" w:right="479" w:bottom="1440" w:gutter="0" w:footer="0" w:header="0"/>
        </w:sectPr>
      </w:pPr>
    </w:p>
    <w:bookmarkStart w:id="6" w:name="page7"/>
    <w:bookmarkEnd w:id="6"/>
    <w:p>
      <w:pPr>
        <w:ind w:left="4" w:right="20" w:hanging="4"/>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 may exercise this Warrant by delivering to the Company (i) an exercise notice, in the form attached as Schedule 1 hereto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9"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53"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or shall cause the Transfer Agent to, promptly (but in no event later than the number of Trading Days comprising the Standard Settlement Period)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Deposit/Withdrawal At Custodian system provided that the Transfer Agent is then a participant in the DTC Fast Automated Securities Transfer Program and either (A) there is an effective registration statement permitting the issuance of such Warrant Shares to or resale of such Warrant Shares by the Holder or (B) such Warrant Shares are eligible for resale by the Holder without volume or manner-of-sale limitations pursuant to Rule 144 promulgated under the Securities Act (assuming cashless exercise of this Warrant), and otherwise issue such Warrant Shares in the name of the Holder or its designee in restricted book-entry form in the Company’s share register. The Holder, or any natural person or legal entity (each,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the book entry positions evidencing such Warrant Shares, as the case may be.</w:t>
      </w:r>
    </w:p>
    <w:p>
      <w:pPr>
        <w:spacing w:after="0" w:line="191"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the Standard Settlement Period after the Exercise Date, the Company fails to deliver to the Holder or its designee the required number of Warrant Shares in the manner required pursuant to Section 5(a) or fails to credit the Holder’s or its designee’s balance account with DTC for such number of Warrant Shares to which the Holder is entitled (other than a failure caused by incorrect or incomplete information provided by the Holder to the Company), and if after such number of Trading Days comprising the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xml:space="preserve">”),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issue such Warrant Shares shall terminate or (2) promptly honor its obligation to deliver to the Holder or its designee such Warrant Shares or credit the Holder’s or its designee’s balance account with DTC for such Warrant Shares and pay cash to the Holder in an amount equal to the Holder’s total purchase price (including brokerage commissions, if any) for the shares of Common Stock so purchased in the Buy-In,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product of (A) the number of shares of Common Stock purchased in the Buy-In, times (B) the Closing Sale Price of a share of Common Stock on the Exercise Date.</w:t>
      </w:r>
    </w:p>
    <w:p>
      <w:pPr>
        <w:spacing w:after="0" w:line="189"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ectPr>
          <w:pgSz w:w="11900" w:h="16838" w:orient="portrait"/>
          <w:cols w:equalWidth="0" w:num="1">
            <w:col w:w="11004"/>
          </w:cols>
          <w:pgMar w:left="436" w:top="270" w:right="459" w:bottom="1440" w:gutter="0" w:footer="0" w:header="0"/>
        </w:sectPr>
      </w:pPr>
    </w:p>
    <w:bookmarkStart w:id="7" w:name="page8"/>
    <w:bookmarkEnd w:id="7"/>
    <w:p>
      <w:pPr>
        <w:ind w:left="4" w:right="40" w:hanging="4"/>
        <w:spacing w:after="0" w:line="256"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right="220" w:hanging="4"/>
        <w:spacing w:after="0" w:line="255"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hanging="4"/>
        <w:spacing w:after="0" w:line="252"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w:t>
      </w:r>
    </w:p>
    <w:p>
      <w:pPr>
        <w:spacing w:after="0" w:line="193"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9.</w:t>
      </w:r>
    </w:p>
    <w:p>
      <w:pPr>
        <w:spacing w:after="0" w:line="162" w:lineRule="exact"/>
        <w:rPr>
          <w:sz w:val="20"/>
          <w:szCs w:val="20"/>
          <w:color w:val="auto"/>
        </w:rPr>
      </w:pPr>
    </w:p>
    <w:p>
      <w:pPr>
        <w:ind w:left="4" w:right="20" w:hanging="4"/>
        <w:spacing w:after="0" w:line="254" w:lineRule="auto"/>
        <w:tabs>
          <w:tab w:leader="none" w:pos="2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w:t>
      </w:r>
    </w:p>
    <w:p>
      <w:pPr>
        <w:sectPr>
          <w:pgSz w:w="11900" w:h="16838" w:orient="portrait"/>
          <w:cols w:equalWidth="0" w:num="1">
            <w:col w:w="11004"/>
          </w:cols>
          <w:pgMar w:left="436" w:top="270" w:right="459" w:bottom="1440" w:gutter="0" w:footer="0" w:header="0"/>
        </w:sectPr>
      </w:pPr>
    </w:p>
    <w:bookmarkStart w:id="8" w:name="page9"/>
    <w:bookmarkEnd w:id="8"/>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0" w:lineRule="exact"/>
        <w:rPr>
          <w:sz w:val="20"/>
          <w:szCs w:val="20"/>
          <w:color w:val="auto"/>
        </w:rPr>
      </w:pPr>
    </w:p>
    <w:p>
      <w:pPr>
        <w:ind w:left="4" w:hanging="4"/>
        <w:spacing w:after="0" w:line="252"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4" w:right="40" w:hanging="4"/>
        <w:spacing w:after="0" w:line="252" w:lineRule="auto"/>
        <w:tabs>
          <w:tab w:leader="none" w:pos="2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ind w:left="4" w:right="80" w:hanging="4"/>
        <w:spacing w:after="0" w:line="272" w:lineRule="auto"/>
        <w:tabs>
          <w:tab w:leader="none" w:pos="25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w:t>
      </w:r>
    </w:p>
    <w:p>
      <w:pPr>
        <w:spacing w:after="0" w:line="1" w:lineRule="exact"/>
        <w:rPr>
          <w:rFonts w:ascii="Times New Roman" w:cs="Times New Roman" w:eastAsia="Times New Roman" w:hAnsi="Times New Roman"/>
          <w:sz w:val="17"/>
          <w:szCs w:val="17"/>
          <w:color w:val="auto"/>
        </w:rPr>
      </w:pPr>
    </w:p>
    <w:p>
      <w:pPr>
        <w:ind w:left="4" w:right="260" w:hanging="4"/>
        <w:spacing w:after="0" w:line="260"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any sale to another Person of all or substantially all of its assets in one or a series of related transactions, (iii) pursuant to any tender offer or exchange offer (whether by the Company or another Person),</w:t>
      </w:r>
    </w:p>
    <w:p>
      <w:pPr>
        <w:sectPr>
          <w:pgSz w:w="11900" w:h="16838" w:orient="portrait"/>
          <w:cols w:equalWidth="0" w:num="1">
            <w:col w:w="11024"/>
          </w:cols>
          <w:pgMar w:left="436" w:top="270" w:right="439" w:bottom="1440" w:gutter="0" w:footer="0" w:header="0"/>
        </w:sectPr>
      </w:pPr>
    </w:p>
    <w:bookmarkStart w:id="9" w:name="page10"/>
    <w:bookmarkEnd w:id="9"/>
    <w:p>
      <w:pPr>
        <w:ind w:left="4"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192" w:lineRule="exact"/>
        <w:rPr>
          <w:sz w:val="20"/>
          <w:szCs w:val="20"/>
          <w:color w:val="auto"/>
        </w:rPr>
      </w:pPr>
    </w:p>
    <w:p>
      <w:pPr>
        <w:ind w:left="4" w:right="160" w:hanging="4"/>
        <w:spacing w:after="0" w:line="261" w:lineRule="auto"/>
        <w:tabs>
          <w:tab w:leader="none" w:pos="2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9 shall be made to the nearest one 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fifteen (15)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ectPr>
          <w:pgSz w:w="11900" w:h="16838" w:orient="portrait"/>
          <w:cols w:equalWidth="0" w:num="1">
            <w:col w:w="11004"/>
          </w:cols>
          <w:pgMar w:left="436" w:top="270" w:right="459" w:bottom="1440" w:gutter="0" w:footer="0" w:header="0"/>
        </w:sectPr>
      </w:pPr>
    </w:p>
    <w:bookmarkStart w:id="10" w:name="page11"/>
    <w:bookmarkEnd w:id="10"/>
    <w:p>
      <w:pPr>
        <w:ind w:left="4" w:right="80" w:hanging="4"/>
        <w:spacing w:after="0" w:line="266"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the event that a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the Warrant Shares shall take on the characteristics of the Warrants being exercised, and the holding period of the Warrants being exercised may be tacked on to the holding period of the Warrant Shares (provided that the SEC continues to take the position that such treatment is proper at the time of such exercise).</w:t>
      </w:r>
    </w:p>
    <w:p>
      <w:pPr>
        <w:spacing w:after="0" w:line="183" w:lineRule="exact"/>
        <w:rPr>
          <w:sz w:val="20"/>
          <w:szCs w:val="20"/>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2"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w:t>
      </w:r>
    </w:p>
    <w:p>
      <w:pPr>
        <w:sectPr>
          <w:pgSz w:w="11900" w:h="16838" w:orient="portrait"/>
          <w:cols w:equalWidth="0" w:num="1">
            <w:col w:w="11004"/>
          </w:cols>
          <w:pgMar w:left="436" w:top="270" w:right="459" w:bottom="1440" w:gutter="0" w:footer="0" w:header="0"/>
        </w:sectPr>
      </w:pPr>
    </w:p>
    <w:bookmarkStart w:id="11" w:name="page12"/>
    <w:bookmarkEnd w:id="11"/>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of the Exchange Act or Rule 16a-1(a)(1) promulgated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spacing w:after="0" w:line="198" w:lineRule="exact"/>
        <w:rPr>
          <w:sz w:val="20"/>
          <w:szCs w:val="20"/>
          <w:color w:val="auto"/>
        </w:rPr>
      </w:pPr>
    </w:p>
    <w:p>
      <w:pPr>
        <w:jc w:val="both"/>
        <w:ind w:left="4" w:right="160" w:hanging="4"/>
        <w:spacing w:after="0" w:line="266"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sectPr>
          <w:pgSz w:w="11900" w:h="16838" w:orient="portrait"/>
          <w:cols w:equalWidth="0" w:num="1">
            <w:col w:w="11004"/>
          </w:cols>
          <w:pgMar w:left="436" w:top="270" w:right="459" w:bottom="1440" w:gutter="0" w:footer="0" w:header="0"/>
        </w:sectPr>
      </w:pPr>
    </w:p>
    <w:bookmarkStart w:id="12" w:name="page13"/>
    <w:bookmarkEnd w:id="12"/>
    <w:p>
      <w:pPr>
        <w:jc w:val="both"/>
        <w:ind w:left="4" w:right="260" w:hanging="4"/>
        <w:spacing w:after="0" w:line="266"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right="40" w:hanging="4"/>
        <w:spacing w:after="0" w:line="254"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and will be delivered and addressed as follows:</w:t>
      </w:r>
    </w:p>
    <w:p>
      <w:pPr>
        <w:spacing w:after="0" w:line="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John Quisel</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William D. Collins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WCollins@goodwinlaw.com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if to the Holder, at such address or other contact information delivered by the Holder to Company or as is on the books and records of the Company.</w:t>
      </w:r>
    </w:p>
    <w:p>
      <w:pPr>
        <w:spacing w:after="0" w:line="225" w:lineRule="exact"/>
        <w:rPr>
          <w:sz w:val="20"/>
          <w:szCs w:val="20"/>
          <w:color w:val="auto"/>
        </w:rPr>
      </w:pPr>
    </w:p>
    <w:p>
      <w:pPr>
        <w:ind w:left="4" w:hanging="4"/>
        <w:spacing w:after="0" w:line="256" w:lineRule="auto"/>
        <w:tabs>
          <w:tab w:leader="none" w:pos="2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Warrant Agent shall initially serve as warrant agent under this Warrant. Upon thirty (30) days’ notice to the Holder, the Company may appoint a new warrant agent. Any corporation into which the Warrant Agent or any new warrant agent may be merged or any corporation resulting from any consolidation to which the Warrant Agent or any new warrant agent shall be a party or any corporation to which the Warrant Agent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hanging="4"/>
        <w:spacing w:after="0" w:line="272" w:lineRule="auto"/>
        <w:tabs>
          <w:tab w:leader="none" w:pos="24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ectPr>
          <w:pgSz w:w="11900" w:h="16838" w:orient="portrait"/>
          <w:cols w:equalWidth="0" w:num="1">
            <w:col w:w="11004"/>
          </w:cols>
          <w:pgMar w:left="436" w:top="270" w:right="459" w:bottom="1440" w:gutter="0" w:footer="0" w:header="0"/>
        </w:sectPr>
      </w:pPr>
    </w:p>
    <w:bookmarkStart w:id="13" w:name="page14"/>
    <w:bookmarkEnd w:id="13"/>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4"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left="4" w:right="560" w:hanging="4"/>
        <w:spacing w:after="0" w:line="266"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hanging="4"/>
        <w:spacing w:after="0" w:line="256" w:lineRule="auto"/>
        <w:tabs>
          <w:tab w:leader="none" w:pos="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4" w:right="40" w:hanging="4"/>
        <w:spacing w:after="0" w:line="312"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139" w:lineRule="exact"/>
        <w:rPr>
          <w:rFonts w:ascii="Times New Roman" w:cs="Times New Roman" w:eastAsia="Times New Roman" w:hAnsi="Times New Roman"/>
          <w:sz w:val="17"/>
          <w:szCs w:val="17"/>
          <w:color w:val="auto"/>
        </w:rPr>
      </w:pPr>
    </w:p>
    <w:p>
      <w:pPr>
        <w:ind w:left="4" w:right="200" w:hanging="4"/>
        <w:spacing w:after="0" w:line="266" w:lineRule="auto"/>
        <w:tabs>
          <w:tab w:leader="none" w:pos="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200" w:hanging="4"/>
        <w:spacing w:after="0" w:line="270"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w:t>
      </w:r>
    </w:p>
    <w:p>
      <w:pPr>
        <w:sectPr>
          <w:pgSz w:w="11900" w:h="16838" w:orient="portrait"/>
          <w:cols w:equalWidth="0" w:num="1">
            <w:col w:w="11004"/>
          </w:cols>
          <w:pgMar w:left="436" w:top="270" w:right="459" w:bottom="1440" w:gutter="0" w:footer="0" w:header="0"/>
        </w:sectPr>
      </w:pPr>
    </w:p>
    <w:bookmarkStart w:id="14" w:name="page15"/>
    <w:bookmarkEnd w:id="1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83" w:lineRule="exact"/>
        <w:rPr>
          <w:sz w:val="20"/>
          <w:szCs w:val="20"/>
          <w:color w:val="auto"/>
        </w:rPr>
      </w:pPr>
    </w:p>
    <w:p>
      <w:pPr>
        <w:ind w:left="4" w:right="60" w:hanging="4"/>
        <w:spacing w:after="0" w:line="282"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right="80" w:hanging="4"/>
        <w:spacing w:after="0" w:line="256"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is held by a court of competent jurisdiction to be shall be invalid, illegal, void or unenforceable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0984"/>
          </w:cols>
          <w:pgMar w:left="436"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Pre-Funded Warrant to be duly executed as of the Original Issue Date set out above.</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180"/>
          </w:cols>
          <w:pgMar w:left="440" w:top="270" w:right="1279" w:bottom="1440" w:gutter="0" w:footer="0" w:header="0"/>
        </w:sectPr>
      </w:pPr>
    </w:p>
    <w:bookmarkStart w:id="16" w:name="page17"/>
    <w:bookmarkEnd w:id="16"/>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580" w:hanging="4"/>
        <w:spacing w:after="0" w:line="282"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 ]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304"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66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tc>
        <w:tc>
          <w:tcPr>
            <w:tcW w:w="3640" w:type="dxa"/>
            <w:vAlign w:val="bottom"/>
          </w:tcPr>
          <w:p>
            <w:pPr>
              <w:spacing w:after="0"/>
              <w:rPr>
                <w:sz w:val="24"/>
                <w:szCs w:val="24"/>
                <w:color w:val="auto"/>
              </w:rPr>
            </w:pPr>
          </w:p>
        </w:tc>
      </w:tr>
      <w:tr>
        <w:trPr>
          <w:trHeight w:val="324"/>
        </w:trPr>
        <w:tc>
          <w:tcPr>
            <w:tcW w:w="66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Section 10 of the Warrant</w:t>
            </w:r>
          </w:p>
        </w:tc>
        <w:tc>
          <w:tcPr>
            <w:tcW w:w="3640" w:type="dxa"/>
            <w:vAlign w:val="bottom"/>
          </w:tcPr>
          <w:p>
            <w:pPr>
              <w:spacing w:after="0"/>
              <w:rPr>
                <w:sz w:val="24"/>
                <w:szCs w:val="24"/>
                <w:color w:val="auto"/>
              </w:rPr>
            </w:pPr>
          </w:p>
        </w:tc>
      </w:tr>
      <w:tr>
        <w:trPr>
          <w:trHeight w:val="26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w w:val="99"/>
              </w:rPr>
              <w:t>(4) If the Holder has elected a Cash Exercise, the Holder shall pay the sum of $</w:t>
            </w:r>
          </w:p>
        </w:tc>
        <w:tc>
          <w:tcPr>
            <w:tcW w:w="900" w:type="dxa"/>
            <w:vAlign w:val="bottom"/>
            <w:tcBorders>
              <w:bottom w:val="single" w:sz="8" w:color="auto"/>
            </w:tcBorders>
          </w:tcPr>
          <w:p>
            <w:pPr>
              <w:spacing w:after="0"/>
              <w:rPr>
                <w:sz w:val="22"/>
                <w:szCs w:val="22"/>
                <w:color w:val="auto"/>
              </w:rPr>
            </w:pP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 immediately available funds to the Company in</w:t>
            </w:r>
          </w:p>
        </w:tc>
      </w:tr>
      <w:tr>
        <w:trPr>
          <w:trHeight w:val="23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accordance with the terms of the Warrant.</w:t>
            </w:r>
          </w:p>
        </w:tc>
        <w:tc>
          <w:tcPr>
            <w:tcW w:w="3640" w:type="dxa"/>
            <w:vAlign w:val="bottom"/>
          </w:tcPr>
          <w:p>
            <w:pPr>
              <w:spacing w:after="0"/>
              <w:rPr>
                <w:sz w:val="20"/>
                <w:szCs w:val="20"/>
                <w:color w:val="auto"/>
              </w:rPr>
            </w:pPr>
          </w:p>
        </w:tc>
      </w:tr>
    </w:tbl>
    <w:p>
      <w:pPr>
        <w:spacing w:after="0" w:line="198" w:lineRule="exact"/>
        <w:rPr>
          <w:sz w:val="20"/>
          <w:szCs w:val="20"/>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17" w:name="page18"/>
    <w:bookmarkEnd w:id="1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Continental Stock Transfer &amp; Trust Company to issue the above indicated number of shares of Common Stock on or prior to the applicable Share Delivery Date.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40"/>
          </w:cols>
          <w:pgMar w:left="440" w:top="266" w:right="619" w:bottom="1440" w:gutter="0" w:footer="0" w:header="0"/>
        </w:sectPr>
      </w:pPr>
    </w:p>
    <w:bookmarkStart w:id="18" w:name="page19"/>
    <w:bookmarkEnd w:id="18"/>
    <w:p>
      <w:pPr>
        <w:jc w:val="center"/>
        <w:ind w:right="-9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11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17145</wp:posOffset>
            </wp:positionV>
            <wp:extent cx="3463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5715</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Phone Number: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ectPr>
          <w:pgSz w:w="11900" w:h="16838" w:orient="portrait"/>
          <w:cols w:equalWidth="0" w:num="1">
            <w:col w:w="10060"/>
          </w:cols>
          <w:pgMar w:left="440" w:top="270" w:right="13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(File No. 333-269272) (as amended or supplemented, the “Registration Statement”) filed on January 18, 2023 with the Securities and Exchange Commission (the “Commission”) pursuant to the Securities Act of 1933, as amended (the “Securities Act”), relating to the registration of the offer by Disc Medicine, Inc., a Delaware corporation (the “Company”), of up to $300,000,000 of any combination of securities of the types specified therein. The Registration Statement was declared effective by the Commission on January 24, 2023. Reference is made to our opinion letter dated January 17, 2023 and included as Exhibit 5.1 to the Registration Statement. We are delivering this supplemental opinion letter in connection with the prospectus supplement (the “Prospectus Supplement”) to be filed by the Company with the Commission pursuant to Rule 424 under the Securities Act. The Prospectus Supplement relates to the offering by the Company of</w:t>
      </w:r>
    </w:p>
    <w:p>
      <w:pPr>
        <w:spacing w:after="0" w:line="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 1,488,166 shares of the Company’s common stock, par value $0.0001 per share (the “Common Stock”), and (ii) pre-funded warrants (the “Pre-Funded Warrants”) to purchase up to 1,229,224 shares of Common Stock (such shares issuable upon exercise of the Pre-Funded Warrants, the “Warrant Shares”), covered by the Registration Statement. The Shares and Pre-Funded Warrants are being sold to the several purchasers named in, and pursuant to, a securities purchase agreement among the Company and such purchasers (the “Securities Purchase Agreement”).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252" w:lineRule="exact"/>
        <w:rPr>
          <w:sz w:val="20"/>
          <w:szCs w:val="20"/>
          <w:color w:val="auto"/>
        </w:rPr>
      </w:pPr>
    </w:p>
    <w:p>
      <w:pPr>
        <w:ind w:left="960" w:right="2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delivered and paid for in accordance with the terms of the Securities Purchase Agreement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executed by the Company and, when delivered and paid for in accordance with the terms of the Securities Purchase Agreement, will be valid and binding obligations of the Company.</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Warrant Shares were issued today in accordance with the terms of the Pre-Funded Warrants, they would be validly issued, fully paid and non-assessable.</w:t>
      </w:r>
    </w:p>
    <w:p>
      <w:pPr>
        <w:sectPr>
          <w:pgSz w:w="11900" w:h="16838" w:orient="portrait"/>
          <w:cols w:equalWidth="0" w:num="1">
            <w:col w:w="11020"/>
          </w:cols>
          <w:pgMar w:left="440" w:top="117" w:right="4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being furnished to you for submission to the Commission as an exhibit to the Company’s Current Report on Form 8-K relating to the Shares and the Pre-Funded Warrants (the “Current Report”), which is incorporated by reference in the Registration Statement. We hereby consent to the inclusion of this opinion as Exhibit 5.1 to the Current Report and its incorporation by reference and the reference to our firm in the Current Report. In giving our consent, we do not admit that we are in the category of persons whose consent is required under Section 7 of the Securities Act or the rules and regulations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20"/>
          </w:cols>
          <w:pgMar w:left="440" w:top="270" w:right="5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13, 2023, between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permitted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 action, suit, inquiry, notice of violation, Proceeding or investigation, threatened against or affecting the Company, any Subsidiary or any of their respective properties before any court, governmental or administrative agent or regulatory authority.</w:t>
      </w:r>
    </w:p>
    <w:p>
      <w:pPr>
        <w:spacing w:after="0" w:line="54"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final base prospectus included in the Registration Statement at the time of effectiveness.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3.1(x)</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the Trading Market and banking institutions in the State of New York are authorized or required by law or other governmental action to close.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means the closing of the purchase and sale of Purchased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conditions precedent to (i) the Purchaser’s obligations to pay the Subscription Amount and (ii) the Company’s obligations to deliver the Purchased Securities, in each case, have been satisfied or waived,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7"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the Company’s common stock, par value $0.0001 per share, and any other class of securities into which such securities may hereafter be reclassified or changed.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Studies and Trials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3.1(gg)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3.1(z)</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applied on a consistent basis during the periods involved.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3.1(q)</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0"/>
          </w:cols>
          <w:pgMar w:left="880" w:top="270" w:right="55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3.1(u)</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Pre-Funded Purchase Price</w:t>
      </w:r>
      <w:r>
        <w:rPr>
          <w:rFonts w:ascii="Times New Roman" w:cs="Times New Roman" w:eastAsia="Times New Roman" w:hAnsi="Times New Roman"/>
          <w:sz w:val="18"/>
          <w:szCs w:val="18"/>
          <w:color w:val="auto"/>
        </w:rPr>
        <w:t>” equals $22.999, subject to adjustment for reverse and forward stock splits, stock dividends, stock combinations and other similar transactions of the Common Stock that occur after the date of this Agreement.</w:t>
      </w:r>
    </w:p>
    <w:p>
      <w:pPr>
        <w:spacing w:after="0" w:line="54"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$23.00, subject to adjustment for reverse and forward stock splits, stock dividends, stock combinations and other similar transactions of the Common Stock that occur after the date of this Agreement and prior to Closing.</w:t>
      </w:r>
    </w:p>
    <w:p>
      <w:pPr>
        <w:spacing w:after="0" w:line="54"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pre-funded warrants to purchase Common Stock,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Subscription Amount</w:t>
      </w:r>
      <w:r>
        <w:rPr>
          <w:rFonts w:ascii="Times New Roman" w:cs="Times New Roman" w:eastAsia="Times New Roman" w:hAnsi="Times New Roman"/>
          <w:sz w:val="18"/>
          <w:szCs w:val="18"/>
          <w:color w:val="auto"/>
        </w:rPr>
        <w:t>” means, as to each Purchaser, the aggregate amount to be paid for Pre-Funded Warrants purchased hereunder as specified next to such Purchaser’s name under the heading “Pre-Funded Warrant Subscription Amount” on Schedule 1 hereto.</w:t>
      </w:r>
    </w:p>
    <w:p>
      <w:pPr>
        <w:spacing w:after="0" w:line="68"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together with the Prospectus Supplement.</w:t>
      </w:r>
    </w:p>
    <w:p>
      <w:pPr>
        <w:spacing w:after="0" w:line="117" w:lineRule="exact"/>
        <w:rPr>
          <w:sz w:val="20"/>
          <w:szCs w:val="20"/>
          <w:color w:val="auto"/>
        </w:rPr>
      </w:pPr>
    </w:p>
    <w:p>
      <w:pPr>
        <w:jc w:val="both"/>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Base Prospectus complying with Rule 424(b) of the Securities Act that is filed with the Commission and delivered by the Company to the Purchasers on or prior to Closing, relating to the offer and sale of the Purchased Securities to the Purchasers.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Common Shares</w:t>
      </w:r>
      <w:r>
        <w:rPr>
          <w:rFonts w:ascii="Times New Roman" w:cs="Times New Roman" w:eastAsia="Times New Roman" w:hAnsi="Times New Roman"/>
          <w:sz w:val="18"/>
          <w:szCs w:val="18"/>
          <w:color w:val="auto"/>
        </w:rPr>
        <w:t>” means the shares of Common Stock sold at the Closing to the Purchasers pursuant to this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means the Purchased Common Shares and Purchased Pre-Funded Warrants.</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20"/>
          </w:cols>
          <w:pgMar w:left="880" w:top="270" w:right="5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Purchased Pre-Funded Warrants</w:t>
      </w:r>
      <w:r>
        <w:rPr>
          <w:rFonts w:ascii="Times New Roman" w:cs="Times New Roman" w:eastAsia="Times New Roman" w:hAnsi="Times New Roman"/>
          <w:sz w:val="18"/>
          <w:szCs w:val="18"/>
          <w:color w:val="auto"/>
        </w:rPr>
        <w:t>” means the Pre-Funded Warrants sold at the Closing to the Purchasers pursuant to this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as amended, filed with the Commission (File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 333-269272) pursuant to the Securities Act on January 17, 2023 and declared effective on January 24, 2023, relating to the offer and sale from time to time of the Company’s securities, including the Purchased Common Shares and the Warrant Shares, including amendments, exhibits, schedules and documents incorporated or deemed to be incorporated by reference therein and the documents otherwise deemed to a part thereof pursuant to Rule 430A or 430B under the Securities Act.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6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Subscription Amount</w:t>
      </w:r>
      <w:r>
        <w:rPr>
          <w:rFonts w:ascii="Times New Roman" w:cs="Times New Roman" w:eastAsia="Times New Roman" w:hAnsi="Times New Roman"/>
          <w:sz w:val="18"/>
          <w:szCs w:val="18"/>
          <w:color w:val="auto"/>
        </w:rPr>
        <w:t>” means, as to each Purchaser, the aggregate amount to be paid for shares of Common Stock purchased hereunder as specified next to such Purchaser’s name under the heading “Stock Subscription Amount” on Schedule 1 hereto.</w:t>
      </w:r>
    </w:p>
    <w:p>
      <w:pPr>
        <w:spacing w:after="0" w:line="54"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Securities purchased hereunder next to such Purchaser’s name under the heading “Subscription Amount” on Schedule 1 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25" w:name="page26"/>
    <w:bookmarkEnd w:id="25"/>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Nasdaq Global Market (or any successors thereto).</w:t>
      </w:r>
    </w:p>
    <w:p>
      <w:pPr>
        <w:spacing w:after="0" w:line="117"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schedules and exhibits hereto, the Pre-Funded Warrants and any other documents or agreements executed in connection with the transactions contemplated hereunder.</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and any successor transfer agent of the Company.</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issue to the Purchasers, and the Purchasers, severally and not jointly, agree to purchase (A) the number of shares of Common Stock, if any, set forth opposite the name of such Purchaser under the heading “Shares of Common Stock” on Schedule 1 hereto at the Per Share Purchase Price, and (B) a Pre-Funded Warrant to purchase the number of Warrant Shares, if any, set forth opposite the name of such Purchaser under the heading “Warrant Shares Underlying Pre-Funded Warrant” on Schedule 1 hereto. Each Purchaser’s Subscription Amount as set forth on Exhibit 1 shall be made available for “Delivery Versus Payment” settlement with the Company or its designee. The Company and each Purchaser shall deliver the items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deliverable at the Closing. Upon satisfaction of the covenants and conditions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Closing shall occur remotely or at such physical location as the parties shall mutually agree. Payment of the Subscription Amount for the Purchased Securities shall be made by each Purchaser to the Company by wire transfer of immediately available funds to a bank account designated by the Company against delivery to such Purchaser of (A) such Purchaser’s Purchased Pre-Funded Warrant and/or (B) the Purchased Common Shares registered in such Purchaser’s name and address or as otherwise directed to be registered by such Purchaser, including but not limited to delivery through the facilities of The Depository Trust Company Deposit or Withdrawal at Custodian system.</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 copy of the executed treasury direction to the Transfer Agent instructing the Transfer Agent to deliver the Purchased Common Shares, registered in the name of each Purchaser or such other registration information as directed by such Purchaser;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6" w:name="page27"/>
    <w:bookmarkEnd w:id="26"/>
    <w:p>
      <w:pPr>
        <w:ind w:left="540" w:firstLine="408"/>
        <w:spacing w:after="0" w:line="282"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for each Purchaser of Pre-Funded Warrants, a Pre-Funded Warrant to purchase up to a number of shares of Common Stock equal such Purchaser’s Pre-Funded Warrant Subscription Amount divided by the Pre Pre-Funded Warrant Price;</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signed by an executive officer of the Company (in his or her capacity as an officer and without personal liability), certifying the matters in </w:t>
      </w:r>
      <w:r>
        <w:rPr>
          <w:rFonts w:ascii="Times New Roman" w:cs="Times New Roman" w:eastAsia="Times New Roman" w:hAnsi="Times New Roman"/>
          <w:sz w:val="18"/>
          <w:szCs w:val="18"/>
          <w:u w:val="single" w:color="auto"/>
          <w:color w:val="auto"/>
        </w:rPr>
        <w:t>Sections 2.3(b)(i)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below;</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dated as of the Closing Date certifying that (1) attached thereto is a true and complete copy of the resolutions adopted by the Board of Directors of the Company authorizing the execution, delivery and performance of this Agreement and such resolutions are in full force and effect and (2) the incumbency of each officer signing this Agreement and the certificates and the documents to be delivered hereunder; and</w:t>
      </w:r>
    </w:p>
    <w:p>
      <w:pPr>
        <w:spacing w:after="0" w:line="71"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signed by the Chief Executive Officer or Chief Financial Officer of the Company.</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540" w:right="580" w:firstLine="408"/>
        <w:spacing w:after="0" w:line="282" w:lineRule="auto"/>
        <w:tabs>
          <w:tab w:leader="none" w:pos="12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241"/>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on the Closing Date of the representations and warranties of the Purchasers contained herein (unless as of a specific date therein in which case they shall be accurate as of such date);</w:t>
      </w:r>
    </w:p>
    <w:p>
      <w:pPr>
        <w:spacing w:after="0" w:line="73"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each Purchaser of the items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7" w:name="page28"/>
    <w:bookmarkEnd w:id="27"/>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9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as of such date);</w:t>
      </w:r>
    </w:p>
    <w:p>
      <w:pPr>
        <w:spacing w:after="0" w:line="73"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the Company of the items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cease trade order suspending the effectiveness of the Registration Statement or any part thereof, preventing or suspending the use of the Base Prospectus or the Prospectus Supplement or any part thereof shall have been issued, and no Proceedings for that purpose shall have been initiated or threatened in writing by the Commission; and</w:t>
      </w:r>
    </w:p>
    <w:p>
      <w:pPr>
        <w:spacing w:after="0" w:line="67" w:lineRule="exact"/>
        <w:rPr>
          <w:rFonts w:ascii="Times New Roman" w:cs="Times New Roman" w:eastAsia="Times New Roman" w:hAnsi="Times New Roman"/>
          <w:sz w:val="18"/>
          <w:szCs w:val="18"/>
          <w:color w:val="auto"/>
        </w:rPr>
      </w:pPr>
    </w:p>
    <w:p>
      <w:pPr>
        <w:ind w:left="980" w:firstLine="408"/>
        <w:spacing w:after="0" w:line="255" w:lineRule="auto"/>
        <w:tabs>
          <w:tab w:leader="none" w:pos="16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Trading Market, and, at any time prior to the Closing Date, trading in securities generally as reported by Bloomberg Financial Markets.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Purchased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as of the date hereof and as of the Closing Date to the Purchasers as follows (unless as of a specific date therein, in which case they shall be accurate as of such date):</w:t>
      </w:r>
    </w:p>
    <w:p>
      <w:pPr>
        <w:spacing w:after="0" w:line="54" w:lineRule="exact"/>
        <w:rPr>
          <w:sz w:val="20"/>
          <w:szCs w:val="20"/>
          <w:color w:val="auto"/>
        </w:rPr>
      </w:pPr>
    </w:p>
    <w:p>
      <w:pPr>
        <w:ind w:left="440" w:right="220" w:firstLine="419"/>
        <w:spacing w:after="0" w:line="266" w:lineRule="auto"/>
        <w:tabs>
          <w:tab w:leader="none" w:pos="11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set forth on Exhibit 21.1 to the Company’s Registration Statement on Form S-4 filed with the Commission on September 2, 2022, the Company does not own, directly or indirectly, any shares of stock or any other equity or long-term debt securities of any corporation or have any equity interest in any corporation, firm, partnership, joint venture, association or other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8" w:name="page29"/>
    <w:bookmarkEnd w:id="28"/>
    <w:p>
      <w:pPr>
        <w:ind w:firstLine="419"/>
        <w:spacing w:after="0" w:line="253"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(to the extent the concept of good standing is applicable in such jurisdiction) under the laws of the jurisdiction of its incorporation or organization, with the requisite power and authority to own and use its properties and assets and to carry on its business as currently conducted and as described in each of the Registration Statement and the Prospectus Supplement. Neither the Company nor its Subsidiaries are in violation nor default of any of the provisions of its respective certificate of incorporation or articles of organization, bylaws or other organizational or charter documents, except where such violation or default would not reasonably be expected to have a Material Adverse Effect (as defined below). The Company and each of its Subsidiary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reasonably be expected to, singly or in the aggregate,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20" w:firstLine="419"/>
        <w:spacing w:after="0" w:line="252" w:lineRule="auto"/>
        <w:tabs>
          <w:tab w:leader="none" w:pos="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The Company has reserved a sufficient number of shares of Common Stock for issuance upon exercise of the Pre-Funded Warrant and, upon issuance in accordance with the terms of this Agreement, such shares of Common Stock will be validly issued, fully paid and nonassessable and will be free and clear of any restrictions on transfer. This Agreement and each of the other Transaction Documents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9" w:name="page30"/>
    <w:bookmarkEnd w:id="29"/>
    <w:p>
      <w:pPr>
        <w:ind w:firstLine="419"/>
        <w:spacing w:after="0" w:line="25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execution and delivery by the Company of, and the performance by the Company of its obligations under, this Agreement and each of the Transaction Agreements will not contravene any provision of (i) applicable law, (ii) the certificate of incorporation or by-laws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as would not, individually or in the aggregate, reasonably be expected to have a Material Adverse Effect on the Company or on the power and ability of the Company to perform its obligations under this Agreement or any of the Transaction Documents, and no consent, approval, authorization or order of, or qualification with, any governmental body, agency or court is required for the performance by the Company of its obligations under this Agreement and each of the Transaction Documents, except such as may be required by the securities or Blue Sky laws of the various states in connection with the sale of the Purchased Securities.</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xml:space="preserve">”), or other Person in connection with the execution, delivery and performance by the Company of the Transaction Documents, other than: (i) the filings required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this Agreement, (ii) the filing with the Commission of the Prospectus Supplement, (iii) application(s) to each applicable Trading Market for approval for the listing of the Purchased Securities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2"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Purchased Securities; Registration</w:t>
      </w:r>
      <w:r>
        <w:rPr>
          <w:rFonts w:ascii="Times New Roman" w:cs="Times New Roman" w:eastAsia="Times New Roman" w:hAnsi="Times New Roman"/>
          <w:sz w:val="18"/>
          <w:szCs w:val="18"/>
          <w:color w:val="auto"/>
        </w:rPr>
        <w:t>. The Purchased Common Shares and the Warrant Shares have been duly authorized and, when issued and paid for in accordance with the applicable Transaction Documents, will be duly and validly issued, fully paid and nonassessable, free and clear of all liens or restrictions on transfer. The sale of the Purchase Securities hereunder is not, and the subsequent exercise of the Pre-Funded Warrant into shares of Common Stock will not be, subject to any preemptive rights, rights of first refusal or other similar rights or any anti-dilution provisions. The Company has prepared and filed the Registration Statement in conformity with the requirements of the Securities Act, including the Base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Supplement has been issued by the Commission and no Proceedings for that purpose or pursuant to Section 8A under the Securities Act have been instituted or, to the knowledge of the Company, are threatened by the Commission. Promptly after execution and delivery of this Agreement, the Company shall file the Prospectus Supplement with the Commission pursuant to Rule 424(b) within the time period required under Rule 424(b), and in no event later than the Closing Date. At the time the Registration Statement and any amendments thereto became effective, at the date of this Agreement and at the Closing Date, the Registration Statement and any amendments thereto complies and will comply in all material respects to the requirements of the Securities Act and did not and will not contain any untrue statement of a material fact or omit to state any material fact required to be stated therein or necessary to make the statements therein not misleading;</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30" w:name="page31"/>
    <w:bookmarkEnd w:id="30"/>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Prospectus Supplement and any amendments or supplements thereto, as of the date of the Prospectus Supplement or any amendment or supplement thereto and at the Closing Date, complies and will comply in all material respects to the requirements of the Securities Act and the applicable rules and regulations of the Commissions thereunder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and is, as of the date of this Agreement and the Closing, eligible to use Form S-3.</w:t>
      </w:r>
    </w:p>
    <w:p>
      <w:pPr>
        <w:spacing w:after="0" w:line="79" w:lineRule="exact"/>
        <w:rPr>
          <w:sz w:val="20"/>
          <w:szCs w:val="20"/>
          <w:color w:val="auto"/>
        </w:rPr>
      </w:pPr>
    </w:p>
    <w:p>
      <w:pPr>
        <w:ind w:right="360" w:firstLine="419"/>
        <w:spacing w:after="0" w:line="28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Company is in compliance with the current listing standards of the Trading Market. The Company has filed a Listing of Additional Shares Notification with the Trading Market with respect to the Common Stock.</w:t>
      </w:r>
    </w:p>
    <w:p>
      <w:pPr>
        <w:spacing w:after="0" w:line="53" w:lineRule="exact"/>
        <w:rPr>
          <w:rFonts w:ascii="Times New Roman" w:cs="Times New Roman" w:eastAsia="Times New Roman" w:hAnsi="Times New Roman"/>
          <w:sz w:val="18"/>
          <w:szCs w:val="18"/>
          <w:color w:val="auto"/>
        </w:rPr>
      </w:pPr>
    </w:p>
    <w:p>
      <w:pPr>
        <w:ind w:right="60" w:firstLine="419"/>
        <w:spacing w:after="0" w:line="25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authorized and outstanding capitalization of the Company as of the date hereof is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xml:space="preserve"> hereto (subject, in each case, to the issuance of Purchased Common Shares under this Agreement, the issuance of shares of Common Stock upon the exercise of the Purchased Pre-Funded Warrants, the issuance of shares of Common Stock upon the exercise of share options and warrants disclosed as outstanding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The Pre-Funded Warrants conform in all material respects to the description thereof contained in the Prospectus, including under the heading “Description of Pre-Funded Warrants.”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87"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or other documents required to be filed by the Company under the Securities Act and the Exchange Act, including pursuant to Section 13(a) or 15(d) thereof, since December 29, 2022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The consolidated financial statements included in each of the Registration Statement and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31" w:name="page32"/>
    <w:bookmarkEnd w:id="3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Base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GAAP applied on a consistent basis throughout the periods covered thereby except for any normal year-end adjustments in the Company’s quarterly financial statements. The other financial information included in each of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or the Prospectus that are not included or incorporated by reference therein as required. Neither the Company nor any of its Subsidiaries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98" w:lineRule="exact"/>
        <w:rPr>
          <w:sz w:val="20"/>
          <w:szCs w:val="20"/>
          <w:color w:val="auto"/>
        </w:rPr>
      </w:pPr>
    </w:p>
    <w:p>
      <w:pPr>
        <w:ind w:firstLine="419"/>
        <w:spacing w:after="0" w:line="255"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not issued any equity securities to any officer, director or Affiliate, except pursuant to existing Company equity incentive plans. Except for the issuance and sale of the Purchased Securities contemplated by this Agreement and the other Transaction Documents, no event, liability, fact, circumstance, occurrence or development has occurred or exists or is reasonably expected to occur or exist with respect to the Company or a Subsidiary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spacing w:after="0" w:line="79" w:lineRule="exact"/>
        <w:rPr>
          <w:sz w:val="20"/>
          <w:szCs w:val="20"/>
          <w:color w:val="auto"/>
        </w:rPr>
      </w:pPr>
    </w:p>
    <w:p>
      <w:pPr>
        <w:ind w:firstLine="419"/>
        <w:spacing w:after="0" w:line="25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or governmental proceedings pending or, to the knowledge of the Company, threatened to which the Company or its Subsidiaries are a party or to which any of the properties or assets of the Company or its Subsidiaries is subject (i) other than proceedings accurately described in all material respects in each of the Registration Statement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80" w:lineRule="exact"/>
        <w:rPr>
          <w:rFonts w:ascii="Times New Roman" w:cs="Times New Roman" w:eastAsia="Times New Roman" w:hAnsi="Times New Roman"/>
          <w:sz w:val="18"/>
          <w:szCs w:val="18"/>
          <w:color w:val="auto"/>
        </w:rPr>
      </w:pPr>
    </w:p>
    <w:p>
      <w:pPr>
        <w:ind w:right="100" w:firstLine="419"/>
        <w:spacing w:after="0" w:line="254"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Upon the execution and delivery by the Company of, and the performance by the Company of its obligations under, this Agreement, neither the Company nor any Subsidiary will be: (i) in default under or in violation of (and no event has occurred that has not been waived that, with notice or lapse of time or both, would result in a default by the Company or a Subsidiary under)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other governmental authority or (iii) in violation of any statute, rule, ordinance, regulation or guidance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right="60" w:firstLine="419"/>
        <w:spacing w:after="0" w:line="256" w:lineRule="auto"/>
        <w:tabs>
          <w:tab w:leader="none" w:pos="7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33" w:name="page34"/>
    <w:bookmarkEnd w:id="33"/>
    <w:p>
      <w:pPr>
        <w:ind w:firstLine="419"/>
        <w:spacing w:after="0" w:line="266"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w:t>
      </w:r>
      <w:r>
        <w:rPr>
          <w:rFonts w:ascii="Times New Roman" w:cs="Times New Roman" w:eastAsia="Times New Roman" w:hAnsi="Times New Roman"/>
          <w:sz w:val="18"/>
          <w:szCs w:val="18"/>
          <w:color w:val="auto"/>
        </w:rPr>
        <w:t>. The Company is not and, after giving effect to the offering and sale of the Purchased Securities and the application of the proceeds thereof as described in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Environmental Matters</w:t>
      </w:r>
      <w:r>
        <w:rPr>
          <w:rFonts w:ascii="Times New Roman" w:cs="Times New Roman" w:eastAsia="Times New Roman" w:hAnsi="Times New Roman"/>
          <w:sz w:val="18"/>
          <w:szCs w:val="18"/>
          <w:color w:val="auto"/>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83"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Purchased Securities registered pursuant to the Registration Statement except as have been validly waived or complied with in connection with the sale of the Purchased Securities contemplated hereby.</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(i) None of the Company or any of its Subsidiaries or Affiliates, or any director, officer, or employee thereof, or, to the Company’s knowledge, any of its other Affiliates, or any agent or representative of the Company or its Subsidiary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each of its Subsidiaries and Affiliates, and to the Company’s knowledge, each of its other Affiliates, have conducted their businesses in compliance with</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4" w:name="page35"/>
    <w:bookmarkEnd w:id="34"/>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2" w:lineRule="exact"/>
        <w:rPr>
          <w:sz w:val="20"/>
          <w:szCs w:val="20"/>
          <w:color w:val="auto"/>
        </w:rPr>
      </w:pPr>
    </w:p>
    <w:p>
      <w:pPr>
        <w:ind w:firstLine="419"/>
        <w:spacing w:after="0" w:line="254"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48"/>
        <w:spacing w:after="0" w:line="266" w:lineRule="auto"/>
        <w:tabs>
          <w:tab w:leader="none" w:pos="11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director, officer or employee thereof, or, to the Company’s knowledge, any agent, Affiliate or representative of the Company or any of its Subsidiaries, is an individual or entity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jc w:val="both"/>
        <w:ind w:right="260" w:firstLine="1371"/>
        <w:spacing w:after="0" w:line="266" w:lineRule="auto"/>
        <w:tabs>
          <w:tab w:leader="none" w:pos="154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“Sanctions”), or</w:t>
      </w:r>
    </w:p>
    <w:p>
      <w:pPr>
        <w:spacing w:after="0" w:line="67" w:lineRule="exact"/>
        <w:rPr>
          <w:rFonts w:ascii="Times New Roman" w:cs="Times New Roman" w:eastAsia="Times New Roman" w:hAnsi="Times New Roman"/>
          <w:sz w:val="18"/>
          <w:szCs w:val="18"/>
          <w:color w:val="auto"/>
        </w:rPr>
      </w:pPr>
    </w:p>
    <w:p>
      <w:pPr>
        <w:ind w:right="20" w:firstLine="1371"/>
        <w:spacing w:after="0" w:line="282" w:lineRule="auto"/>
        <w:tabs>
          <w:tab w:leader="none" w:pos="155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or the so-called Luhansk People’s Republic, Cuba, Iran, North Korea and Syria).</w:t>
      </w:r>
    </w:p>
    <w:p>
      <w:pPr>
        <w:spacing w:after="0" w:line="53" w:lineRule="exact"/>
        <w:rPr>
          <w:rFonts w:ascii="Times New Roman" w:cs="Times New Roman" w:eastAsia="Times New Roman" w:hAnsi="Times New Roman"/>
          <w:sz w:val="18"/>
          <w:szCs w:val="18"/>
          <w:color w:val="auto"/>
        </w:rPr>
      </w:pPr>
    </w:p>
    <w:p>
      <w:pPr>
        <w:ind w:right="440" w:firstLine="948"/>
        <w:spacing w:after="0" w:line="282" w:lineRule="auto"/>
        <w:tabs>
          <w:tab w:leader="none" w:pos="12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sale of the Purchased Securities,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right="240" w:firstLine="1371"/>
        <w:spacing w:after="0" w:line="282" w:lineRule="auto"/>
        <w:tabs>
          <w:tab w:leader="none" w:pos="154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financing or facilitation, is the subject of Sanctions; or</w:t>
      </w:r>
    </w:p>
    <w:p>
      <w:pPr>
        <w:spacing w:after="0" w:line="53" w:lineRule="exact"/>
        <w:rPr>
          <w:rFonts w:ascii="Times New Roman" w:cs="Times New Roman" w:eastAsia="Times New Roman" w:hAnsi="Times New Roman"/>
          <w:sz w:val="18"/>
          <w:szCs w:val="18"/>
          <w:color w:val="auto"/>
        </w:rPr>
      </w:pPr>
    </w:p>
    <w:p>
      <w:pPr>
        <w:ind w:right="420" w:firstLine="1371"/>
        <w:spacing w:after="0" w:line="282" w:lineRule="auto"/>
        <w:tabs>
          <w:tab w:leader="none" w:pos="155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by any Person (including any Person participating in the transactions contemplated by the Transaction Documents).</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880" w:top="270" w:right="519" w:bottom="1440" w:gutter="0" w:footer="0" w:header="0"/>
        </w:sectPr>
      </w:pPr>
    </w:p>
    <w:bookmarkStart w:id="35" w:name="page36"/>
    <w:bookmarkEnd w:id="35"/>
    <w:p>
      <w:pPr>
        <w:ind w:right="200" w:firstLine="948"/>
        <w:spacing w:after="0" w:line="266" w:lineRule="auto"/>
        <w:tabs>
          <w:tab w:leader="none" w:pos="126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right="100" w:firstLine="419"/>
        <w:spacing w:after="0" w:line="255" w:lineRule="auto"/>
        <w:tabs>
          <w:tab w:leader="none" w:pos="6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Intellectual Property</w:t>
      </w:r>
      <w:r>
        <w:rPr>
          <w:rFonts w:ascii="Times New Roman" w:cs="Times New Roman" w:eastAsia="Times New Roman" w:hAnsi="Times New Roman"/>
          <w:sz w:val="18"/>
          <w:szCs w:val="18"/>
          <w:color w:val="auto"/>
        </w:rPr>
        <w:t>. (i)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36" w:name="page37"/>
    <w:bookmarkEnd w:id="36"/>
    <w:p>
      <w:pPr>
        <w:ind w:firstLine="419"/>
        <w:spacing w:after="0" w:line="254"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Software</w:t>
      </w:r>
      <w:r>
        <w:rPr>
          <w:rFonts w:ascii="Times New Roman" w:cs="Times New Roman" w:eastAsia="Times New Roman" w:hAnsi="Times New Roman"/>
          <w:sz w:val="18"/>
          <w:szCs w:val="18"/>
          <w:color w:val="auto"/>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83" w:lineRule="exact"/>
        <w:rPr>
          <w:rFonts w:ascii="Times New Roman" w:cs="Times New Roman" w:eastAsia="Times New Roman" w:hAnsi="Times New Roman"/>
          <w:sz w:val="18"/>
          <w:szCs w:val="18"/>
          <w:color w:val="auto"/>
        </w:rPr>
      </w:pPr>
    </w:p>
    <w:p>
      <w:pPr>
        <w:ind w:right="40" w:firstLine="419"/>
        <w:spacing w:after="0" w:line="256" w:lineRule="auto"/>
        <w:tabs>
          <w:tab w:leader="none" w:pos="7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Security</w:t>
      </w:r>
      <w:r>
        <w:rPr>
          <w:rFonts w:ascii="Times New Roman" w:cs="Times New Roman" w:eastAsia="Times New Roman" w:hAnsi="Times New Roman"/>
          <w:sz w:val="18"/>
          <w:szCs w:val="18"/>
          <w:color w:val="auto"/>
        </w:rPr>
        <w:t>. (i)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Controls</w:t>
      </w:r>
      <w:r>
        <w:rPr>
          <w:rFonts w:ascii="Times New Roman" w:cs="Times New Roman" w:eastAsia="Times New Roman" w:hAnsi="Times New Roman"/>
          <w:sz w:val="18"/>
          <w:szCs w:val="18"/>
          <w:color w:val="auto"/>
        </w:rPr>
        <w:t>. 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80"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Disputes</w:t>
      </w:r>
      <w:r>
        <w:rPr>
          <w:rFonts w:ascii="Times New Roman" w:cs="Times New Roman" w:eastAsia="Times New Roman" w:hAnsi="Times New Roman"/>
          <w:sz w:val="18"/>
          <w:szCs w:val="18"/>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37" w:name="page38"/>
    <w:bookmarkEnd w:id="37"/>
    <w:p>
      <w:pPr>
        <w:ind w:firstLine="419"/>
        <w:spacing w:after="0" w:line="252" w:lineRule="auto"/>
        <w:tabs>
          <w:tab w:leader="none" w:pos="6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84" w:lineRule="exact"/>
        <w:rPr>
          <w:sz w:val="20"/>
          <w:szCs w:val="20"/>
          <w:color w:val="auto"/>
        </w:rPr>
      </w:pPr>
    </w:p>
    <w:p>
      <w:pPr>
        <w:ind w:right="40" w:firstLine="419"/>
        <w:spacing w:after="0" w:line="256" w:lineRule="auto"/>
        <w:tabs>
          <w:tab w:leader="none" w:pos="7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7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38" w:name="page39"/>
    <w:bookmarkEnd w:id="38"/>
    <w:p>
      <w:pPr>
        <w:ind w:left="4" w:right="80" w:firstLine="419"/>
        <w:spacing w:after="0" w:line="261" w:lineRule="auto"/>
        <w:tabs>
          <w:tab w:leader="none" w:pos="7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Internal Accounting Controls</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w:t>
      </w:r>
    </w:p>
    <w:p>
      <w:pPr>
        <w:ind w:left="4" w:right="240" w:hanging="4"/>
        <w:spacing w:after="0" w:line="252" w:lineRule="auto"/>
        <w:tabs>
          <w:tab w:leader="none" w:pos="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1" w:lineRule="exact"/>
        <w:rPr>
          <w:rFonts w:ascii="Times New Roman" w:cs="Times New Roman" w:eastAsia="Times New Roman" w:hAnsi="Times New Roman"/>
          <w:sz w:val="18"/>
          <w:szCs w:val="18"/>
          <w:color w:val="auto"/>
        </w:rPr>
      </w:pPr>
    </w:p>
    <w:p>
      <w:pPr>
        <w:ind w:left="4" w:firstLine="419"/>
        <w:spacing w:after="0" w:line="258" w:lineRule="auto"/>
        <w:tabs>
          <w:tab w:leader="none" w:pos="7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Underwriters; Brokers</w:t>
      </w:r>
      <w:r>
        <w:rPr>
          <w:rFonts w:ascii="Times New Roman" w:cs="Times New Roman" w:eastAsia="Times New Roman" w:hAnsi="Times New Roman"/>
          <w:sz w:val="18"/>
          <w:szCs w:val="18"/>
          <w:color w:val="auto"/>
        </w:rPr>
        <w:t>. No person (as such term is defined in Rule 1-02 of Regulation S-X promulgated under the Securities Act) has the right to act as an underwriter or as a financial advisor to the Company in connection with the offer and sale of the Purchased Securities, whether as a result of the filing or effectiveness of the Registration Statement or the sale of the Purchased Securities as contemplated hereby or otherwise. There is no broker, finder or other party that is entitled to receive from the Company or any of its Subsidiaries any brokerage or finder’s fee or other fee or commission as a result of any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left="4" w:right="200" w:firstLine="419"/>
        <w:spacing w:after="0" w:line="261" w:lineRule="auto"/>
        <w:tabs>
          <w:tab w:leader="none" w:pos="7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has taken all necessary actions to ensure that, upon the effectiveness of the Registration Statement, it will be in compliance with all applicable provisions of the Sarbanes-Oxley Act of 2002 and the rules and regulations promulgated in connection therewith with which the Company is required to comply as of the effectiveness of the Registration Statement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relating to loans.</w:t>
      </w:r>
    </w:p>
    <w:p>
      <w:pPr>
        <w:spacing w:after="0" w:line="71" w:lineRule="exact"/>
        <w:rPr>
          <w:rFonts w:ascii="Times New Roman" w:cs="Times New Roman" w:eastAsia="Times New Roman" w:hAnsi="Times New Roman"/>
          <w:sz w:val="18"/>
          <w:szCs w:val="18"/>
          <w:color w:val="auto"/>
        </w:rPr>
      </w:pPr>
    </w:p>
    <w:p>
      <w:pPr>
        <w:ind w:left="4" w:right="140" w:firstLine="419"/>
        <w:spacing w:after="0" w:line="254" w:lineRule="auto"/>
        <w:tabs>
          <w:tab w:leader="none" w:pos="70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 Compliance</w:t>
      </w:r>
      <w:r>
        <w:rPr>
          <w:rFonts w:ascii="Times New Roman" w:cs="Times New Roman" w:eastAsia="Times New Roman" w:hAnsi="Times New Roman"/>
          <w:sz w:val="18"/>
          <w:szCs w:val="18"/>
          <w:color w:val="auto"/>
        </w:rPr>
        <w:t>. Except as described in the Registration Statement and the Prospectus, as applicable, the Company (i) is and at all times has been in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for such non-compliance as would not, individually or in the aggregate, have a Material Adverse Effect; (ii) has not received any written notice from any court or arbitrator or governmental or regulatory authority alleging or asserting material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(iii)</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39" w:name="page40"/>
    <w:bookmarkEnd w:id="3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possesses all material Authorizations and such Authorizations are valid and in full force and effect and is not in violation of any term of any such Authorizations;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82" w:lineRule="exact"/>
        <w:rPr>
          <w:sz w:val="20"/>
          <w:szCs w:val="20"/>
          <w:color w:val="auto"/>
        </w:rPr>
      </w:pPr>
    </w:p>
    <w:p>
      <w:pPr>
        <w:ind w:firstLine="419"/>
        <w:spacing w:after="0" w:line="252" w:lineRule="auto"/>
        <w:tabs>
          <w:tab w:leader="none" w:pos="7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Studies, Tests and Preclinical and Clinical Trials</w:t>
      </w:r>
      <w:r>
        <w:rPr>
          <w:rFonts w:ascii="Times New Roman" w:cs="Times New Roman" w:eastAsia="Times New Roman" w:hAnsi="Times New Roman"/>
          <w:sz w:val="18"/>
          <w:szCs w:val="18"/>
          <w:color w:val="auto"/>
        </w:rPr>
        <w:t>. The preclinical studies and tests and clinical trials conducted by or on behalf of the Company that are described in the Registration Statement and the Prospectus (the “</w:t>
      </w:r>
      <w:r>
        <w:rPr>
          <w:rFonts w:ascii="Times New Roman" w:cs="Times New Roman" w:eastAsia="Times New Roman" w:hAnsi="Times New Roman"/>
          <w:sz w:val="18"/>
          <w:szCs w:val="18"/>
          <w:u w:val="single" w:color="auto"/>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and the Prospectus are accurate in all material respects; the Company has no knowledge of any other studies or trials not described in the Registration Statement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FDA or any foreign, state or local governmental body exercising comparable authority requiring the termination, suspension or material modification of any Company Studies and Trials,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40" w:name="page41"/>
    <w:bookmarkEnd w:id="40"/>
    <w:p>
      <w:pPr>
        <w:ind w:firstLine="419"/>
        <w:spacing w:after="0" w:line="253" w:lineRule="auto"/>
        <w:tabs>
          <w:tab w:leader="none" w:pos="7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Taxes</w:t>
      </w:r>
      <w:r>
        <w:rPr>
          <w:rFonts w:ascii="Times New Roman" w:cs="Times New Roman" w:eastAsia="Times New Roman" w:hAnsi="Times New Roman"/>
          <w:sz w:val="18"/>
          <w:szCs w:val="18"/>
          <w:color w:val="auto"/>
        </w:rPr>
        <w:t>. 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right="60" w:firstLine="419"/>
        <w:spacing w:after="0" w:line="254" w:lineRule="auto"/>
        <w:tabs>
          <w:tab w:leader="none" w:pos="6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this Agreement, the Company confirms that neither it nor any other Person acting on its behalf has provided the Purchasers or its agents or counsel with any information that it believes constitutes or might constitute material, non-public information that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each Purchaser makes or has made no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this Agreement and the transactions contemplated hereby. The Company further acknowledges that each Purchaser is not acting as a financial advisor or fiduciary of the Company (or in any similar capacity) with respect to this Agreement and the transactions contemplated hereby and any advice given by such Purchaser or any of their respective representatives or agents in connection with this Agreement and the transactions contemplated hereby is merely incidental to each Purchaser’s purchase of the Purchased Securities. The Company further represents to the Purchasers that the Company’s decision to enter into this Agreement has been based solely on the independent evaluation by the Company and its representatives of the transactions contemplated by the Transaction Documents.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20"/>
          </w:cols>
          <w:pgMar w:left="880" w:top="270" w:right="499" w:bottom="1440" w:gutter="0" w:footer="0" w:header="0"/>
        </w:sectPr>
      </w:pPr>
    </w:p>
    <w:bookmarkStart w:id="41" w:name="page42"/>
    <w:bookmarkEnd w:id="41"/>
    <w:p>
      <w:pPr>
        <w:ind w:left="440" w:right="60" w:firstLine="419"/>
        <w:spacing w:after="0" w:line="258" w:lineRule="auto"/>
        <w:tabs>
          <w:tab w:leader="none" w:pos="1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M Compliance</w:t>
      </w:r>
      <w:r>
        <w:rPr>
          <w:rFonts w:ascii="Times New Roman" w:cs="Times New Roman" w:eastAsia="Times New Roman" w:hAnsi="Times New Roman"/>
          <w:sz w:val="18"/>
          <w:szCs w:val="18"/>
          <w:color w:val="auto"/>
        </w:rPr>
        <w:t>. Neither the Company, nor any of its Subsidiaries, nor to the knowledge of the Company, any of its or their respective directors, officers or controlling persons has taken, directly or indirectly, (i) any action designed to or that might constitute or reasonably be expected to cause or result in, under the Exchange Act or otherwise, stabilization or manipulation of the price of any security of the Company to facilitate the sale or resale of the Purchased Securities, or (ii) any action designed to or that might constitute or reasonably be expected to cause or result in a violation of Regulation M under the Exchange Act.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Purchased Securities as principal for its own account and has no direct or indirect arrangement or understandings with any other Persons to distribute or regarding the distribution of such Purchased Securities (this representation and warranty not limiting such Purchaser’s right to sell the Purchased Securities in compliance with applicable federal and state securities laws).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by the Transaction Documents, such Purchaser has not, nor has any Person acting on behalf of or pursuant to any understanding with the Purchaser, directly or indirectly executed any purchases or sales, including Short Sales, of the securities of the Company during the period commencing as of the time that such Purchaser first commenced discussions with the Company or any other Person representing the Company regarding the proposed terms of the transactions contemplated hereunder and ending immediately prior to the execution hereof. Other than to such Purchaser’s representatives, including, without limitation, its officers, directors, partners, legal and other advisors, employees, agents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42" w:name="page43"/>
    <w:bookmarkEnd w:id="42"/>
    <w:p>
      <w:pPr>
        <w:ind w:left="44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Common Stock in order to effect Short Sales or similar transactions in the future.</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of any Purchaser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such Purchaser’s right to rely on the Company’s representations and warranties contained in this Agreement or any other document or instrument executed and/or delivered in connection with this Agreement or the consummation of the transactions contemplated hereby.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Purchased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in each case in the form mutually agreed to by the Company and the Purchasers. At any time up to the Closing Date, the Company and each Purchaser shall consult with each other in issuing any other press releases with respect to the transactions contemplated hereby, and neither the Company nor such Purchaser shall issue any such press release nor otherwise make any such public statement without the prior consent of the Company, with respect to any press release of such Purchaser, or without the prior consent of each Purchasers, with respect to any press release of the Company which directly names such Purchaser, which consent shall not unreasonably be withheld or delayed, except if such disclosure is required by law, in which case the disclosing party (or parties) shall promptly provide the other party (or parties) with prior notice of such public statement or communication.</w:t>
      </w:r>
    </w:p>
    <w:p>
      <w:pPr>
        <w:spacing w:after="0" w:line="188"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Supplement under the section entitled “Use of Proceeds.”</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The Company shall reserve, and continue to reserve and keep available at all times, free of preemptive rights, a sufficient number of shares of Common Stock for the purpose of enabling the Company to issue all of the shares of Common Stock issuable upon exercise of the Pre-Funded Warrant.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3" w:name="page44"/>
    <w:bookmarkEnd w:id="43"/>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the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The Company will not be liable to any Purchaser Party under this Agreement (y) for any settlement by a Purchaser Party effected without the Company’s prior written consent, which shall not be unreasonably withheld or delayed; </w:t>
      </w:r>
      <w:r>
        <w:rPr>
          <w:rFonts w:ascii="Times New Roman" w:cs="Times New Roman" w:eastAsia="Times New Roman" w:hAnsi="Times New Roman"/>
          <w:sz w:val="18"/>
          <w:szCs w:val="18"/>
          <w:u w:val="single" w:color="auto"/>
          <w:color w:val="auto"/>
        </w:rPr>
        <w:t>unless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settlement, compromise or judgment (i) includes an unconditional release of the Company from all liability arising out of such action or claim and</w:t>
      </w:r>
    </w:p>
    <w:p>
      <w:pPr>
        <w:spacing w:after="0" w:line="10" w:lineRule="exact"/>
        <w:rPr>
          <w:sz w:val="20"/>
          <w:szCs w:val="20"/>
          <w:color w:val="auto"/>
        </w:rPr>
      </w:pPr>
    </w:p>
    <w:p>
      <w:pPr>
        <w:ind w:left="4" w:right="20" w:hanging="4"/>
        <w:spacing w:after="0" w:line="251" w:lineRule="auto"/>
        <w:tabs>
          <w:tab w:leader="none" w:pos="269" w:val="left"/>
        </w:tabs>
        <w:numPr>
          <w:ilvl w:val="0"/>
          <w:numId w:val="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does not include a statement as to or an admission of fault, culpability or a failure to act, by or on behalf of the Company</w:t>
      </w:r>
      <w:r>
        <w:rPr>
          <w:rFonts w:ascii="Times New Roman" w:cs="Times New Roman" w:eastAsia="Times New Roman" w:hAnsi="Times New Roman"/>
          <w:sz w:val="18"/>
          <w:szCs w:val="18"/>
          <w:color w:val="auto"/>
        </w:rPr>
        <w:t xml:space="preserve">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194"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Listing of Shares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shares of Common Stock on the Trading Market on which it is currently listed.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44" w:name="page45"/>
    <w:bookmarkEnd w:id="4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To the extent that the Company, any of its Subsidiaries, or any of their respective officers, directors, agents, employees or Affiliates delivers any material, non-public information to a Purchaser without such Purchaser’s consent or to the extent the Company fails to publicly disclose any material, non-public information, the Company hereby acknowledges and agrees that such Purchaser shall not have any duty of trust of confidence to the Company, any of its Subsidiaries, or any of their respective officers, directors, agents, employees or Affiliates, or a duty to the Company, any of its Subsidiaries or any of their respective officers, directors, agents, employees or Affiliates not to trade in any securities of the Company while aware of, such material, non-public information. The Company understands and confirms that each Purchaser shall be relying on the foregoing covenants in effecting transactions in securities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provided, however, that no such termination will affect the right of any party to sue for any breach by any other party (or parties).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advisors, legal counsel, accountants and other experts, if any, and all other expenses incurred by such party incident to the negotiation, preparation, execution, delivery and performance of this Agreement and the transactions contemplated hereby. The Company shall pay all Transfer Agent fees, stamp taxes and other taxes and duties levied in connection with the delivery of the Purchased Securities to the Purchasers.</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5" w:name="page46"/>
    <w:bookmarkEnd w:id="4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party to whom such notice is required to be given. The address for such notices and communications shall be as set forth on the signature pages attached hereto. To the extent that any notice provided pursuant to the Transaction Documents constitutes, or contains, material, non-public information regarding the Company or its Subsidiaries, the Company shall simultaneously file such notice with the Commission pursuant to a Current Report on Form 8-K.</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Purchasers,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Purchasers and the Company.</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Purchased Securities, provided that such transferee agrees in writing to be bound, with respect to the transferred Purchased Securities, by the provisions of the Transaction Documents that apply to the “Purchasers.”</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and the Company acknowledges that the Purchasers are not acting in concert or as a group.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46" w:name="page47"/>
    <w:bookmarkEnd w:id="4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Agreement,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7" w:name="page48"/>
    <w:bookmarkEnd w:id="47"/>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the Transaction Documents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48" w:name="page49"/>
    <w:bookmarkEnd w:id="4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 MEDICINE, INC.</w:t>
            </w: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Notices:</w:t>
            </w:r>
          </w:p>
        </w:tc>
      </w:tr>
      <w:tr>
        <w:trPr>
          <w:trHeight w:val="45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Quisel</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Disc Medicine, Inc.</w:t>
            </w:r>
          </w:p>
        </w:tc>
        <w:tc>
          <w:tcPr>
            <w:tcW w:w="216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28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John Quisel</w:t>
            </w:r>
          </w:p>
        </w:tc>
        <w:tc>
          <w:tcPr>
            <w:tcW w:w="2160" w:type="dxa"/>
            <w:vAlign w:val="bottom"/>
            <w:tcBorders>
              <w:top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364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321 Arsenal St., Suite 101</w:t>
            </w:r>
          </w:p>
        </w:tc>
      </w:tr>
      <w:tr>
        <w:trPr>
          <w:trHeight w:val="216"/>
        </w:trPr>
        <w:tc>
          <w:tcPr>
            <w:tcW w:w="3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Watertown, MA 02472</w:t>
            </w:r>
          </w:p>
        </w:tc>
      </w:tr>
      <w:tr>
        <w:trPr>
          <w:trHeight w:val="234"/>
        </w:trPr>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Attention: Rahul Khara, General Counsel</w:t>
            </w:r>
          </w:p>
        </w:tc>
      </w:tr>
      <w:tr>
        <w:trPr>
          <w:trHeight w:val="432"/>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With a copy (which shall not constitute notice) to:</w:t>
            </w:r>
          </w:p>
        </w:tc>
      </w:tr>
      <w:tr>
        <w:trPr>
          <w:trHeight w:val="414"/>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Goodwin Procter LLP</w:t>
            </w:r>
          </w:p>
        </w:tc>
      </w:tr>
      <w:tr>
        <w:trPr>
          <w:trHeight w:val="216"/>
        </w:trPr>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Northern Avenue</w:t>
            </w:r>
          </w:p>
        </w:tc>
      </w:tr>
      <w:tr>
        <w:trPr>
          <w:trHeight w:val="216"/>
        </w:trPr>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Boston, MA 02210</w:t>
            </w:r>
          </w:p>
        </w:tc>
      </w:tr>
      <w:tr>
        <w:trPr>
          <w:trHeight w:val="216"/>
        </w:trPr>
        <w:tc>
          <w:tcPr>
            <w:tcW w:w="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Attention: William D. Collins</w:t>
            </w:r>
          </w:p>
        </w:tc>
      </w:tr>
      <w:tr>
        <w:trPr>
          <w:trHeight w:val="234"/>
        </w:trPr>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Email: wcollins@goodwinlaw.com</w:t>
            </w:r>
          </w:p>
        </w:tc>
      </w:tr>
      <w:tr>
        <w:trPr>
          <w:trHeight w:val="432"/>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5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tc>
      </w:tr>
    </w:tbl>
    <w:p>
      <w:pPr>
        <w:sectPr>
          <w:pgSz w:w="11900" w:h="16838" w:orient="portrait"/>
          <w:cols w:equalWidth="0" w:num="1">
            <w:col w:w="10820"/>
          </w:cols>
          <w:pgMar w:left="440" w:top="270" w:right="639" w:bottom="1440" w:gutter="0" w:footer="0" w:header="0"/>
        </w:sectPr>
      </w:pPr>
    </w:p>
    <w:bookmarkStart w:id="49" w:name="page50"/>
    <w:bookmarkEnd w:id="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BAIN CAPITAL LIFE SCIENCES</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3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OPPORTUNITIES III, LP</w:t>
            </w:r>
          </w:p>
        </w:tc>
        <w:tc>
          <w:tcPr>
            <w:tcW w:w="14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446"/>
        </w:trPr>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Bain Capital Life Sciences</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Bain Capital Life Sciences Opportunities III GP, LLC,</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 Clarendon Street,</w:t>
            </w:r>
          </w:p>
        </w:tc>
      </w:tr>
      <w:tr>
        <w:trPr>
          <w:trHeight w:val="234"/>
        </w:trPr>
        <w:tc>
          <w:tcPr>
            <w:tcW w:w="340" w:type="dxa"/>
            <w:vAlign w:val="bottom"/>
          </w:tcPr>
          <w:p>
            <w:pPr>
              <w:spacing w:after="0"/>
              <w:rPr>
                <w:sz w:val="20"/>
                <w:szCs w:val="20"/>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general partner</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Boston, MA 02116</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Bain Capital Life Sciences Investors, LLC,</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Attention: Ricky Sun</w:t>
            </w:r>
          </w:p>
        </w:tc>
      </w:tr>
      <w:tr>
        <w:trPr>
          <w:trHeight w:val="234"/>
        </w:trPr>
        <w:tc>
          <w:tcPr>
            <w:tcW w:w="340" w:type="dxa"/>
            <w:vAlign w:val="bottom"/>
          </w:tcPr>
          <w:p>
            <w:pPr>
              <w:spacing w:after="0"/>
              <w:rPr>
                <w:sz w:val="20"/>
                <w:szCs w:val="20"/>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manager</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Ricky Sun</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CC: Melissa C. Danforth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0</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Name: Ricky Sun</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Partner</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1211 Avenue of the Americas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Attention: Rachel Phillips</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Email: rachel.phillips@ropesgray.com</w:t>
      </w: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0820"/>
          </w:cols>
          <w:pgMar w:left="440" w:top="270" w:right="639" w:bottom="1440" w:gutter="0" w:footer="0" w:header="0"/>
        </w:sectPr>
      </w:pPr>
    </w:p>
    <w:bookmarkStart w:id="50" w:name="page51"/>
    <w:bookmarkEnd w:id="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ORBIMED PRIVATE INVESTMENTS VI, LP</w:t>
            </w:r>
          </w:p>
        </w:tc>
        <w:tc>
          <w:tcPr>
            <w:tcW w:w="32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Capital GP VI LLC, its General Partner</w:t>
            </w:r>
          </w:p>
        </w:tc>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Advisors LLC, its Managing Member</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Carl Gordon</w:t>
            </w:r>
          </w:p>
        </w:tc>
        <w:tc>
          <w:tcPr>
            <w:tcW w:w="640" w:type="dxa"/>
            <w:vAlign w:val="bottom"/>
          </w:tcPr>
          <w:p>
            <w:pPr>
              <w:spacing w:after="0"/>
              <w:rPr>
                <w:sz w:val="24"/>
                <w:szCs w:val="24"/>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Carl Gordon</w:t>
            </w:r>
          </w:p>
        </w:tc>
        <w:tc>
          <w:tcPr>
            <w:tcW w:w="640" w:type="dxa"/>
            <w:vAlign w:val="bottom"/>
          </w:tcPr>
          <w:p>
            <w:pPr>
              <w:spacing w:after="0"/>
              <w:rPr>
                <w:sz w:val="16"/>
                <w:szCs w:val="16"/>
                <w:color w:val="auto"/>
              </w:rPr>
            </w:pPr>
          </w:p>
        </w:tc>
        <w:tc>
          <w:tcPr>
            <w:tcW w:w="2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w w:val="98"/>
              </w:rPr>
              <w:t>601 Lexington Avenue, 54th Floor</w:t>
            </w:r>
          </w:p>
        </w:tc>
      </w:tr>
      <w:tr>
        <w:trPr>
          <w:trHeight w:val="216"/>
        </w:trPr>
        <w:tc>
          <w:tcPr>
            <w:tcW w:w="3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Member</w:t>
            </w: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3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Phone: (212) 739-6400</w:t>
            </w:r>
          </w:p>
        </w:tc>
      </w:tr>
      <w:tr>
        <w:trPr>
          <w:trHeight w:val="234"/>
        </w:trPr>
        <w:tc>
          <w:tcPr>
            <w:tcW w:w="3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Email: Legal@OrbiMed.com</w:t>
            </w: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0820"/>
          </w:cols>
          <w:pgMar w:left="440" w:top="270" w:right="639" w:bottom="1440" w:gutter="0" w:footer="0" w:header="0"/>
        </w:sectPr>
      </w:pPr>
    </w:p>
    <w:bookmarkStart w:id="51" w:name="page52"/>
    <w:bookmarkEnd w:id="5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ORBIMED PRIVATE INVESTMENTS VIII, LP</w:t>
            </w:r>
          </w:p>
        </w:tc>
        <w:tc>
          <w:tcPr>
            <w:tcW w:w="32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Capital GP VIII LLC, its General Partner</w:t>
            </w:r>
          </w:p>
        </w:tc>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Advisors LLC, its Managing Member</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Carl Gordon</w:t>
            </w:r>
          </w:p>
        </w:tc>
        <w:tc>
          <w:tcPr>
            <w:tcW w:w="640" w:type="dxa"/>
            <w:vAlign w:val="bottom"/>
          </w:tcPr>
          <w:p>
            <w:pPr>
              <w:spacing w:after="0"/>
              <w:rPr>
                <w:sz w:val="24"/>
                <w:szCs w:val="24"/>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Carl Gordon</w:t>
            </w:r>
          </w:p>
        </w:tc>
        <w:tc>
          <w:tcPr>
            <w:tcW w:w="640" w:type="dxa"/>
            <w:vAlign w:val="bottom"/>
          </w:tcPr>
          <w:p>
            <w:pPr>
              <w:spacing w:after="0"/>
              <w:rPr>
                <w:sz w:val="16"/>
                <w:szCs w:val="16"/>
                <w:color w:val="auto"/>
              </w:rPr>
            </w:pPr>
          </w:p>
        </w:tc>
        <w:tc>
          <w:tcPr>
            <w:tcW w:w="2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w w:val="98"/>
              </w:rPr>
              <w:t>601 Lexington Avenue, 54th Floor</w:t>
            </w:r>
          </w:p>
        </w:tc>
      </w:tr>
      <w:tr>
        <w:trPr>
          <w:trHeight w:val="216"/>
        </w:trPr>
        <w:tc>
          <w:tcPr>
            <w:tcW w:w="3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Member</w:t>
            </w: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3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Phone: (212) 739-6400</w:t>
            </w:r>
          </w:p>
        </w:tc>
      </w:tr>
      <w:tr>
        <w:trPr>
          <w:trHeight w:val="234"/>
        </w:trPr>
        <w:tc>
          <w:tcPr>
            <w:tcW w:w="3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Email: Legal@OrbiMed.com</w:t>
            </w: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0820"/>
          </w:cols>
          <w:pgMar w:left="440" w:top="270" w:right="639" w:bottom="1440" w:gutter="0" w:footer="0" w:header="0"/>
        </w:sectPr>
      </w:pPr>
    </w:p>
    <w:bookmarkStart w:id="52" w:name="page53"/>
    <w:bookmarkEnd w:id="5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ORBIMED GENESIS MASTER FUND, L.P.</w:t>
            </w:r>
          </w:p>
        </w:tc>
        <w:tc>
          <w:tcPr>
            <w:tcW w:w="32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Genesis GP LLC, its General Partner</w:t>
            </w:r>
          </w:p>
        </w:tc>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OrbiMed Advisors LLC, its Managing Member</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Carl Gordon</w:t>
            </w:r>
          </w:p>
        </w:tc>
        <w:tc>
          <w:tcPr>
            <w:tcW w:w="640" w:type="dxa"/>
            <w:vAlign w:val="bottom"/>
          </w:tcPr>
          <w:p>
            <w:pPr>
              <w:spacing w:after="0"/>
              <w:rPr>
                <w:sz w:val="24"/>
                <w:szCs w:val="24"/>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Carl Gordon</w:t>
            </w:r>
          </w:p>
        </w:tc>
        <w:tc>
          <w:tcPr>
            <w:tcW w:w="640" w:type="dxa"/>
            <w:vAlign w:val="bottom"/>
          </w:tcPr>
          <w:p>
            <w:pPr>
              <w:spacing w:after="0"/>
              <w:rPr>
                <w:sz w:val="16"/>
                <w:szCs w:val="16"/>
                <w:color w:val="auto"/>
              </w:rPr>
            </w:pPr>
          </w:p>
        </w:tc>
        <w:tc>
          <w:tcPr>
            <w:tcW w:w="2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w w:val="98"/>
              </w:rPr>
              <w:t>601 Lexington Avenue, 54th Floor</w:t>
            </w:r>
          </w:p>
        </w:tc>
      </w:tr>
      <w:tr>
        <w:trPr>
          <w:trHeight w:val="216"/>
        </w:trPr>
        <w:tc>
          <w:tcPr>
            <w:tcW w:w="3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Member</w:t>
            </w: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3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Phone: (212) 739-6400</w:t>
            </w:r>
          </w:p>
        </w:tc>
      </w:tr>
      <w:tr>
        <w:trPr>
          <w:trHeight w:val="234"/>
        </w:trPr>
        <w:tc>
          <w:tcPr>
            <w:tcW w:w="3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Email: Legal@OrbiMed.com</w:t>
            </w: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0820"/>
          </w:cols>
          <w:pgMar w:left="440" w:top="270" w:right="639" w:bottom="1440" w:gutter="0" w:footer="0" w:header="0"/>
        </w:sectPr>
      </w:pPr>
    </w:p>
    <w:bookmarkStart w:id="53" w:name="page54"/>
    <w:bookmarkEnd w:id="5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 DMI LLC</w:t>
            </w: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3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c>
          <w:tcPr>
            <w:tcW w:w="6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Alejandro Moreno</w:t>
            </w:r>
          </w:p>
        </w:tc>
        <w:tc>
          <w:tcPr>
            <w:tcW w:w="640" w:type="dxa"/>
            <w:vAlign w:val="bottom"/>
          </w:tcPr>
          <w:p>
            <w:pPr>
              <w:spacing w:after="0"/>
              <w:rPr>
                <w:sz w:val="24"/>
                <w:szCs w:val="24"/>
                <w:color w:val="auto"/>
              </w:rPr>
            </w:pP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5"/>
              </w:rPr>
              <w:t>40 West 57</w:t>
            </w:r>
            <w:r>
              <w:rPr>
                <w:rFonts w:ascii="Times New Roman" w:cs="Times New Roman" w:eastAsia="Times New Roman" w:hAnsi="Times New Roman"/>
                <w:sz w:val="26"/>
                <w:szCs w:val="26"/>
                <w:color w:val="auto"/>
                <w:w w:val="95"/>
                <w:vertAlign w:val="superscript"/>
              </w:rPr>
              <w:t>th</w:t>
            </w:r>
            <w:r>
              <w:rPr>
                <w:rFonts w:ascii="Times New Roman" w:cs="Times New Roman" w:eastAsia="Times New Roman" w:hAnsi="Times New Roman"/>
                <w:sz w:val="18"/>
                <w:szCs w:val="18"/>
                <w:color w:val="auto"/>
                <w:w w:val="95"/>
              </w:rPr>
              <w:t xml:space="preserve"> Street, 28</w:t>
            </w:r>
            <w:r>
              <w:rPr>
                <w:rFonts w:ascii="Times New Roman" w:cs="Times New Roman" w:eastAsia="Times New Roman" w:hAnsi="Times New Roman"/>
                <w:sz w:val="26"/>
                <w:szCs w:val="26"/>
                <w:color w:val="auto"/>
                <w:w w:val="95"/>
                <w:vertAlign w:val="superscript"/>
              </w:rPr>
              <w:t>th</w:t>
            </w:r>
            <w:r>
              <w:rPr>
                <w:rFonts w:ascii="Times New Roman" w:cs="Times New Roman" w:eastAsia="Times New Roman" w:hAnsi="Times New Roman"/>
                <w:sz w:val="18"/>
                <w:szCs w:val="18"/>
                <w:color w:val="auto"/>
                <w:w w:val="95"/>
              </w:rPr>
              <w:t xml:space="preserve"> Floor</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c>
          <w:tcPr>
            <w:tcW w:w="640" w:type="dxa"/>
            <w:vAlign w:val="bottom"/>
          </w:tcPr>
          <w:p>
            <w:pPr>
              <w:spacing w:after="0"/>
              <w:rPr>
                <w:sz w:val="16"/>
                <w:szCs w:val="16"/>
                <w:color w:val="auto"/>
              </w:rPr>
            </w:pPr>
          </w:p>
        </w:tc>
        <w:tc>
          <w:tcPr>
            <w:tcW w:w="23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New York, NY 10019</w:t>
            </w: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Suzette Del Giudice</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Suzette Del Giudice</w:t>
            </w:r>
          </w:p>
        </w:tc>
        <w:tc>
          <w:tcPr>
            <w:tcW w:w="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0820"/>
          </w:cols>
          <w:pgMar w:left="440" w:top="270" w:right="6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542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$62.5 Million Financing led by Bain Capital Life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Sciences to Advance Portfolio of Novel Hematology Programs</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WATERTOWN, Mass. (February 14, 2023) Disc Medicine, Inc. (NASDAQ: IRON) a clinical-stage biopharmaceutical company focused on the discovery, development and commercialization of novel treatments for patients suffering from serious hematologic diseases, today announced it has entered into a securities purchase agreement with certain investors resulting in an aggregate $62.5 million in gross proceeds through a registered direct offering. The financing was led by Bain Capital Life Sciences, who contributed $50 million, with participation from existing investors, Access Biotechnology and OrbiMed.</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financing includes 1,488,166 shares of the Company’s common stock at a price of $23.00 per share and pre-funded warrants to purchase up to an aggregate of 1,229,224 shares of common stock, at a purchase price of $22.9999, which represents the per share offering price for the common stock less the $0.0001 exercise price for each pre-funded warrant. The offering is expected to close on or about February 15, 2023, subject to customary closing conditions.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shares of common stock and pre-funded warrants were offered pursuant to a shelf registration statement on Form S-3 (File No. 333-269272) that was previously filed with the U.S. Securities and Exchange Commission (the “SEC”) on January 18, 2023, and declared effective by the SEC on January 18, 2023. A final prospectus supplement, which contains additional information relating to the offering, has been filed with the SEC and is available on the SEC’s website at www.sec.gov.</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delighted to welcome Bain Capital Life Sciences as an investor during a transformational time for Disc. Our pipeline of three clinical-stage programs, each with therapeutic potential in a range of indications, is expected to provide a series of important clinical trial read-outs beginning mid-year,” said John Quisel, J.D., Ph.D., Chief Executive Officer and President of Disc. “This investment adds to the financial strength of the company and will enable us to pursue the development of our programs with confidence as we advance toward phase 2 data.”</w:t>
      </w:r>
    </w:p>
    <w:p>
      <w:pPr>
        <w:spacing w:after="0" w:line="180" w:lineRule="exact"/>
        <w:rPr>
          <w:sz w:val="20"/>
          <w:szCs w:val="20"/>
          <w:color w:val="auto"/>
        </w:rPr>
      </w:pPr>
    </w:p>
    <w:p>
      <w:pPr>
        <w:jc w:val="both"/>
        <w:ind w:right="400"/>
        <w:spacing w:after="0" w:line="289" w:lineRule="auto"/>
        <w:rPr>
          <w:sz w:val="20"/>
          <w:szCs w:val="20"/>
          <w:color w:val="auto"/>
        </w:rPr>
      </w:pPr>
      <w:r>
        <w:rPr>
          <w:rFonts w:ascii="Times New Roman" w:cs="Times New Roman" w:eastAsia="Times New Roman" w:hAnsi="Times New Roman"/>
          <w:sz w:val="17"/>
          <w:szCs w:val="17"/>
          <w:color w:val="auto"/>
        </w:rPr>
        <w:t>“We are thrilled to support Disc in its vision to build a leading hematology company and believe the Company’s unique approach of targeting heme synthesis and iron metabolism addresses fundamental processes of red blood cell development,” said Ricky Sun, PhD, Partner at Bain Capital Life Sciences. “We look forward to supporting the Company as the data from programs mature and Disc looks towards its next phase of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investment will primarily support development of Disc’s clinical-stage pipeline including:</w:t>
      </w:r>
    </w:p>
    <w:p>
      <w:pPr>
        <w:spacing w:after="0" w:line="131" w:lineRule="exact"/>
        <w:rPr>
          <w:sz w:val="20"/>
          <w:szCs w:val="20"/>
          <w:color w:val="auto"/>
        </w:rPr>
      </w:pPr>
    </w:p>
    <w:p>
      <w:pPr>
        <w:ind w:left="960" w:right="120" w:hanging="424"/>
        <w:spacing w:after="0" w:line="261"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(heme synthesis): a first-in-class, investigational, orally administered inhibitor of glycine transporter 1 (GlyT1) that is designed to modulate heme biosynthesis. It is currently being studied in patients with erythropoietic protoporphyria (EPP) in the ongoing phase 2 BEACON and AURORA clinical trials. Disc expects to initiate a separate trial in Diamond-Blackfan Anemia (DBA) patients in the first half of 2023. Studies in additional indications are being planned.</w:t>
      </w:r>
    </w:p>
    <w:p>
      <w:pPr>
        <w:spacing w:after="0" w:line="85"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(hepcidin suppression): a first-in-class, investigational, anti-hemojuvelin (HJV) monoclonal antibody designed to suppress hepcidin production and increase serum iron to enable erythropoiesis. It is currently being studied in an ongoing phase 1b/2 clinical trial in myelofibrosis patients with anemia. A separate trial in patients with anemia of chronic kidney disease (CKD) not receiving dialysis is expected to initiate in the first half of 2023 and studies in other forms of anemia of inflammation are being planned.</w:t>
      </w:r>
    </w:p>
    <w:p>
      <w:pPr>
        <w:spacing w:after="0" w:line="85"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MWTX-003 (hepcidin induction): a first-in-class, investigational, anti-TMPRSS6 (also known as Matriptase-2) monoclonal antibody designed to increase hepcidin production and suppress serum iron. An IND has been accepted by the FDA and a phase 1 clinical trial of MWTX-003 in healthy volunteers are expected to initiate in 2023. Disc plans to develop MWTX-003 as a treatment for polycythemia vera and other indications.</w:t>
      </w:r>
    </w:p>
    <w:p>
      <w:pPr>
        <w:sectPr>
          <w:pgSz w:w="11900" w:h="16838" w:orient="portrait"/>
          <w:cols w:equalWidth="0" w:num="1">
            <w:col w:w="11020"/>
          </w:cols>
          <w:pgMar w:left="440" w:top="117"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About Disc Medicine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anticipated use of net proceeds from the offering; statements regarding the completion and timing of the offering; and future product development plans and projected timelines for the initiation and completion of preclinical and clinical trials and other activities.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offering may not be completed on the timeline expected or at all;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the Current Report on Form 8-K filed with the SEC on December 29, 2022 and other documents filed by Disc from time to time with the SEC, as well as discussions of potential risks, uncertainties, and other important factors in Disc’s subsequent filings with the Securities and Exchange Commission.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Bain Capital Life Sciences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Bain Capital Life Sciences (www.baincapitallifesciences.com) invests in pharmaceutical, biotechnology, medical device, diagnostic, and life science tool companies across the globe, with a focus on companies that both drive medical innovation across the value chain and enable that innovation to improve the lives of patients with unmet medical needs. The differentiated skillset of Bain Capital Life Sciences team enables it to deliver targeted capital and value-added strategic support to companies around critical phases of growth and inflections in value. Since 1984, Bain Capital has employed a strategic and</w:t>
      </w:r>
    </w:p>
    <w:p>
      <w:pPr>
        <w:sectPr>
          <w:pgSz w:w="11900" w:h="16838" w:orient="portrait"/>
          <w:cols w:equalWidth="0" w:num="1">
            <w:col w:w="11000"/>
          </w:cols>
          <w:pgMar w:left="440" w:top="968" w:right="45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analytical approach to identify attractive investment opportunities and partner with management teams to transform and improve their businesses. During this time, Bain Capital has developed global reach, deep expertise, and a proven track record in the life sciences industries across private equity, public equity, credit, venture capital, and real estate.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Messere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suzanne.messere@sternir.com</w:t>
      </w:r>
    </w:p>
    <w:sectPr>
      <w:pgSz w:w="11900" w:h="16838" w:orient="portrait"/>
      <w:cols w:equalWidth="0" w:num="1">
        <w:col w:w="10920"/>
      </w:cols>
      <w:pgMar w:left="440" w:top="97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1)"/>
      <w:numFmt w:val="lowerLetter"/>
      <w:start w:val="6"/>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lowerLetter"/>
      <w:start w:val="2"/>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decimal"/>
      <w:start w:val="6"/>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2"/>
    </w:lvl>
  </w:abstractNum>
  <w:abstractNum w:abstractNumId="11">
    <w:nsid w:val="22221A70"/>
    <w:multiLevelType w:val="hybridMultilevel"/>
    <w:lvl w:ilvl="0">
      <w:lvlJc w:val="left"/>
      <w:lvlText w:val="(%1)"/>
      <w:numFmt w:val="lowerLetter"/>
      <w:start w:val="35"/>
    </w:lvl>
  </w:abstractNum>
  <w:abstractNum w:abstractNumId="12">
    <w:nsid w:val="4516DDE9"/>
    <w:multiLevelType w:val="hybridMultilevel"/>
    <w:lvl w:ilvl="0">
      <w:lvlJc w:val="left"/>
      <w:lvlText w:val="(%1)"/>
      <w:numFmt w:val="lowerLetter"/>
      <w:start w:val="5"/>
    </w:lvl>
  </w:abstractNum>
  <w:abstractNum w:abstractNumId="13">
    <w:nsid w:val="3006C83E"/>
    <w:multiLevelType w:val="hybridMultilevel"/>
    <w:lvl w:ilvl="0">
      <w:lvlJc w:val="left"/>
      <w:lvlText w:val="%1."/>
      <w:numFmt w:val="decimal"/>
      <w:start w:val="10"/>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2"/>
    </w:lvl>
  </w:abstractNum>
  <w:abstractNum w:abstractNumId="17">
    <w:nsid w:val="440BADFC"/>
    <w:multiLevelType w:val="hybridMultilevel"/>
    <w:lvl w:ilvl="0">
      <w:lvlJc w:val="left"/>
      <w:lvlText w:val="%1."/>
      <w:numFmt w:val="decimal"/>
      <w:start w:val="12"/>
    </w:lvl>
  </w:abstractNum>
  <w:abstractNum w:abstractNumId="18">
    <w:nsid w:val="5072367"/>
    <w:multiLevelType w:val="hybridMultilevel"/>
    <w:lvl w:ilvl="0">
      <w:lvlJc w:val="left"/>
      <w:lvlText w:val="%1."/>
      <w:numFmt w:val="decimal"/>
      <w:start w:val="14"/>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2"/>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lowerLetter"/>
      <w:start w:val="3"/>
    </w:lvl>
  </w:abstractNum>
  <w:abstractNum w:abstractNumId="23">
    <w:nsid w:val="2463B9EA"/>
    <w:multiLevelType w:val="hybridMultilevel"/>
    <w:lvl w:ilvl="0">
      <w:lvlJc w:val="left"/>
      <w:lvlText w:val="(%1)"/>
      <w:numFmt w:val="lowerLetter"/>
      <w:start w:val="8"/>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5"/>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lowerLetter"/>
      <w:start w:val="1"/>
    </w:lvl>
    <w:lvl w:ilvl="1">
      <w:lvlJc w:val="left"/>
      <w:lvlText w:val="(%2)"/>
      <w:numFmt w:val="lowerRoman"/>
      <w:start w:val="1"/>
    </w:lvl>
  </w:abstractNum>
  <w:abstractNum w:abstractNumId="28">
    <w:nsid w:val="153EA438"/>
    <w:multiLevelType w:val="hybridMultilevel"/>
    <w:lvl w:ilvl="0">
      <w:lvlJc w:val="left"/>
      <w:lvlText w:val="%1"/>
      <w:numFmt w:val="lowerLetter"/>
      <w:start w:val="1"/>
    </w:lvl>
    <w:lvl w:ilvl="1">
      <w:lvlJc w:val="left"/>
      <w:lvlText w:val="(%2)"/>
      <w:numFmt w:val="lowerRoman"/>
      <w:start w:val="4"/>
    </w:lvl>
  </w:abstractNum>
  <w:abstractNum w:abstractNumId="29">
    <w:nsid w:val="3855585C"/>
    <w:multiLevelType w:val="hybridMultilevel"/>
    <w:lvl w:ilvl="0">
      <w:lvlJc w:val="left"/>
      <w:lvlText w:val="(%1)"/>
      <w:numFmt w:val="lowerLetter"/>
      <w:start w:val="2"/>
    </w:lvl>
    <w:lvl w:ilvl="1">
      <w:lvlJc w:val="left"/>
      <w:lvlText w:val="(%2)"/>
      <w:numFmt w:val="lowerRoman"/>
      <w:start w:val="1"/>
    </w:lvl>
  </w:abstractNum>
  <w:abstractNum w:abstractNumId="30">
    <w:nsid w:val="70A64E2A"/>
    <w:multiLevelType w:val="hybridMultilevel"/>
    <w:lvl w:ilvl="0">
      <w:lvlJc w:val="left"/>
      <w:lvlText w:val="(%1)"/>
      <w:numFmt w:val="lowerLetter"/>
      <w:start w:val="1"/>
    </w:lvl>
    <w:lvl w:ilvl="1">
      <w:lvlJc w:val="left"/>
      <w:lvlText w:val="(%2)"/>
      <w:numFmt w:val="lowerRoman"/>
      <w:start w:val="1"/>
    </w:lvl>
  </w:abstractNum>
  <w:abstractNum w:abstractNumId="31">
    <w:nsid w:val="6A2342EC"/>
    <w:multiLevelType w:val="hybridMultilevel"/>
    <w:lvl w:ilvl="0">
      <w:lvlJc w:val="left"/>
      <w:lvlText w:val="(%1)"/>
      <w:numFmt w:val="lowerLetter"/>
      <w:start w:val="2"/>
    </w:lvl>
    <w:lvl w:ilvl="1">
      <w:lvlJc w:val="left"/>
      <w:lvlText w:val="(%2)"/>
      <w:numFmt w:val="lowerRoman"/>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Letter"/>
      <w:start w:val="4"/>
    </w:lvl>
  </w:abstractNum>
  <w:abstractNum w:abstractNumId="35">
    <w:nsid w:val="2CD89A32"/>
    <w:multiLevelType w:val="hybridMultilevel"/>
    <w:lvl w:ilvl="0">
      <w:lvlJc w:val="left"/>
      <w:lvlText w:val="(%1)"/>
      <w:numFmt w:val="lowerLetter"/>
      <w:start w:val="7"/>
    </w:lvl>
  </w:abstractNum>
  <w:abstractNum w:abstractNumId="36">
    <w:nsid w:val="57E4CCAF"/>
    <w:multiLevelType w:val="hybridMultilevel"/>
    <w:lvl w:ilvl="0">
      <w:lvlJc w:val="left"/>
      <w:lvlText w:val="(%1)"/>
      <w:numFmt w:val="lowerLetter"/>
      <w:start w:val="10"/>
    </w:lvl>
  </w:abstractNum>
  <w:abstractNum w:abstractNumId="37">
    <w:nsid w:val="7A6D8D3C"/>
    <w:multiLevelType w:val="hybridMultilevel"/>
    <w:lvl w:ilvl="0">
      <w:lvlJc w:val="left"/>
      <w:lvlText w:val="(%1)"/>
      <w:numFmt w:val="lowerLetter"/>
      <w:start w:val="11"/>
    </w:lvl>
  </w:abstractNum>
  <w:abstractNum w:abstractNumId="38">
    <w:nsid w:val="4B588F54"/>
    <w:multiLevelType w:val="hybridMultilevel"/>
    <w:lvl w:ilvl="0">
      <w:lvlJc w:val="left"/>
      <w:lvlText w:val="(%1)"/>
      <w:numFmt w:val="lowerLetter"/>
      <w:start w:val="14"/>
    </w:lvl>
  </w:abstractNum>
  <w:abstractNum w:abstractNumId="39">
    <w:nsid w:val="542289EC"/>
    <w:multiLevelType w:val="hybridMultilevel"/>
    <w:lvl w:ilvl="0">
      <w:lvlJc w:val="left"/>
      <w:lvlText w:val="(%1)"/>
      <w:numFmt w:val="lowerLetter"/>
      <w:start w:val="18"/>
    </w:lvl>
    <w:lvl w:ilvl="1">
      <w:lvlJc w:val="left"/>
      <w:lvlText w:val="(%2)"/>
      <w:numFmt w:val="lowerRoman"/>
      <w:start w:val="1"/>
    </w:lvl>
    <w:lvl w:ilvl="2">
      <w:lvlJc w:val="left"/>
      <w:lvlText w:val="%3."/>
      <w:numFmt w:val="lowerLetter"/>
      <w:start w:val="1"/>
    </w:lvl>
  </w:abstractNum>
  <w:abstractNum w:abstractNumId="40">
    <w:nsid w:val="6DE91B18"/>
    <w:multiLevelType w:val="hybridMultilevel"/>
    <w:lvl w:ilvl="0">
      <w:lvlJc w:val="left"/>
      <w:lvlText w:val="%1"/>
      <w:numFmt w:val="lowerLetter"/>
      <w:start w:val="1"/>
    </w:lvl>
    <w:lvl w:ilvl="1">
      <w:lvlJc w:val="left"/>
      <w:lvlText w:val="(%2)"/>
      <w:numFmt w:val="lowerLetter"/>
      <w:start w:val="61"/>
    </w:lvl>
  </w:abstractNum>
  <w:abstractNum w:abstractNumId="41">
    <w:nsid w:val="38437FDB"/>
    <w:multiLevelType w:val="hybridMultilevel"/>
    <w:lvl w:ilvl="0">
      <w:lvlJc w:val="left"/>
      <w:lvlText w:val="(%1)"/>
      <w:numFmt w:val="lowerLetter"/>
      <w:start w:val="20"/>
    </w:lvl>
    <w:lvl w:ilvl="1">
      <w:lvlJc w:val="left"/>
      <w:lvlText w:val="%2"/>
      <w:numFmt w:val="lowerLetter"/>
      <w:start w:val="1"/>
    </w:lvl>
  </w:abstractNum>
  <w:abstractNum w:abstractNumId="42">
    <w:nsid w:val="7644A45C"/>
    <w:multiLevelType w:val="hybridMultilevel"/>
    <w:lvl w:ilvl="0">
      <w:lvlJc w:val="left"/>
      <w:lvlText w:val="(%1)"/>
      <w:numFmt w:val="lowerLetter"/>
      <w:start w:val="22"/>
    </w:lvl>
  </w:abstractNum>
  <w:abstractNum w:abstractNumId="43">
    <w:nsid w:val="32FFF902"/>
    <w:multiLevelType w:val="hybridMultilevel"/>
    <w:lvl w:ilvl="0">
      <w:lvlJc w:val="left"/>
      <w:lvlText w:val="(%1)"/>
      <w:numFmt w:val="lowerLetter"/>
      <w:start w:val="26"/>
    </w:lvl>
  </w:abstractNum>
  <w:abstractNum w:abstractNumId="44">
    <w:nsid w:val="684A481A"/>
    <w:multiLevelType w:val="hybridMultilevel"/>
    <w:lvl w:ilvl="0">
      <w:lvlJc w:val="left"/>
      <w:lvlText w:val="(%1)"/>
      <w:numFmt w:val="lowerLetter"/>
      <w:start w:val="27"/>
    </w:lvl>
  </w:abstractNum>
  <w:abstractNum w:abstractNumId="45">
    <w:nsid w:val="579478FE"/>
    <w:multiLevelType w:val="hybridMultilevel"/>
    <w:lvl w:ilvl="0">
      <w:lvlJc w:val="left"/>
      <w:lvlText w:val="%1"/>
      <w:numFmt w:val="lowerLetter"/>
      <w:start w:val="1"/>
    </w:lvl>
    <w:lvl w:ilvl="1">
      <w:lvlJc w:val="left"/>
      <w:lvlText w:val="(%2)"/>
      <w:numFmt w:val="lowerLetter"/>
      <w:start w:val="29"/>
    </w:lvl>
  </w:abstractNum>
  <w:abstractNum w:abstractNumId="46">
    <w:nsid w:val="749ABB43"/>
    <w:multiLevelType w:val="hybridMultilevel"/>
    <w:lvl w:ilvl="0">
      <w:lvlJc w:val="left"/>
      <w:lvlText w:val="(%1)"/>
      <w:numFmt w:val="lowerLetter"/>
      <w:start w:val="35"/>
    </w:lvl>
    <w:lvl w:ilvl="1">
      <w:lvlJc w:val="left"/>
      <w:lvlText w:val="(%2)"/>
      <w:numFmt w:val="lowerLetter"/>
      <w:start w:val="30"/>
    </w:lvl>
  </w:abstractNum>
  <w:abstractNum w:abstractNumId="47">
    <w:nsid w:val="3DC240FB"/>
    <w:multiLevelType w:val="hybridMultilevel"/>
    <w:lvl w:ilvl="0">
      <w:lvlJc w:val="left"/>
      <w:lvlText w:val="(%1)"/>
      <w:numFmt w:val="lowerLetter"/>
      <w:start w:val="33"/>
    </w:lvl>
  </w:abstractNum>
  <w:abstractNum w:abstractNumId="48">
    <w:nsid w:val="1BA026FA"/>
    <w:multiLevelType w:val="hybridMultilevel"/>
    <w:lvl w:ilvl="0">
      <w:lvlJc w:val="left"/>
      <w:lvlText w:val="(%1)"/>
      <w:numFmt w:val="lowerLetter"/>
      <w:start w:val="34"/>
    </w:lvl>
  </w:abstractNum>
  <w:abstractNum w:abstractNumId="49">
    <w:nsid w:val="79A1DEAA"/>
    <w:multiLevelType w:val="hybridMultilevel"/>
    <w:lvl w:ilvl="0">
      <w:lvlJc w:val="left"/>
      <w:lvlText w:val="(%1)"/>
      <w:numFmt w:val="lowerLetter"/>
      <w:start w:val="37"/>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Roman"/>
      <w:start w:val="2"/>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2023-02-14T06:22:21Z</dcterms:created>
  <dcterms:modified xsi:type="dcterms:W3CDTF">2023-02-14T06:22:21Z</dcterms:modified>
</cp:coreProperties>
</file>