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170815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198120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Disc Medicine,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175260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561" w:type="dxa"/>
        <w:tblCellMar>
          <w:top w:w="0" w:type="dxa"/>
          <w:left w:w="0" w:type="dxa"/>
          <w:bottom w:w="0" w:type="dxa"/>
          <w:right w:w="0" w:type="dxa"/>
        </w:tblCellMar>
      </w:tblPr>
      <w:tr>
        <w:trPr>
          <w:trHeight w:val="186"/>
        </w:trPr>
        <w:tc>
          <w:tcPr>
            <w:tcW w:w="3080" w:type="dxa"/>
            <w:vAlign w:val="bottom"/>
          </w:tcPr>
          <w:p>
            <w:pPr>
              <w:jc w:val="center"/>
              <w:ind w:right="84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0" w:type="dxa"/>
            <w:vAlign w:val="bottom"/>
          </w:tcPr>
          <w:p>
            <w:pPr>
              <w:ind w:left="940"/>
              <w:spacing w:after="0"/>
              <w:rPr>
                <w:sz w:val="20"/>
                <w:szCs w:val="20"/>
                <w:color w:val="auto"/>
              </w:rPr>
            </w:pPr>
            <w:r>
              <w:rPr>
                <w:rFonts w:ascii="Times New Roman" w:cs="Times New Roman" w:eastAsia="Times New Roman" w:hAnsi="Times New Roman"/>
                <w:sz w:val="16"/>
                <w:szCs w:val="16"/>
                <w:b w:val="1"/>
                <w:bCs w:val="1"/>
                <w:color w:val="auto"/>
              </w:rPr>
              <w:t>001-39438</w:t>
            </w:r>
          </w:p>
        </w:tc>
        <w:tc>
          <w:tcPr>
            <w:tcW w:w="21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85-1612845</w:t>
            </w:r>
          </w:p>
        </w:tc>
      </w:tr>
      <w:tr>
        <w:trPr>
          <w:trHeight w:val="130"/>
        </w:trPr>
        <w:tc>
          <w:tcPr>
            <w:tcW w:w="3080" w:type="dxa"/>
            <w:vAlign w:val="bottom"/>
          </w:tcPr>
          <w:p>
            <w:pPr>
              <w:jc w:val="center"/>
              <w:ind w:right="869"/>
              <w:spacing w:after="0" w:line="130"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800" w:type="dxa"/>
            <w:vAlign w:val="bottom"/>
          </w:tcPr>
          <w:p>
            <w:pPr>
              <w:ind w:left="940"/>
              <w:spacing w:after="0" w:line="130"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160" w:type="dxa"/>
            <w:vAlign w:val="bottom"/>
          </w:tcPr>
          <w:p>
            <w:pPr>
              <w:jc w:val="center"/>
              <w:ind w:left="1111"/>
              <w:spacing w:after="0" w:line="130"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080" w:type="dxa"/>
            <w:vAlign w:val="bottom"/>
          </w:tcPr>
          <w:p>
            <w:pPr>
              <w:jc w:val="center"/>
              <w:ind w:right="869"/>
              <w:spacing w:after="0"/>
              <w:rPr>
                <w:sz w:val="20"/>
                <w:szCs w:val="20"/>
                <w:color w:val="auto"/>
              </w:rPr>
            </w:pPr>
            <w:r>
              <w:rPr>
                <w:rFonts w:ascii="Times New Roman" w:cs="Times New Roman" w:eastAsia="Times New Roman" w:hAnsi="Times New Roman"/>
                <w:sz w:val="13"/>
                <w:szCs w:val="13"/>
                <w:b w:val="1"/>
                <w:bCs w:val="1"/>
                <w:color w:val="auto"/>
                <w:w w:val="97"/>
              </w:rPr>
              <w:t>of Incorporation)</w:t>
            </w:r>
          </w:p>
        </w:tc>
        <w:tc>
          <w:tcPr>
            <w:tcW w:w="280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160" w:type="dxa"/>
            <w:vAlign w:val="bottom"/>
          </w:tcPr>
          <w:p>
            <w:pPr>
              <w:jc w:val="center"/>
              <w:ind w:left="111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98"/>
        </w:trPr>
        <w:tc>
          <w:tcPr>
            <w:tcW w:w="3080" w:type="dxa"/>
            <w:vAlign w:val="bottom"/>
          </w:tcPr>
          <w:p>
            <w:pPr>
              <w:jc w:val="center"/>
              <w:ind w:right="869"/>
              <w:spacing w:after="0"/>
              <w:rPr>
                <w:sz w:val="20"/>
                <w:szCs w:val="20"/>
                <w:color w:val="auto"/>
              </w:rPr>
            </w:pPr>
            <w:r>
              <w:rPr>
                <w:rFonts w:ascii="Times New Roman" w:cs="Times New Roman" w:eastAsia="Times New Roman" w:hAnsi="Times New Roman"/>
                <w:sz w:val="16"/>
                <w:szCs w:val="16"/>
                <w:b w:val="1"/>
                <w:bCs w:val="1"/>
                <w:color w:val="auto"/>
                <w:w w:val="98"/>
              </w:rPr>
              <w:t>321 Arsenal Street, Suite 101</w:t>
            </w: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6"/>
        </w:trPr>
        <w:tc>
          <w:tcPr>
            <w:tcW w:w="3080" w:type="dxa"/>
            <w:vAlign w:val="bottom"/>
          </w:tcPr>
          <w:p>
            <w:pPr>
              <w:jc w:val="center"/>
              <w:ind w:right="849"/>
              <w:spacing w:after="0"/>
              <w:rPr>
                <w:sz w:val="20"/>
                <w:szCs w:val="20"/>
                <w:color w:val="auto"/>
              </w:rPr>
            </w:pPr>
            <w:r>
              <w:rPr>
                <w:rFonts w:ascii="Times New Roman" w:cs="Times New Roman" w:eastAsia="Times New Roman" w:hAnsi="Times New Roman"/>
                <w:sz w:val="16"/>
                <w:szCs w:val="16"/>
                <w:b w:val="1"/>
                <w:bCs w:val="1"/>
                <w:color w:val="auto"/>
                <w:w w:val="97"/>
              </w:rPr>
              <w:t>Watertown, Massachusetts</w:t>
            </w:r>
          </w:p>
        </w:tc>
        <w:tc>
          <w:tcPr>
            <w:tcW w:w="2800" w:type="dxa"/>
            <w:vAlign w:val="bottom"/>
          </w:tcPr>
          <w:p>
            <w:pPr>
              <w:spacing w:after="0"/>
              <w:rPr>
                <w:sz w:val="16"/>
                <w:szCs w:val="16"/>
                <w:color w:val="auto"/>
              </w:rPr>
            </w:pPr>
          </w:p>
        </w:tc>
        <w:tc>
          <w:tcPr>
            <w:tcW w:w="21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166"/>
        </w:trPr>
        <w:tc>
          <w:tcPr>
            <w:tcW w:w="3080" w:type="dxa"/>
            <w:vAlign w:val="bottom"/>
          </w:tcPr>
          <w:p>
            <w:pPr>
              <w:jc w:val="center"/>
              <w:ind w:right="84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800" w:type="dxa"/>
            <w:vAlign w:val="bottom"/>
          </w:tcPr>
          <w:p>
            <w:pPr>
              <w:spacing w:after="0"/>
              <w:rPr>
                <w:sz w:val="14"/>
                <w:szCs w:val="14"/>
                <w:color w:val="auto"/>
              </w:rPr>
            </w:pPr>
          </w:p>
        </w:tc>
        <w:tc>
          <w:tcPr>
            <w:tcW w:w="2160" w:type="dxa"/>
            <w:vAlign w:val="bottom"/>
          </w:tcPr>
          <w:p>
            <w:pPr>
              <w:jc w:val="center"/>
              <w:ind w:left="111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674-9274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164465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76"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rFonts w:ascii="MS PGothic" w:cs="MS PGothic" w:eastAsia="MS PGothic" w:hAnsi="MS PGothic"/>
          <w:sz w:val="16"/>
          <w:szCs w:val="16"/>
          <w:color w:val="auto"/>
        </w:rPr>
      </w:pPr>
    </w:p>
    <w:p>
      <w:pPr>
        <w:ind w:left="2901"/>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0"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IRON</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1"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On October 20, 2025, Disc Medicine, Inc. (the “Company”) announced that its preliminary unaudited cash, cash equivalents and marketable securities as of September 30, 2025 were approximately $615.9 million.</w:t>
      </w:r>
    </w:p>
    <w:p>
      <w:pPr>
        <w:spacing w:after="0" w:line="14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5"/>
          <w:szCs w:val="15"/>
          <w:color w:val="auto"/>
        </w:rPr>
        <w:t>The Company has not yet completed its quarter-end financial close process for the quarter ended September 30, 2025. This estimate of the Company’s cash, cash equivalents and marketable securities as of September 30, 2025 is preliminary, has not been audited and is subject to change upon completion of the Company’s financial statement closing procedures. Additional information and disclosure would be required for a more complete understanding of the Company’s financial position and results of operations as of September 30, 2025. The Company’s independent registered public accounting firm has not audited, reviewed or performed any procedures with respect to this preliminary result and, accordingly, does not express an opinion or any other form of assurance about it. The information presented herein should not be considered a substitute for the financial information the Company files with the Securities and Exchange Commission (the “SEC”) in its quarterly report on Form 10-Q for the quarter ended September 30, 2025. The Company has no intention or obligation to update preliminary estimates of its cash, cash equivalents and marketable securities set forth above.</w:t>
      </w:r>
    </w:p>
    <w:p>
      <w:pPr>
        <w:spacing w:after="0" w:line="15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2.02 of this Current Report on Form 8-K is intended to be furnished and shall not be deemed to be “filed” for the purposes of Section 18 of the Securities and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filing.</w:t>
      </w:r>
    </w:p>
    <w:p>
      <w:pPr>
        <w:spacing w:after="0" w:line="28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On October 20, 2025, the Company issued a press release providing an update on its hematology portfolio and outlining near-term business objectives and anticipated milestones. A copy of the press release is attached as Exhibit 99.1 to this Current Report on Form 8-K.</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information contained in Item 7.01 of this Current Report on Form 8-K (including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provided by specific reference in such filing. The Company undertakes no obligation to update, supplement or amend the materials attached hereto as Exhibit 99.1.</w:t>
      </w:r>
    </w:p>
    <w:p>
      <w:pPr>
        <w:spacing w:after="0" w:line="28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Presentation</w:t>
      </w:r>
    </w:p>
    <w:p>
      <w:pPr>
        <w:spacing w:after="0" w:line="10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On October 20, 2025, the Company updated its corporate presentation. A copy of the updated corporate presentation is filed as Exhibit 99.2 to this Current Report on Form 8-K and incorporated herein by reference. The corporate presentation will also be available in the investor relations section of the Company’s website at https://ir.discmedicine.com.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Developments</w:t>
      </w:r>
    </w:p>
    <w:p>
      <w:pPr>
        <w:spacing w:after="0" w:line="104"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On October 20, 2025, the Company provided an update on its hematology portfolio and outlined its near-term business objectives and anticipated milestones for the rest of 2025 and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Bitopertin: GlyT1 Inhibitor (Heme Synthesis Modulator)</w:t>
      </w:r>
    </w:p>
    <w:p>
      <w:pPr>
        <w:spacing w:after="0" w:line="114" w:lineRule="exact"/>
        <w:rPr>
          <w:sz w:val="20"/>
          <w:szCs w:val="20"/>
          <w:color w:val="auto"/>
        </w:rPr>
      </w:pPr>
    </w:p>
    <w:p>
      <w:pPr>
        <w:ind w:left="860" w:right="360" w:hanging="388"/>
        <w:spacing w:after="0" w:line="261"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 activities to support a potential US approval and launch in late 2025 or early 2026 based on accelerated review timeline associated with receipt of the FDA Commissioner’s National Priority Voucher (“CNPV”), which is designed to shorten the New Drug Application review process to 1-2 months</w:t>
      </w:r>
    </w:p>
    <w:p>
      <w:pPr>
        <w:spacing w:after="0" w:line="73" w:lineRule="exact"/>
        <w:rPr>
          <w:rFonts w:ascii="Times New Roman" w:cs="Times New Roman" w:eastAsia="Times New Roman" w:hAnsi="Times New Roman"/>
          <w:sz w:val="16"/>
          <w:szCs w:val="16"/>
          <w:color w:val="auto"/>
        </w:rPr>
      </w:pPr>
    </w:p>
    <w:p>
      <w:pPr>
        <w:ind w:left="860" w:right="30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Drive enrollment of ongoing APOLLO confirmatory trial of bitopertin in erythropoietic protoporphyria that is intended to also support potential approval of bitopertin in territories outside the US</w:t>
      </w:r>
    </w:p>
    <w:p>
      <w:pPr>
        <w:sectPr>
          <w:pgSz w:w="11900" w:h="16838" w:orient="portrait"/>
          <w:cols w:equalWidth="0" w:num="1">
            <w:col w:w="9640"/>
          </w:cols>
          <w:pgMar w:left="1120" w:top="275"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DISC-0974: Anti-hemojuvelin Antibody (Hepcidin Suppression)</w:t>
      </w:r>
    </w:p>
    <w:p>
      <w:pPr>
        <w:spacing w:after="0" w:line="114" w:lineRule="exact"/>
        <w:rPr>
          <w:sz w:val="20"/>
          <w:szCs w:val="20"/>
          <w:color w:val="auto"/>
        </w:rPr>
      </w:pPr>
    </w:p>
    <w:p>
      <w:pPr>
        <w:ind w:left="860" w:hanging="38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Progress and position DISC-0974 to be advanced into potential late-stage clinical development for anemia of myelofibrosis (“MF”)</w:t>
      </w:r>
    </w:p>
    <w:p>
      <w:pPr>
        <w:spacing w:after="0" w:line="111" w:lineRule="exact"/>
        <w:rPr>
          <w:rFonts w:ascii="Times New Roman" w:cs="Times New Roman" w:eastAsia="Times New Roman" w:hAnsi="Times New Roman"/>
          <w:sz w:val="16"/>
          <w:szCs w:val="16"/>
          <w:color w:val="auto"/>
        </w:rPr>
      </w:pPr>
    </w:p>
    <w:p>
      <w:pPr>
        <w:ind w:left="860" w:right="660" w:hanging="388"/>
        <w:spacing w:after="0" w:line="276"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 data from ongoing Phase 2 study in anemia of MF to be reported by year end; topline data expected in 2026, if positive, is anticipated to support discussion with regulatory agencies on registrational path</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role of hepcidin suppression and anti-hemojuvelin (“HJV”) mechanism in other anemias of chronic disease:</w:t>
      </w:r>
    </w:p>
    <w:p>
      <w:pPr>
        <w:spacing w:after="0" w:line="111" w:lineRule="exact"/>
        <w:rPr>
          <w:rFonts w:ascii="Times New Roman" w:cs="Times New Roman" w:eastAsia="Times New Roman" w:hAnsi="Times New Roman"/>
          <w:sz w:val="16"/>
          <w:szCs w:val="16"/>
          <w:color w:val="auto"/>
        </w:rPr>
      </w:pPr>
    </w:p>
    <w:p>
      <w:pPr>
        <w:ind w:left="1240" w:right="320" w:hanging="283"/>
        <w:spacing w:after="0" w:line="276" w:lineRule="auto"/>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Recently completed Phase 1b double-blind, placebo-controlled study of DISC-0974 demonstrated engagement of mechanism in anemia of non-dialysis dependent chronic kidney disease with variable effects on hemoglobin</w:t>
      </w:r>
    </w:p>
    <w:p>
      <w:pPr>
        <w:spacing w:after="0" w:line="61" w:lineRule="exact"/>
        <w:rPr>
          <w:rFonts w:ascii="Times New Roman" w:cs="Times New Roman" w:eastAsia="Times New Roman" w:hAnsi="Times New Roman"/>
          <w:sz w:val="16"/>
          <w:szCs w:val="16"/>
          <w:color w:val="auto"/>
        </w:rPr>
      </w:pPr>
    </w:p>
    <w:p>
      <w:pPr>
        <w:ind w:left="1820" w:right="300" w:hanging="473"/>
        <w:spacing w:after="0" w:line="276" w:lineRule="auto"/>
        <w:tabs>
          <w:tab w:leader="none" w:pos="182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DISC-0974 was generally well-tolerated with substantial decreases in hepcidin, increases in iron, and improvements in markers of erythropoiesis</w:t>
      </w:r>
    </w:p>
    <w:p>
      <w:pPr>
        <w:spacing w:after="0" w:line="61" w:lineRule="exact"/>
        <w:rPr>
          <w:rFonts w:ascii="Times New Roman" w:cs="Times New Roman" w:eastAsia="Times New Roman" w:hAnsi="Times New Roman"/>
          <w:sz w:val="16"/>
          <w:szCs w:val="16"/>
          <w:color w:val="auto"/>
        </w:rPr>
      </w:pPr>
    </w:p>
    <w:p>
      <w:pPr>
        <w:ind w:left="1820" w:right="200" w:hanging="473"/>
        <w:spacing w:after="0" w:line="276" w:lineRule="auto"/>
        <w:tabs>
          <w:tab w:leader="none" w:pos="182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Meaningful hemoglobin increases observed in only a subset of patients were in part driven by those with higher baseline erythropoietin (“EPO”) levels</w:t>
      </w:r>
    </w:p>
    <w:p>
      <w:pPr>
        <w:spacing w:after="0" w:line="61" w:lineRule="exact"/>
        <w:rPr>
          <w:rFonts w:ascii="Times New Roman" w:cs="Times New Roman" w:eastAsia="Times New Roman" w:hAnsi="Times New Roman"/>
          <w:sz w:val="16"/>
          <w:szCs w:val="16"/>
          <w:color w:val="auto"/>
        </w:rPr>
      </w:pPr>
    </w:p>
    <w:p>
      <w:pPr>
        <w:ind w:left="1820" w:right="20" w:hanging="473"/>
        <w:spacing w:after="0" w:line="276" w:lineRule="auto"/>
        <w:tabs>
          <w:tab w:leader="none" w:pos="182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data will be shared at the upcoming 2025 ASN Kidney Week; the Company is assessing options for the program based on full analysis of the data</w:t>
      </w:r>
    </w:p>
    <w:p>
      <w:pPr>
        <w:spacing w:after="0" w:line="61" w:lineRule="exact"/>
        <w:rPr>
          <w:rFonts w:ascii="Times New Roman" w:cs="Times New Roman" w:eastAsia="Times New Roman" w:hAnsi="Times New Roman"/>
          <w:sz w:val="16"/>
          <w:szCs w:val="16"/>
          <w:color w:val="auto"/>
        </w:rPr>
      </w:pPr>
    </w:p>
    <w:p>
      <w:pPr>
        <w:ind w:left="1240" w:right="640" w:hanging="283"/>
        <w:spacing w:after="0" w:line="276" w:lineRule="auto"/>
        <w:tabs>
          <w:tab w:leader="none" w:pos="12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a Phase 2 study in patients with inflammatory bowel disease and anemia anticipated in Q1 2026, and planning exploratory studies in additional patient populations with anemia of chronic disease.</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Plans to accelerate next-generation, long-acting anti-HJV antibody into IND-enabling studies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DISC-3405: Anti-TMPRRS6 Antibody (Hepcidin Induction)</w:t>
      </w:r>
    </w:p>
    <w:p>
      <w:pPr>
        <w:spacing w:after="0" w:line="114" w:lineRule="exact"/>
        <w:rPr>
          <w:sz w:val="20"/>
          <w:szCs w:val="20"/>
          <w:color w:val="auto"/>
        </w:rPr>
      </w:pPr>
    </w:p>
    <w:p>
      <w:pPr>
        <w:ind w:left="860" w:right="520" w:hanging="388"/>
        <w:spacing w:after="0" w:line="27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Phase 2 proof-of-concept of DISC-3405 for polycythemia vera (“PV”) and support potential development into later stage development</w:t>
      </w:r>
    </w:p>
    <w:p>
      <w:pPr>
        <w:spacing w:after="0" w:line="6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Topline data from ongoing Phase 2 study in PV expected in 2026</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Phase 1b study in patients with sickle cell disease anticipated by year end</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Plans to explore the role of therapeutic iron restriction in other indications</w:t>
      </w:r>
    </w:p>
    <w:p>
      <w:pPr>
        <w:spacing w:after="0" w:line="19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Section 27A of the Securities Act, and Section 21E of the Exchange Act. Any statements about the Company’s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“seeks,” “endeavor,” “potential,” “continue,” and similar expressions, or the negative of these terms, or similar expressions. These forward-looking statements include statements about the Company’s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benefits of the CNPV and expected review period; anticipated discussions with regulatory agencies; ongoing preparations for the potential launch of bitopertin; and the potential of its development programs in new indications. Accordingly, these statements involve estimates, assumptions, risks and uncertainties which could cause actual results to differ materially from those expressed in them, including the uncertainties related to market conditions and the completion of the public offering on the anticipated terms or at all. The Company’s forward-looking statements also involve assumptions that, if they prove incorrect, would cause its results to differ materially from those expressed or implied by such forward-looking statements. These and other risks concerning the Company’s business are described in additional detail in the Company’s Quarterly Report on Form 10-Q for the quarter ended June 30, 2025 and other documents filed by the Company from time to time with the SEC. The Company is under no obligation to, and expressly disclaims any such obligation to, update or alter its forward-looking statements, whether as a result of new information, future events or otherwise.</w:t>
      </w:r>
    </w:p>
    <w:p>
      <w:pPr>
        <w:spacing w:after="0" w:line="30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2552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270" cy="7620"/>
                    </a:xfrm>
                    <a:prstGeom prst="rect">
                      <a:avLst/>
                    </a:prstGeom>
                    <a:noFill/>
                  </pic:spPr>
                </pic:pic>
              </a:graphicData>
            </a:graphic>
          </wp:anchor>
        </w:drawing>
      </w:r>
    </w:p>
    <w:p>
      <w:pPr>
        <w:spacing w:after="0" w:line="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issued by Disc Medicine, Inc. on October 20, 2025, furnished herewith.</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Disc Medicine, Inc. Investor Presentation, filed herewith.</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20"/>
          </w:cols>
          <w:pgMar w:left="1120" w:top="275" w:right="115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4"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194" w:lineRule="exact"/>
        <w:rPr>
          <w:sz w:val="20"/>
          <w:szCs w:val="20"/>
          <w:color w:val="auto"/>
        </w:rPr>
      </w:pPr>
    </w:p>
    <w:p>
      <w:pPr>
        <w:spacing w:after="0"/>
        <w:tabs>
          <w:tab w:leader="none" w:pos="4820" w:val="left"/>
          <w:tab w:leader="none" w:pos="5380" w:val="left"/>
        </w:tabs>
        <w:rPr>
          <w:sz w:val="20"/>
          <w:szCs w:val="20"/>
          <w:color w:val="auto"/>
        </w:rPr>
      </w:pPr>
      <w:r>
        <w:rPr>
          <w:rFonts w:ascii="Times New Roman" w:cs="Times New Roman" w:eastAsia="Times New Roman" w:hAnsi="Times New Roman"/>
          <w:sz w:val="16"/>
          <w:szCs w:val="16"/>
          <w:color w:val="auto"/>
        </w:rPr>
        <w:t>Date: October 20,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13970</wp:posOffset>
            </wp:positionV>
            <wp:extent cx="26962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line="9"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Quisel, J.D., Ph.D.</w:t>
      </w:r>
    </w:p>
    <w:p>
      <w:pPr>
        <w:spacing w:after="0" w:line="22"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ectPr>
          <w:pgSz w:w="11900" w:h="16838" w:orient="portrait"/>
          <w:cols w:equalWidth="0" w:num="1">
            <w:col w:w="9339"/>
          </w:cols>
          <w:pgMar w:left="1120" w:top="27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2005330" cy="315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5330" cy="31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Disc Medicine Provides Update on Hematology Portfolio and Outlines Near-Term Business Objectives and Anticipated Milestones</w:t>
      </w:r>
    </w:p>
    <w:p>
      <w:pPr>
        <w:spacing w:after="0" w:line="218" w:lineRule="exact"/>
        <w:rPr>
          <w:sz w:val="20"/>
          <w:szCs w:val="20"/>
          <w:color w:val="auto"/>
        </w:rPr>
      </w:pPr>
    </w:p>
    <w:p>
      <w:pPr>
        <w:ind w:left="380" w:right="100" w:hanging="287"/>
        <w:spacing w:after="0" w:line="262"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Submitted a New Drug Application (NDA) for accelerated approval of bitopertin in erythropoietic protoporphyria (EPP) on September 29, 2025, and subsequently was awarded the FDA Commissioner’s National Priority Voucher (CNPV), a program designed to shorten the expected NDA review period to 1-2 months</w:t>
      </w:r>
    </w:p>
    <w:p>
      <w:pPr>
        <w:spacing w:after="0" w:line="71" w:lineRule="exact"/>
        <w:rPr>
          <w:rFonts w:ascii="Times New Roman" w:cs="Times New Roman" w:eastAsia="Times New Roman" w:hAnsi="Times New Roman"/>
          <w:sz w:val="16"/>
          <w:szCs w:val="16"/>
          <w:color w:val="auto"/>
        </w:rPr>
      </w:pPr>
    </w:p>
    <w:p>
      <w:pPr>
        <w:ind w:left="380" w:right="160" w:hanging="287"/>
        <w:spacing w:after="0" w:line="27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Acceleration of ongoing efforts to support the potential earlier approval and commercialization of bitopertin for EPP in the US, expected in late 2025 or early 2026</w:t>
      </w:r>
    </w:p>
    <w:p>
      <w:pPr>
        <w:spacing w:after="0" w:line="58" w:lineRule="exact"/>
        <w:rPr>
          <w:rFonts w:ascii="Times New Roman" w:cs="Times New Roman" w:eastAsia="Times New Roman" w:hAnsi="Times New Roman"/>
          <w:sz w:val="16"/>
          <w:szCs w:val="16"/>
          <w:color w:val="auto"/>
        </w:rPr>
      </w:pPr>
    </w:p>
    <w:p>
      <w:pPr>
        <w:ind w:left="380" w:right="460" w:hanging="287"/>
        <w:spacing w:after="0" w:line="27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Plans to advance DISC-0974 for anemia of myelofibrosis (MF) and DISC-3405 for polycythemia vera (PV) deeper into development and to continue exploring potential role of hepcidin in additional indications</w:t>
      </w:r>
    </w:p>
    <w:p>
      <w:pPr>
        <w:spacing w:after="0" w:line="58" w:lineRule="exact"/>
        <w:rPr>
          <w:rFonts w:ascii="Times New Roman" w:cs="Times New Roman" w:eastAsia="Times New Roman" w:hAnsi="Times New Roman"/>
          <w:sz w:val="16"/>
          <w:szCs w:val="16"/>
          <w:color w:val="auto"/>
        </w:rPr>
      </w:pPr>
    </w:p>
    <w:p>
      <w:pPr>
        <w:ind w:left="380" w:hanging="287"/>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Strong financial position ending Q3 with approximately $616 million in cash, cash equivalents, and marketable securities</w:t>
      </w:r>
    </w:p>
    <w:p>
      <w:pPr>
        <w:spacing w:after="0" w:line="19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6"/>
          <w:szCs w:val="16"/>
          <w:color w:val="auto"/>
        </w:rPr>
        <w:t>WATERTOWN, Mass., October 20, 2025 – Disc Medicine, Inc. (NASDAQ:IRON), a clinical-stage biopharmaceutical company focused on the discovery, development, and commercialization of novel treatments for patients suffering from serious hematologic diseases, today outlined its recent pipeline and operational progress and strategic priorities for the rest of 2025 and 2026.</w:t>
      </w:r>
    </w:p>
    <w:p>
      <w:pPr>
        <w:spacing w:after="0" w:line="157"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6"/>
          <w:szCs w:val="16"/>
          <w:color w:val="auto"/>
        </w:rPr>
        <w:t>“2025 has been another eventful year for Disc Medicine, and we are accelerating development across three key indications—EPP and our myeloproliferative neoplasm portfolio, MF and PV. For bitopertin, with the recent grant of the FDA’s CNPV, our focus is on accelerating our commercial readiness to ensure access to patients as quickly as possible upon approval, if granted,” said John Quisel, J.D., Ph.D., Chief Executive Officer and President of Disc Medicine.</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We’re also excited about the progress across our iron homeostasis portfolio, DISC-0974 and DISC-3405, as these programs will be important drivers of Disc’s future growth. We’re positioning DISC-0974 for development in anemia of MF and look forward to providing an initial set of data from the Phase 2 RALLY-MF trial of DISC-0974 in its lead indication, anemia of MF, by the end of this year. Additionally, we are advancing the development of DISC-3405 in PV with data expected next year. We also continue to drive our expansion strategy for both of these programs with a plan to initiate a Phase 2 trial of DISC-0974 in anemia of inflammatory bowel disease in 2026 and a Phase 1b trial of DISC-3405 in sickle cell disease by year end.”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Near-Term Business Objectives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Bitopertin: GlyT1 Inhibitor (Heme Synthesis Modulator)</w:t>
      </w:r>
    </w:p>
    <w:p>
      <w:pPr>
        <w:spacing w:after="0" w:line="114" w:lineRule="exact"/>
        <w:rPr>
          <w:sz w:val="20"/>
          <w:szCs w:val="20"/>
          <w:color w:val="auto"/>
        </w:rPr>
      </w:pPr>
    </w:p>
    <w:p>
      <w:pPr>
        <w:ind w:left="860" w:right="54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 activities to support a potential US approval and launch in late 2025 or early 2026 based on accelerated review timeline associated with receipt of the CNPV, which is designed to shorten the NDA review process to 1-2 months</w:t>
      </w:r>
    </w:p>
    <w:p>
      <w:pPr>
        <w:spacing w:after="0" w:line="61" w:lineRule="exact"/>
        <w:rPr>
          <w:rFonts w:ascii="Times New Roman" w:cs="Times New Roman" w:eastAsia="Times New Roman" w:hAnsi="Times New Roman"/>
          <w:sz w:val="16"/>
          <w:szCs w:val="16"/>
          <w:color w:val="auto"/>
        </w:rPr>
      </w:pPr>
    </w:p>
    <w:p>
      <w:pPr>
        <w:ind w:left="860" w:right="54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Drive enrollment of ongoing APOLLO confirmatory trial of bitopertin in EPP that is intended to also support potential approval of bitopertin in territories outside the US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DISC-0974: Anti-hemojuvelin Antibody (Hepcidin Suppression)</w:t>
      </w:r>
    </w:p>
    <w:p>
      <w:pPr>
        <w:spacing w:after="0" w:line="114" w:lineRule="exact"/>
        <w:rPr>
          <w:sz w:val="20"/>
          <w:szCs w:val="20"/>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Progress and position DISC-0974 to be advanced into potential late-stage clinical development for anemia of MF</w:t>
      </w:r>
    </w:p>
    <w:p>
      <w:pPr>
        <w:sectPr>
          <w:pgSz w:w="11900" w:h="16838" w:orient="portrait"/>
          <w:cols w:equalWidth="0" w:num="1">
            <w:col w:w="9640"/>
          </w:cols>
          <w:pgMar w:left="1120" w:top="121" w:right="1139" w:bottom="1440" w:gutter="0" w:footer="0" w:header="0"/>
        </w:sectPr>
      </w:pPr>
    </w:p>
    <w:bookmarkStart w:id="5" w:name="page6"/>
    <w:bookmarkEnd w:id="5"/>
    <w:p>
      <w:pPr>
        <w:ind w:left="860" w:right="640" w:hanging="388"/>
        <w:spacing w:after="0" w:line="276"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2005330" cy="315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05330" cy="315595"/>
                    </a:xfrm>
                    <a:prstGeom prst="rect">
                      <a:avLst/>
                    </a:prstGeom>
                    <a:noFill/>
                  </pic:spPr>
                </pic:pic>
              </a:graphicData>
            </a:graphic>
          </wp:anchor>
        </w:drawing>
        <w:t>Initial data from ongoing Phase 2 study in anemia of MF to be reported by year end; topline data expected in 2026, if positive, is anticipated to support discussion with regulatory agencies on registrational path</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role of hepcidin suppression and anti-hemojuvelin (HJV) mechanism in other anemias of chronic disease:</w:t>
      </w:r>
    </w:p>
    <w:p>
      <w:pPr>
        <w:spacing w:after="0" w:line="111" w:lineRule="exact"/>
        <w:rPr>
          <w:rFonts w:ascii="Times New Roman" w:cs="Times New Roman" w:eastAsia="Times New Roman" w:hAnsi="Times New Roman"/>
          <w:sz w:val="16"/>
          <w:szCs w:val="16"/>
          <w:color w:val="auto"/>
        </w:rPr>
      </w:pPr>
    </w:p>
    <w:p>
      <w:pPr>
        <w:ind w:left="1240" w:right="300" w:hanging="283"/>
        <w:spacing w:after="0" w:line="276" w:lineRule="auto"/>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Recently completed Phase 1b double-blind, placebo-controlled study of DISC-0974 demonstrated engagement of mechanism in anemia of non-dialysis dependent chronic kidney disease (NDD-CKD) with variable effects on hemoglobin</w:t>
      </w:r>
    </w:p>
    <w:p>
      <w:pPr>
        <w:spacing w:after="0" w:line="61" w:lineRule="exact"/>
        <w:rPr>
          <w:rFonts w:ascii="Times New Roman" w:cs="Times New Roman" w:eastAsia="Times New Roman" w:hAnsi="Times New Roman"/>
          <w:sz w:val="16"/>
          <w:szCs w:val="16"/>
          <w:color w:val="auto"/>
        </w:rPr>
      </w:pPr>
    </w:p>
    <w:p>
      <w:pPr>
        <w:ind w:left="1820" w:right="280" w:hanging="473"/>
        <w:spacing w:after="0" w:line="276" w:lineRule="auto"/>
        <w:tabs>
          <w:tab w:leader="none" w:pos="182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DISC-0974 was generally well-tolerated with substantial decreases in hepcidin, increases in iron, and improvements in markers of erythropoiesis</w:t>
      </w:r>
    </w:p>
    <w:p>
      <w:pPr>
        <w:spacing w:after="0" w:line="61" w:lineRule="exact"/>
        <w:rPr>
          <w:rFonts w:ascii="Times New Roman" w:cs="Times New Roman" w:eastAsia="Times New Roman" w:hAnsi="Times New Roman"/>
          <w:sz w:val="16"/>
          <w:szCs w:val="16"/>
          <w:color w:val="auto"/>
        </w:rPr>
      </w:pPr>
    </w:p>
    <w:p>
      <w:pPr>
        <w:ind w:left="1820" w:right="180" w:hanging="473"/>
        <w:spacing w:after="0" w:line="276" w:lineRule="auto"/>
        <w:tabs>
          <w:tab w:leader="none" w:pos="182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Meaningful hemoglobin increases observed in only a subset of patients were in part driven by those with higher baseline erythropoietin (EPO) levels</w:t>
      </w:r>
    </w:p>
    <w:p>
      <w:pPr>
        <w:spacing w:after="0" w:line="61" w:lineRule="exact"/>
        <w:rPr>
          <w:rFonts w:ascii="Times New Roman" w:cs="Times New Roman" w:eastAsia="Times New Roman" w:hAnsi="Times New Roman"/>
          <w:sz w:val="16"/>
          <w:szCs w:val="16"/>
          <w:color w:val="auto"/>
        </w:rPr>
      </w:pPr>
    </w:p>
    <w:p>
      <w:pPr>
        <w:ind w:left="1820" w:right="120" w:hanging="473"/>
        <w:spacing w:after="0" w:line="276" w:lineRule="auto"/>
        <w:tabs>
          <w:tab w:leader="none" w:pos="1820"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data will be shared at the upcoming 2025 ASN Kidney Week; we are assessing options for the program based on full analysis of the data</w:t>
      </w:r>
    </w:p>
    <w:p>
      <w:pPr>
        <w:spacing w:after="0" w:line="61" w:lineRule="exact"/>
        <w:rPr>
          <w:rFonts w:ascii="Times New Roman" w:cs="Times New Roman" w:eastAsia="Times New Roman" w:hAnsi="Times New Roman"/>
          <w:sz w:val="16"/>
          <w:szCs w:val="16"/>
          <w:color w:val="auto"/>
        </w:rPr>
      </w:pPr>
    </w:p>
    <w:p>
      <w:pPr>
        <w:ind w:left="1240" w:right="60" w:hanging="283"/>
        <w:spacing w:after="0" w:line="276" w:lineRule="auto"/>
        <w:tabs>
          <w:tab w:leader="none" w:pos="124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a Phase 2 study in patients with IBD and anemia anticipated in Q1 2026, and planning exploratory studies in additional patient populations with anemia of chronic disease.</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Plans to accelerate next-generation, long-acting anti-HJV antibody into IND-enabling studies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DISC-3405: Anti-TMPRRS6 Antibody (Hepcidin Induction)</w:t>
      </w:r>
    </w:p>
    <w:p>
      <w:pPr>
        <w:spacing w:after="0" w:line="114" w:lineRule="exact"/>
        <w:rPr>
          <w:sz w:val="20"/>
          <w:szCs w:val="20"/>
          <w:color w:val="auto"/>
        </w:rPr>
      </w:pPr>
    </w:p>
    <w:p>
      <w:pPr>
        <w:ind w:left="860" w:hanging="3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Phase 2 proof-of-concept of DISC-3405 for PV and support potential development into later stage development</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Topline data from ongoing Phase 2 study in PV expected in 2026</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Phase 1b study in patients with SCD anticipated by year end</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Plans to explore the role of therapeutic iron restriction in other indications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Bitopertin, DISC-0974, and DISC-3405 are investigational agents and are not approved for use as therapies in any jurisdiction worldwide.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Disc Medicine</w:t>
      </w:r>
    </w:p>
    <w:p>
      <w:pPr>
        <w:spacing w:after="0" w:line="10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6"/>
          <w:szCs w:val="16"/>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 Cautionary Statement Regarding Forward-Looking Statements</w:t>
      </w:r>
    </w:p>
    <w:p>
      <w:pPr>
        <w:spacing w:after="0" w:line="1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benefits of the CNPV and expected review period; anticipated discussions with regulatory agencies; ongoing preparations for the potential launch of bitopertin; the potential of its development programs in new indications; and the strength of its financial position and its anticipated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w:t>
      </w:r>
    </w:p>
    <w:p>
      <w:pPr>
        <w:sectPr>
          <w:pgSz w:w="11900" w:h="16838" w:orient="portrait"/>
          <w:cols w:equalWidth="0" w:num="1">
            <w:col w:w="9600"/>
          </w:cols>
          <w:pgMar w:left="1120" w:top="880" w:right="1179" w:bottom="1440" w:gutter="0" w:footer="0" w:header="0"/>
        </w:sectPr>
      </w:pPr>
    </w:p>
    <w:bookmarkStart w:id="6" w:name="page7"/>
    <w:bookmarkEnd w:id="6"/>
    <w:p>
      <w:pPr>
        <w:ind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171450</wp:posOffset>
            </wp:positionV>
            <wp:extent cx="1974850" cy="307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74850" cy="307975"/>
                    </a:xfrm>
                    <a:prstGeom prst="rect">
                      <a:avLst/>
                    </a:prstGeom>
                    <a:noFill/>
                  </pic:spPr>
                </pic:pic>
              </a:graphicData>
            </a:graphic>
          </wp:anchor>
        </w:drawing>
        <w:t>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5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w:t>
      </w:r>
    </w:p>
    <w:p>
      <w:pPr>
        <w:spacing w:after="0" w:line="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10-K for the year ended December 31, 2024,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Peg Rusconi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Deerfield Group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peg.rusconi@deerfieldgroup.com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Christina Tartaglia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AQ</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christina.tartaglia@precisionaq.com</w:t>
      </w:r>
    </w:p>
    <w:p>
      <w:pPr>
        <w:sectPr>
          <w:pgSz w:w="11900" w:h="16838" w:orient="portrait"/>
          <w:cols w:equalWidth="0" w:num="1">
            <w:col w:w="9620"/>
          </w:cols>
          <w:pgMar w:left="1120" w:top="868" w:right="115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2025-10-20T06:09:08Z</dcterms:created>
  <dcterms:modified xsi:type="dcterms:W3CDTF">2025-10-20T06:09:08Z</dcterms:modified>
</cp:coreProperties>
</file>