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Ong Tuyen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10/15/2030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50,338</w:t>
            </w:r>
          </w:p>
        </w:tc>
        <w:tc>
          <w:tcPr>
            <w:tcW w:w="980" w:type="dxa"/>
            <w:vAlign w:val="bottom"/>
          </w:tcPr>
          <w:p>
            <w:pPr>
              <w:ind w:left="260"/>
              <w:spacing w:after="0"/>
              <w:rPr>
                <w:sz w:val="20"/>
                <w:szCs w:val="20"/>
                <w:color w:val="auto"/>
              </w:rPr>
            </w:pPr>
            <w:r>
              <w:rPr>
                <w:rFonts w:ascii="Arial" w:cs="Arial" w:eastAsia="Arial" w:hAnsi="Arial"/>
                <w:sz w:val="20"/>
                <w:szCs w:val="20"/>
                <w:color w:val="0000FF"/>
              </w:rPr>
              <w:t>7.616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-398780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spacing w:after="0" w:line="15" w:lineRule="exact"/>
        <w:rPr>
          <w:sz w:val="24"/>
          <w:szCs w:val="24"/>
          <w:color w:val="auto"/>
        </w:rPr>
      </w:pPr>
    </w:p>
    <w:p>
      <w:pPr>
        <w:ind w:left="40" w:right="8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25% on the one year anniversary of the Vesting Start Date, August 24, 2020, and the remainder shall vest over a period of 36 months thereafter, provided that as of each such vesting date the Grantee remains in a business relationship with the Company.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Tuyen Ong, M.D., MRCOphth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Tuyen Ong, M.D., MRCOphth</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7317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2021-02-10T16:39:24Z</dcterms:created>
  <dcterms:modified xsi:type="dcterms:W3CDTF">2021-02-10T16:39:24Z</dcterms:modified>
</cp:coreProperties>
</file>