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Gemini Therapeutics,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36870G 105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Dennis Ryan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900 Larkspur Landing Circle, Suite 150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Larkspur, California 94939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(415) 877-4887</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Copy to:</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Joel L. Rubinstein</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Bryan Luchs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White &amp; Case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1221 Avenue of the Americas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New York, New York 10020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(212) 819-8200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August 9, 2022</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4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firstLine="8"/>
        <w:spacing w:after="0" w:line="282" w:lineRule="auto"/>
        <w:tabs>
          <w:tab w:leader="none" w:pos="58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36870G 105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1</w:t>
            </w:r>
          </w:p>
        </w:tc>
        <w:tc>
          <w:tcPr>
            <w:tcW w:w="4320" w:type="dxa"/>
            <w:vAlign w:val="bottom"/>
            <w:tcBorders>
              <w:top w:val="single" w:sz="8" w:color="auto"/>
            </w:tcBorders>
            <w:gridSpan w:val="2"/>
          </w:tcPr>
          <w:p>
            <w:pPr>
              <w:ind w:left="1460"/>
              <w:spacing w:after="0" w:line="205" w:lineRule="exact"/>
              <w:rPr>
                <w:sz w:val="20"/>
                <w:szCs w:val="20"/>
                <w:color w:val="auto"/>
              </w:rPr>
            </w:pPr>
            <w:r>
              <w:rPr>
                <w:rFonts w:ascii="Times New Roman" w:cs="Times New Roman" w:eastAsia="Times New Roman" w:hAnsi="Times New Roman"/>
                <w:sz w:val="18"/>
                <w:szCs w:val="18"/>
                <w:b w:val="1"/>
                <w:bCs w:val="1"/>
                <w:color w:val="auto"/>
                <w:w w:val="99"/>
              </w:rPr>
              <w:t>NAME OF REPORTING PERSONS</w:t>
            </w:r>
          </w:p>
        </w:tc>
        <w:tc>
          <w:tcPr>
            <w:tcW w:w="310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FS Development Holdings, LLC</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7420" w:type="dxa"/>
            <w:vAlign w:val="bottom"/>
            <w:gridSpan w:val="3"/>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3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4</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SOURCE OF FUNDS</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AF</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5</w:t>
            </w:r>
          </w:p>
        </w:tc>
        <w:tc>
          <w:tcPr>
            <w:tcW w:w="10380" w:type="dxa"/>
            <w:vAlign w:val="bottom"/>
            <w:gridSpan w:val="4"/>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ITEMS 2(d) or</w:t>
            </w: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2(e)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6</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7</w:t>
            </w:r>
          </w:p>
        </w:tc>
        <w:tc>
          <w:tcPr>
            <w:tcW w:w="296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3780" w:type="dxa"/>
            <w:vAlign w:val="bottom"/>
            <w:vMerge w:val="restart"/>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10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8</w:t>
            </w:r>
          </w:p>
        </w:tc>
        <w:tc>
          <w:tcPr>
            <w:tcW w:w="2960" w:type="dxa"/>
            <w:vAlign w:val="bottom"/>
            <w:vMerge w:val="restart"/>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1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3100" w:type="dxa"/>
            <w:vAlign w:val="bottom"/>
          </w:tcPr>
          <w:p>
            <w:pPr>
              <w:spacing w:after="0"/>
              <w:rPr>
                <w:sz w:val="10"/>
                <w:szCs w:val="10"/>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4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6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9</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SOLE DISPOSITIVE</w:t>
            </w: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100" w:type="dxa"/>
            <w:vAlign w:val="bottom"/>
            <w:vMerge w:val="continue"/>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4320" w:type="dxa"/>
            <w:vAlign w:val="bottom"/>
            <w:gridSpan w:val="2"/>
            <w:vMerge w:val="continue"/>
          </w:tcPr>
          <w:p>
            <w:pPr>
              <w:spacing w:after="0"/>
              <w:rPr>
                <w:sz w:val="8"/>
                <w:szCs w:val="8"/>
                <w:color w:val="auto"/>
              </w:rPr>
            </w:pPr>
          </w:p>
        </w:tc>
        <w:tc>
          <w:tcPr>
            <w:tcW w:w="3100" w:type="dxa"/>
            <w:vAlign w:val="bottom"/>
          </w:tcPr>
          <w:p>
            <w:pPr>
              <w:spacing w:after="0"/>
              <w:rPr>
                <w:sz w:val="8"/>
                <w:szCs w:val="8"/>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EACH REPORTING</w:t>
            </w:r>
          </w:p>
        </w:tc>
        <w:tc>
          <w:tcPr>
            <w:tcW w:w="310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1"/>
        </w:trPr>
        <w:tc>
          <w:tcPr>
            <w:tcW w:w="860" w:type="dxa"/>
            <w:vAlign w:val="bottom"/>
          </w:tcPr>
          <w:p>
            <w:pPr>
              <w:spacing w:after="0"/>
              <w:rPr>
                <w:sz w:val="13"/>
                <w:szCs w:val="13"/>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60" w:type="dxa"/>
            <w:vAlign w:val="bottom"/>
          </w:tcPr>
          <w:p>
            <w:pPr>
              <w:spacing w:after="0"/>
              <w:rPr>
                <w:sz w:val="3"/>
                <w:szCs w:val="3"/>
                <w:color w:val="auto"/>
              </w:rPr>
            </w:pPr>
          </w:p>
        </w:tc>
        <w:tc>
          <w:tcPr>
            <w:tcW w:w="3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SHARED DISPOSITIVE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WITH:</w:t>
            </w:r>
          </w:p>
        </w:tc>
        <w:tc>
          <w:tcPr>
            <w:tcW w:w="310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22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1038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4,870,250</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10380" w:type="dxa"/>
            <w:vAlign w:val="bottom"/>
            <w:tcBorders>
              <w:bottom w:val="single" w:sz="8" w:color="auto"/>
            </w:tcBorders>
            <w:gridSpan w:val="4"/>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13</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11.26%*</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3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OO</w:t>
            </w:r>
          </w:p>
        </w:tc>
        <w:tc>
          <w:tcPr>
            <w:tcW w:w="3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ind w:left="1360" w:right="1160" w:hanging="1352"/>
        <w:spacing w:after="0" w:line="266" w:lineRule="auto"/>
        <w:tabs>
          <w:tab w:leader="none" w:pos="13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43,244,453 shares of common stock, par value $0.0001 (the “Common Stock”), of Gemini Therapeutics, Inc. (the “Issuer”) outstanding as of August 5, 2022, as reported by the Issuer in its Current Report on Form 10-Q filed with the U.S. Securities and Exchange Commission on August 11, 2022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372110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36870G 105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1</w:t>
            </w:r>
          </w:p>
        </w:tc>
        <w:tc>
          <w:tcPr>
            <w:tcW w:w="4320" w:type="dxa"/>
            <w:vAlign w:val="bottom"/>
            <w:tcBorders>
              <w:top w:val="single" w:sz="8" w:color="auto"/>
            </w:tcBorders>
            <w:gridSpan w:val="2"/>
          </w:tcPr>
          <w:p>
            <w:pPr>
              <w:ind w:left="1460"/>
              <w:spacing w:after="0" w:line="205" w:lineRule="exact"/>
              <w:rPr>
                <w:sz w:val="20"/>
                <w:szCs w:val="20"/>
                <w:color w:val="auto"/>
              </w:rPr>
            </w:pPr>
            <w:r>
              <w:rPr>
                <w:rFonts w:ascii="Times New Roman" w:cs="Times New Roman" w:eastAsia="Times New Roman" w:hAnsi="Times New Roman"/>
                <w:sz w:val="18"/>
                <w:szCs w:val="18"/>
                <w:b w:val="1"/>
                <w:bCs w:val="1"/>
                <w:color w:val="auto"/>
                <w:w w:val="99"/>
              </w:rPr>
              <w:t>NAME OF REPORTING PERSONS</w:t>
            </w:r>
          </w:p>
        </w:tc>
        <w:tc>
          <w:tcPr>
            <w:tcW w:w="310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Foresite Capital Fund V, L.P.</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7420" w:type="dxa"/>
            <w:vAlign w:val="bottom"/>
            <w:gridSpan w:val="3"/>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3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4</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SOURCE OF FUNDS</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WC</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5</w:t>
            </w:r>
          </w:p>
        </w:tc>
        <w:tc>
          <w:tcPr>
            <w:tcW w:w="10380" w:type="dxa"/>
            <w:vAlign w:val="bottom"/>
            <w:gridSpan w:val="4"/>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ITEMS 2(d) or</w:t>
            </w: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2(e)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6</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7</w:t>
            </w:r>
          </w:p>
        </w:tc>
        <w:tc>
          <w:tcPr>
            <w:tcW w:w="296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3780" w:type="dxa"/>
            <w:vAlign w:val="bottom"/>
            <w:vMerge w:val="restart"/>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10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8</w:t>
            </w:r>
          </w:p>
        </w:tc>
        <w:tc>
          <w:tcPr>
            <w:tcW w:w="2960" w:type="dxa"/>
            <w:vAlign w:val="bottom"/>
            <w:vMerge w:val="restart"/>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1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860" w:type="dxa"/>
            <w:vAlign w:val="bottom"/>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3100" w:type="dxa"/>
            <w:vAlign w:val="bottom"/>
          </w:tcPr>
          <w:p>
            <w:pPr>
              <w:spacing w:after="0"/>
              <w:rPr>
                <w:sz w:val="10"/>
                <w:szCs w:val="10"/>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4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6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9</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SOLE DISPOSITIVE</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100" w:type="dxa"/>
            <w:vAlign w:val="bottom"/>
            <w:vMerge w:val="continue"/>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860" w:type="dxa"/>
            <w:vAlign w:val="bottom"/>
          </w:tcPr>
          <w:p>
            <w:pPr>
              <w:spacing w:after="0"/>
              <w:rPr>
                <w:sz w:val="8"/>
                <w:szCs w:val="8"/>
                <w:color w:val="auto"/>
              </w:rPr>
            </w:pPr>
          </w:p>
        </w:tc>
        <w:tc>
          <w:tcPr>
            <w:tcW w:w="4320" w:type="dxa"/>
            <w:vAlign w:val="bottom"/>
            <w:gridSpan w:val="2"/>
            <w:vMerge w:val="continue"/>
          </w:tcPr>
          <w:p>
            <w:pPr>
              <w:spacing w:after="0"/>
              <w:rPr>
                <w:sz w:val="8"/>
                <w:szCs w:val="8"/>
                <w:color w:val="auto"/>
              </w:rPr>
            </w:pPr>
          </w:p>
        </w:tc>
        <w:tc>
          <w:tcPr>
            <w:tcW w:w="3100" w:type="dxa"/>
            <w:vAlign w:val="bottom"/>
          </w:tcPr>
          <w:p>
            <w:pPr>
              <w:spacing w:after="0"/>
              <w:rPr>
                <w:sz w:val="8"/>
                <w:szCs w:val="8"/>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EACH REPORTING</w:t>
            </w:r>
          </w:p>
        </w:tc>
        <w:tc>
          <w:tcPr>
            <w:tcW w:w="310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1"/>
        </w:trPr>
        <w:tc>
          <w:tcPr>
            <w:tcW w:w="860" w:type="dxa"/>
            <w:vAlign w:val="bottom"/>
          </w:tcPr>
          <w:p>
            <w:pPr>
              <w:spacing w:after="0"/>
              <w:rPr>
                <w:sz w:val="13"/>
                <w:szCs w:val="13"/>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60" w:type="dxa"/>
            <w:vAlign w:val="bottom"/>
          </w:tcPr>
          <w:p>
            <w:pPr>
              <w:spacing w:after="0"/>
              <w:rPr>
                <w:sz w:val="3"/>
                <w:szCs w:val="3"/>
                <w:color w:val="auto"/>
              </w:rPr>
            </w:pPr>
          </w:p>
        </w:tc>
        <w:tc>
          <w:tcPr>
            <w:tcW w:w="3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SHARED DISPOSITIVE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WITH:</w:t>
            </w:r>
          </w:p>
        </w:tc>
        <w:tc>
          <w:tcPr>
            <w:tcW w:w="310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22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1038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4,870,250</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10380" w:type="dxa"/>
            <w:vAlign w:val="bottom"/>
            <w:tcBorders>
              <w:bottom w:val="single" w:sz="8" w:color="auto"/>
            </w:tcBorders>
            <w:gridSpan w:val="4"/>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13</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11.26%*</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3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PN</w:t>
            </w:r>
          </w:p>
        </w:tc>
        <w:tc>
          <w:tcPr>
            <w:tcW w:w="3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360" w:right="1200" w:hanging="1352"/>
        <w:spacing w:after="0" w:line="282" w:lineRule="auto"/>
        <w:tabs>
          <w:tab w:leader="none" w:pos="13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43,244,453 shares of the Common Stock of the Issuer outstanding as of August 5, 2022, as reported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36870G 105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1</w:t>
            </w:r>
          </w:p>
        </w:tc>
        <w:tc>
          <w:tcPr>
            <w:tcW w:w="4320" w:type="dxa"/>
            <w:vAlign w:val="bottom"/>
            <w:tcBorders>
              <w:top w:val="single" w:sz="8" w:color="auto"/>
            </w:tcBorders>
            <w:gridSpan w:val="2"/>
          </w:tcPr>
          <w:p>
            <w:pPr>
              <w:ind w:left="1460"/>
              <w:spacing w:after="0" w:line="205" w:lineRule="exact"/>
              <w:rPr>
                <w:sz w:val="20"/>
                <w:szCs w:val="20"/>
                <w:color w:val="auto"/>
              </w:rPr>
            </w:pPr>
            <w:r>
              <w:rPr>
                <w:rFonts w:ascii="Times New Roman" w:cs="Times New Roman" w:eastAsia="Times New Roman" w:hAnsi="Times New Roman"/>
                <w:sz w:val="18"/>
                <w:szCs w:val="18"/>
                <w:b w:val="1"/>
                <w:bCs w:val="1"/>
                <w:color w:val="auto"/>
                <w:w w:val="99"/>
              </w:rPr>
              <w:t>NAME OF REPORTING PERSONS</w:t>
            </w:r>
          </w:p>
        </w:tc>
        <w:tc>
          <w:tcPr>
            <w:tcW w:w="310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Foresite Capital Management V, LLC</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7420" w:type="dxa"/>
            <w:vAlign w:val="bottom"/>
            <w:gridSpan w:val="3"/>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3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4</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SOURCE OF FUNDS</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AF</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5</w:t>
            </w:r>
          </w:p>
        </w:tc>
        <w:tc>
          <w:tcPr>
            <w:tcW w:w="10380" w:type="dxa"/>
            <w:vAlign w:val="bottom"/>
            <w:gridSpan w:val="4"/>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ITEMS 2(d) or</w:t>
            </w: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2(e)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6</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7</w:t>
            </w:r>
          </w:p>
        </w:tc>
        <w:tc>
          <w:tcPr>
            <w:tcW w:w="296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3780" w:type="dxa"/>
            <w:vAlign w:val="bottom"/>
            <w:vMerge w:val="restart"/>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10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8</w:t>
            </w:r>
          </w:p>
        </w:tc>
        <w:tc>
          <w:tcPr>
            <w:tcW w:w="2960" w:type="dxa"/>
            <w:vAlign w:val="bottom"/>
            <w:vMerge w:val="restart"/>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1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3100" w:type="dxa"/>
            <w:vAlign w:val="bottom"/>
          </w:tcPr>
          <w:p>
            <w:pPr>
              <w:spacing w:after="0"/>
              <w:rPr>
                <w:sz w:val="10"/>
                <w:szCs w:val="10"/>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4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6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9</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SOLE DISPOSITIVE</w:t>
            </w: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100" w:type="dxa"/>
            <w:vAlign w:val="bottom"/>
            <w:vMerge w:val="continue"/>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4320" w:type="dxa"/>
            <w:vAlign w:val="bottom"/>
            <w:gridSpan w:val="2"/>
            <w:vMerge w:val="continue"/>
          </w:tcPr>
          <w:p>
            <w:pPr>
              <w:spacing w:after="0"/>
              <w:rPr>
                <w:sz w:val="8"/>
                <w:szCs w:val="8"/>
                <w:color w:val="auto"/>
              </w:rPr>
            </w:pPr>
          </w:p>
        </w:tc>
        <w:tc>
          <w:tcPr>
            <w:tcW w:w="3100" w:type="dxa"/>
            <w:vAlign w:val="bottom"/>
          </w:tcPr>
          <w:p>
            <w:pPr>
              <w:spacing w:after="0"/>
              <w:rPr>
                <w:sz w:val="8"/>
                <w:szCs w:val="8"/>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EACH REPORTING</w:t>
            </w:r>
          </w:p>
        </w:tc>
        <w:tc>
          <w:tcPr>
            <w:tcW w:w="310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1"/>
        </w:trPr>
        <w:tc>
          <w:tcPr>
            <w:tcW w:w="860" w:type="dxa"/>
            <w:vAlign w:val="bottom"/>
          </w:tcPr>
          <w:p>
            <w:pPr>
              <w:spacing w:after="0"/>
              <w:rPr>
                <w:sz w:val="13"/>
                <w:szCs w:val="13"/>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60" w:type="dxa"/>
            <w:vAlign w:val="bottom"/>
          </w:tcPr>
          <w:p>
            <w:pPr>
              <w:spacing w:after="0"/>
              <w:rPr>
                <w:sz w:val="3"/>
                <w:szCs w:val="3"/>
                <w:color w:val="auto"/>
              </w:rPr>
            </w:pPr>
          </w:p>
        </w:tc>
        <w:tc>
          <w:tcPr>
            <w:tcW w:w="3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SHARED DISPOSITIVE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WITH:</w:t>
            </w:r>
          </w:p>
        </w:tc>
        <w:tc>
          <w:tcPr>
            <w:tcW w:w="310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22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1038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4,870,250</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10380" w:type="dxa"/>
            <w:vAlign w:val="bottom"/>
            <w:tcBorders>
              <w:bottom w:val="single" w:sz="8" w:color="auto"/>
            </w:tcBorders>
            <w:gridSpan w:val="4"/>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13</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11.26%*</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3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OO</w:t>
            </w:r>
          </w:p>
        </w:tc>
        <w:tc>
          <w:tcPr>
            <w:tcW w:w="3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360" w:right="1200" w:hanging="1352"/>
        <w:spacing w:after="0" w:line="282" w:lineRule="auto"/>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43,244,453 shares of the Common Stock of the Issuer outstanding as of August 5, 2022, as reported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36870G 105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1</w:t>
            </w:r>
          </w:p>
        </w:tc>
        <w:tc>
          <w:tcPr>
            <w:tcW w:w="4320" w:type="dxa"/>
            <w:vAlign w:val="bottom"/>
            <w:tcBorders>
              <w:top w:val="single" w:sz="8" w:color="auto"/>
            </w:tcBorders>
            <w:gridSpan w:val="2"/>
          </w:tcPr>
          <w:p>
            <w:pPr>
              <w:ind w:left="1460"/>
              <w:spacing w:after="0" w:line="205" w:lineRule="exact"/>
              <w:rPr>
                <w:sz w:val="20"/>
                <w:szCs w:val="20"/>
                <w:color w:val="auto"/>
              </w:rPr>
            </w:pPr>
            <w:r>
              <w:rPr>
                <w:rFonts w:ascii="Times New Roman" w:cs="Times New Roman" w:eastAsia="Times New Roman" w:hAnsi="Times New Roman"/>
                <w:sz w:val="18"/>
                <w:szCs w:val="18"/>
                <w:b w:val="1"/>
                <w:bCs w:val="1"/>
                <w:color w:val="auto"/>
                <w:w w:val="99"/>
              </w:rPr>
              <w:t>NAME OF REPORTING PERSONS</w:t>
            </w:r>
          </w:p>
        </w:tc>
        <w:tc>
          <w:tcPr>
            <w:tcW w:w="310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742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8"/>
                <w:szCs w:val="18"/>
                <w:color w:val="auto"/>
              </w:rPr>
              <w:t>Foresite Capital Opportunity Fund V, L.P.</w:t>
            </w: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7420" w:type="dxa"/>
            <w:vAlign w:val="bottom"/>
            <w:gridSpan w:val="3"/>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3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4</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SOURCE OF FUNDS</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WC</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5</w:t>
            </w:r>
          </w:p>
        </w:tc>
        <w:tc>
          <w:tcPr>
            <w:tcW w:w="10380" w:type="dxa"/>
            <w:vAlign w:val="bottom"/>
            <w:gridSpan w:val="4"/>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ITEMS 2(d) or</w:t>
            </w: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2(e)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6</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7</w:t>
            </w:r>
          </w:p>
        </w:tc>
        <w:tc>
          <w:tcPr>
            <w:tcW w:w="296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3780" w:type="dxa"/>
            <w:vAlign w:val="bottom"/>
            <w:vMerge w:val="restart"/>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10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8</w:t>
            </w:r>
          </w:p>
        </w:tc>
        <w:tc>
          <w:tcPr>
            <w:tcW w:w="2960" w:type="dxa"/>
            <w:vAlign w:val="bottom"/>
            <w:vMerge w:val="restart"/>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1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3100" w:type="dxa"/>
            <w:vAlign w:val="bottom"/>
          </w:tcPr>
          <w:p>
            <w:pPr>
              <w:spacing w:after="0"/>
              <w:rPr>
                <w:sz w:val="10"/>
                <w:szCs w:val="10"/>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4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6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9</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SOLE DISPOSITIVE</w:t>
            </w: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100" w:type="dxa"/>
            <w:vAlign w:val="bottom"/>
            <w:vMerge w:val="continue"/>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4320" w:type="dxa"/>
            <w:vAlign w:val="bottom"/>
            <w:gridSpan w:val="2"/>
            <w:vMerge w:val="continue"/>
          </w:tcPr>
          <w:p>
            <w:pPr>
              <w:spacing w:after="0"/>
              <w:rPr>
                <w:sz w:val="8"/>
                <w:szCs w:val="8"/>
                <w:color w:val="auto"/>
              </w:rPr>
            </w:pPr>
          </w:p>
        </w:tc>
        <w:tc>
          <w:tcPr>
            <w:tcW w:w="3100" w:type="dxa"/>
            <w:vAlign w:val="bottom"/>
          </w:tcPr>
          <w:p>
            <w:pPr>
              <w:spacing w:after="0"/>
              <w:rPr>
                <w:sz w:val="8"/>
                <w:szCs w:val="8"/>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EACH REPORTING</w:t>
            </w:r>
          </w:p>
        </w:tc>
        <w:tc>
          <w:tcPr>
            <w:tcW w:w="310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1"/>
        </w:trPr>
        <w:tc>
          <w:tcPr>
            <w:tcW w:w="860" w:type="dxa"/>
            <w:vAlign w:val="bottom"/>
          </w:tcPr>
          <w:p>
            <w:pPr>
              <w:spacing w:after="0"/>
              <w:rPr>
                <w:sz w:val="13"/>
                <w:szCs w:val="13"/>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60" w:type="dxa"/>
            <w:vAlign w:val="bottom"/>
          </w:tcPr>
          <w:p>
            <w:pPr>
              <w:spacing w:after="0"/>
              <w:rPr>
                <w:sz w:val="3"/>
                <w:szCs w:val="3"/>
                <w:color w:val="auto"/>
              </w:rPr>
            </w:pPr>
          </w:p>
        </w:tc>
        <w:tc>
          <w:tcPr>
            <w:tcW w:w="3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SHARED DISPOSITIVE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WITH:</w:t>
            </w:r>
          </w:p>
        </w:tc>
        <w:tc>
          <w:tcPr>
            <w:tcW w:w="310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22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1038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4,870,250</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10380" w:type="dxa"/>
            <w:vAlign w:val="bottom"/>
            <w:tcBorders>
              <w:bottom w:val="single" w:sz="8" w:color="auto"/>
            </w:tcBorders>
            <w:gridSpan w:val="4"/>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13</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11.26%*</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3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PN</w:t>
            </w:r>
          </w:p>
        </w:tc>
        <w:tc>
          <w:tcPr>
            <w:tcW w:w="3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360" w:right="1200" w:hanging="1352"/>
        <w:spacing w:after="0" w:line="282" w:lineRule="auto"/>
        <w:tabs>
          <w:tab w:leader="none" w:pos="1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43,244,453 shares of the Common Stock of the Issuer outstanding as of August 5, 2022, as reported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36870G 105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1</w:t>
            </w:r>
          </w:p>
        </w:tc>
        <w:tc>
          <w:tcPr>
            <w:tcW w:w="4320" w:type="dxa"/>
            <w:vAlign w:val="bottom"/>
            <w:tcBorders>
              <w:top w:val="single" w:sz="8" w:color="auto"/>
            </w:tcBorders>
            <w:gridSpan w:val="2"/>
          </w:tcPr>
          <w:p>
            <w:pPr>
              <w:ind w:left="1460"/>
              <w:spacing w:after="0" w:line="205" w:lineRule="exact"/>
              <w:rPr>
                <w:sz w:val="20"/>
                <w:szCs w:val="20"/>
                <w:color w:val="auto"/>
              </w:rPr>
            </w:pPr>
            <w:r>
              <w:rPr>
                <w:rFonts w:ascii="Times New Roman" w:cs="Times New Roman" w:eastAsia="Times New Roman" w:hAnsi="Times New Roman"/>
                <w:sz w:val="18"/>
                <w:szCs w:val="18"/>
                <w:b w:val="1"/>
                <w:bCs w:val="1"/>
                <w:color w:val="auto"/>
                <w:w w:val="99"/>
              </w:rPr>
              <w:t>NAME OF REPORTING PERSONS</w:t>
            </w:r>
          </w:p>
        </w:tc>
        <w:tc>
          <w:tcPr>
            <w:tcW w:w="310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7420" w:type="dxa"/>
            <w:vAlign w:val="bottom"/>
            <w:tcBorders>
              <w:bottom w:val="single" w:sz="8" w:color="auto"/>
            </w:tcBorders>
            <w:gridSpan w:val="3"/>
          </w:tcPr>
          <w:p>
            <w:pPr>
              <w:ind w:left="1460"/>
              <w:spacing w:after="0"/>
              <w:rPr>
                <w:sz w:val="20"/>
                <w:szCs w:val="20"/>
                <w:color w:val="auto"/>
              </w:rPr>
            </w:pPr>
            <w:r>
              <w:rPr>
                <w:rFonts w:ascii="Times New Roman" w:cs="Times New Roman" w:eastAsia="Times New Roman" w:hAnsi="Times New Roman"/>
                <w:sz w:val="18"/>
                <w:szCs w:val="18"/>
                <w:color w:val="auto"/>
              </w:rPr>
              <w:t>Foresite Capital Opportunity Management V, LLC</w:t>
            </w: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7420" w:type="dxa"/>
            <w:vAlign w:val="bottom"/>
            <w:gridSpan w:val="3"/>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3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4</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SOURCE OF FUNDS</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AF</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5</w:t>
            </w:r>
          </w:p>
        </w:tc>
        <w:tc>
          <w:tcPr>
            <w:tcW w:w="10380" w:type="dxa"/>
            <w:vAlign w:val="bottom"/>
            <w:gridSpan w:val="4"/>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ITEMS 2(d) or</w:t>
            </w: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2(e)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6</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7</w:t>
            </w:r>
          </w:p>
        </w:tc>
        <w:tc>
          <w:tcPr>
            <w:tcW w:w="296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3780" w:type="dxa"/>
            <w:vAlign w:val="bottom"/>
            <w:vMerge w:val="restart"/>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10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8</w:t>
            </w:r>
          </w:p>
        </w:tc>
        <w:tc>
          <w:tcPr>
            <w:tcW w:w="2960" w:type="dxa"/>
            <w:vAlign w:val="bottom"/>
            <w:vMerge w:val="restart"/>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1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3100" w:type="dxa"/>
            <w:vAlign w:val="bottom"/>
          </w:tcPr>
          <w:p>
            <w:pPr>
              <w:spacing w:after="0"/>
              <w:rPr>
                <w:sz w:val="10"/>
                <w:szCs w:val="10"/>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4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6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9</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SOLE DISPOSITIVE</w:t>
            </w:r>
          </w:p>
        </w:tc>
        <w:tc>
          <w:tcPr>
            <w:tcW w:w="0" w:type="dxa"/>
            <w:vAlign w:val="bottom"/>
          </w:tcPr>
          <w:p>
            <w:pPr>
              <w:spacing w:after="0"/>
              <w:rPr>
                <w:sz w:val="1"/>
                <w:szCs w:val="1"/>
                <w:color w:val="auto"/>
              </w:rPr>
            </w:pPr>
          </w:p>
        </w:tc>
      </w:tr>
      <w:tr>
        <w:trPr>
          <w:trHeight w:val="121"/>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100" w:type="dxa"/>
            <w:vAlign w:val="bottom"/>
            <w:vMerge w:val="continue"/>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4320" w:type="dxa"/>
            <w:vAlign w:val="bottom"/>
            <w:gridSpan w:val="2"/>
            <w:vMerge w:val="continue"/>
          </w:tcPr>
          <w:p>
            <w:pPr>
              <w:spacing w:after="0"/>
              <w:rPr>
                <w:sz w:val="8"/>
                <w:szCs w:val="8"/>
                <w:color w:val="auto"/>
              </w:rPr>
            </w:pPr>
          </w:p>
        </w:tc>
        <w:tc>
          <w:tcPr>
            <w:tcW w:w="3100" w:type="dxa"/>
            <w:vAlign w:val="bottom"/>
          </w:tcPr>
          <w:p>
            <w:pPr>
              <w:spacing w:after="0"/>
              <w:rPr>
                <w:sz w:val="8"/>
                <w:szCs w:val="8"/>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26"/>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EACH REPORTING</w:t>
            </w:r>
          </w:p>
        </w:tc>
        <w:tc>
          <w:tcPr>
            <w:tcW w:w="310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1"/>
        </w:trPr>
        <w:tc>
          <w:tcPr>
            <w:tcW w:w="860" w:type="dxa"/>
            <w:vAlign w:val="bottom"/>
          </w:tcPr>
          <w:p>
            <w:pPr>
              <w:spacing w:after="0"/>
              <w:rPr>
                <w:sz w:val="13"/>
                <w:szCs w:val="13"/>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60" w:type="dxa"/>
            <w:vAlign w:val="bottom"/>
          </w:tcPr>
          <w:p>
            <w:pPr>
              <w:spacing w:after="0"/>
              <w:rPr>
                <w:sz w:val="3"/>
                <w:szCs w:val="3"/>
                <w:color w:val="auto"/>
              </w:rPr>
            </w:pPr>
          </w:p>
        </w:tc>
        <w:tc>
          <w:tcPr>
            <w:tcW w:w="3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SHARED DISPOSITIVE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WITH:</w:t>
            </w:r>
          </w:p>
        </w:tc>
        <w:tc>
          <w:tcPr>
            <w:tcW w:w="310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22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1038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4,870,250</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10380" w:type="dxa"/>
            <w:vAlign w:val="bottom"/>
            <w:tcBorders>
              <w:bottom w:val="single" w:sz="8" w:color="auto"/>
            </w:tcBorders>
            <w:gridSpan w:val="4"/>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13</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11.26%*</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3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OO</w:t>
            </w:r>
          </w:p>
        </w:tc>
        <w:tc>
          <w:tcPr>
            <w:tcW w:w="3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360" w:right="1200" w:hanging="1352"/>
        <w:spacing w:after="0" w:line="282" w:lineRule="auto"/>
        <w:tabs>
          <w:tab w:leader="none" w:pos="1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43,244,453 shares of the Common Stock of the Issuer outstanding as of August 5, 2022, as reported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36870G 105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b w:val="1"/>
                <w:bCs w:val="1"/>
                <w:color w:val="auto"/>
              </w:rPr>
              <w:t>1</w:t>
            </w:r>
          </w:p>
        </w:tc>
        <w:tc>
          <w:tcPr>
            <w:tcW w:w="4320" w:type="dxa"/>
            <w:vAlign w:val="bottom"/>
            <w:tcBorders>
              <w:top w:val="single" w:sz="8" w:color="auto"/>
            </w:tcBorders>
            <w:gridSpan w:val="2"/>
          </w:tcPr>
          <w:p>
            <w:pPr>
              <w:ind w:left="1460"/>
              <w:spacing w:after="0" w:line="205" w:lineRule="exact"/>
              <w:rPr>
                <w:sz w:val="20"/>
                <w:szCs w:val="20"/>
                <w:color w:val="auto"/>
              </w:rPr>
            </w:pPr>
            <w:r>
              <w:rPr>
                <w:rFonts w:ascii="Times New Roman" w:cs="Times New Roman" w:eastAsia="Times New Roman" w:hAnsi="Times New Roman"/>
                <w:sz w:val="18"/>
                <w:szCs w:val="18"/>
                <w:b w:val="1"/>
                <w:bCs w:val="1"/>
                <w:color w:val="auto"/>
                <w:w w:val="99"/>
              </w:rPr>
              <w:t>NAME OF REPORTING PERSONS</w:t>
            </w:r>
          </w:p>
        </w:tc>
        <w:tc>
          <w:tcPr>
            <w:tcW w:w="310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James Tananbaum</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2</w:t>
            </w:r>
          </w:p>
        </w:tc>
        <w:tc>
          <w:tcPr>
            <w:tcW w:w="7420" w:type="dxa"/>
            <w:vAlign w:val="bottom"/>
            <w:gridSpan w:val="3"/>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2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3</w:t>
            </w: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31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4</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SOURCE OF FUNDS</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AF</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5</w:t>
            </w:r>
          </w:p>
        </w:tc>
        <w:tc>
          <w:tcPr>
            <w:tcW w:w="10380" w:type="dxa"/>
            <w:vAlign w:val="bottom"/>
            <w:gridSpan w:val="4"/>
          </w:tcPr>
          <w:p>
            <w:pPr>
              <w:ind w:left="1460"/>
              <w:spacing w:after="0" w:line="169" w:lineRule="exact"/>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ITEMS 2(d) or</w:t>
            </w:r>
          </w:p>
        </w:tc>
        <w:tc>
          <w:tcPr>
            <w:tcW w:w="0" w:type="dxa"/>
            <w:vAlign w:val="bottom"/>
          </w:tcPr>
          <w:p>
            <w:pPr>
              <w:spacing w:after="0"/>
              <w:rPr>
                <w:sz w:val="1"/>
                <w:szCs w:val="1"/>
                <w:color w:val="auto"/>
              </w:rPr>
            </w:pPr>
          </w:p>
        </w:tc>
      </w:tr>
      <w:tr>
        <w:trPr>
          <w:trHeight w:val="270"/>
        </w:trPr>
        <w:tc>
          <w:tcPr>
            <w:tcW w:w="860" w:type="dxa"/>
            <w:vAlign w:val="bottom"/>
            <w:tcBorders>
              <w:bottom w:val="single" w:sz="8" w:color="auto"/>
            </w:tcBorders>
          </w:tcPr>
          <w:p>
            <w:pPr>
              <w:spacing w:after="0"/>
              <w:rPr>
                <w:sz w:val="23"/>
                <w:szCs w:val="23"/>
                <w:color w:val="auto"/>
              </w:rPr>
            </w:pPr>
          </w:p>
        </w:tc>
        <w:tc>
          <w:tcPr>
            <w:tcW w:w="4320" w:type="dxa"/>
            <w:vAlign w:val="bottom"/>
            <w:tcBorders>
              <w:bottom w:val="single" w:sz="8" w:color="auto"/>
            </w:tcBorders>
            <w:gridSpan w:val="2"/>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2(e) </w:t>
            </w:r>
            <w:r>
              <w:rPr>
                <w:rFonts w:ascii="MS PGothic" w:cs="MS PGothic" w:eastAsia="MS PGothic" w:hAnsi="MS PGothic"/>
                <w:sz w:val="18"/>
                <w:szCs w:val="18"/>
                <w:color w:val="auto"/>
              </w:rPr>
              <w:t>☐</w:t>
            </w:r>
          </w:p>
        </w:tc>
        <w:tc>
          <w:tcPr>
            <w:tcW w:w="3100" w:type="dxa"/>
            <w:vAlign w:val="bottom"/>
            <w:tcBorders>
              <w:bottom w:val="single" w:sz="8" w:color="auto"/>
            </w:tcBorders>
          </w:tcPr>
          <w:p>
            <w:pPr>
              <w:spacing w:after="0"/>
              <w:rPr>
                <w:sz w:val="23"/>
                <w:szCs w:val="23"/>
                <w:color w:val="auto"/>
              </w:rPr>
            </w:pPr>
          </w:p>
        </w:tc>
        <w:tc>
          <w:tcPr>
            <w:tcW w:w="29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6</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2"/>
          </w:tcPr>
          <w:p>
            <w:pPr>
              <w:ind w:left="1460"/>
              <w:spacing w:after="0"/>
              <w:rPr>
                <w:sz w:val="20"/>
                <w:szCs w:val="20"/>
                <w:color w:val="auto"/>
              </w:rPr>
            </w:pPr>
            <w:r>
              <w:rPr>
                <w:rFonts w:ascii="Times New Roman" w:cs="Times New Roman" w:eastAsia="Times New Roman" w:hAnsi="Times New Roman"/>
                <w:sz w:val="18"/>
                <w:szCs w:val="18"/>
                <w:color w:val="auto"/>
              </w:rPr>
              <w:t>Delaware</w:t>
            </w: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7</w:t>
            </w:r>
          </w:p>
        </w:tc>
        <w:tc>
          <w:tcPr>
            <w:tcW w:w="2960" w:type="dxa"/>
            <w:vAlign w:val="bottom"/>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SOLE VOTING POWER</w:t>
            </w:r>
          </w:p>
        </w:tc>
        <w:tc>
          <w:tcPr>
            <w:tcW w:w="0" w:type="dxa"/>
            <w:vAlign w:val="bottom"/>
          </w:tcPr>
          <w:p>
            <w:pPr>
              <w:spacing w:after="0"/>
              <w:rPr>
                <w:sz w:val="1"/>
                <w:szCs w:val="1"/>
                <w:color w:val="auto"/>
              </w:rPr>
            </w:pPr>
          </w:p>
        </w:tc>
      </w:tr>
      <w:tr>
        <w:trPr>
          <w:trHeight w:val="241"/>
        </w:trPr>
        <w:tc>
          <w:tcPr>
            <w:tcW w:w="860" w:type="dxa"/>
            <w:vAlign w:val="bottom"/>
          </w:tcPr>
          <w:p>
            <w:pPr>
              <w:spacing w:after="0"/>
              <w:rPr>
                <w:sz w:val="20"/>
                <w:szCs w:val="20"/>
                <w:color w:val="auto"/>
              </w:rPr>
            </w:pPr>
          </w:p>
        </w:tc>
        <w:tc>
          <w:tcPr>
            <w:tcW w:w="3780" w:type="dxa"/>
            <w:vAlign w:val="bottom"/>
            <w:vMerge w:val="restart"/>
          </w:tcPr>
          <w:p>
            <w:pPr>
              <w:jc w:val="center"/>
              <w:ind w:right="75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37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100" w:type="dxa"/>
            <w:vAlign w:val="bottom"/>
            <w:vMerge w:val="restart"/>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8</w:t>
            </w:r>
          </w:p>
        </w:tc>
        <w:tc>
          <w:tcPr>
            <w:tcW w:w="2960" w:type="dxa"/>
            <w:vAlign w:val="bottom"/>
            <w:vMerge w:val="restart"/>
          </w:tcPr>
          <w:p>
            <w:pPr>
              <w:ind w:left="580"/>
              <w:spacing w:after="0" w:line="198"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0" w:type="dxa"/>
            <w:vAlign w:val="bottom"/>
          </w:tcPr>
          <w:p>
            <w:pPr>
              <w:spacing w:after="0"/>
              <w:rPr>
                <w:sz w:val="1"/>
                <w:szCs w:val="1"/>
                <w:color w:val="auto"/>
              </w:rPr>
            </w:pPr>
          </w:p>
        </w:tc>
      </w:tr>
      <w:tr>
        <w:trPr>
          <w:trHeight w:val="99"/>
        </w:trPr>
        <w:tc>
          <w:tcPr>
            <w:tcW w:w="860" w:type="dxa"/>
            <w:vAlign w:val="bottom"/>
          </w:tcPr>
          <w:p>
            <w:pPr>
              <w:spacing w:after="0"/>
              <w:rPr>
                <w:sz w:val="8"/>
                <w:szCs w:val="8"/>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3100" w:type="dxa"/>
            <w:vAlign w:val="bottom"/>
            <w:vMerge w:val="continue"/>
          </w:tcPr>
          <w:p>
            <w:pPr>
              <w:spacing w:after="0"/>
              <w:rPr>
                <w:sz w:val="8"/>
                <w:szCs w:val="8"/>
                <w:color w:val="auto"/>
              </w:rPr>
            </w:pPr>
          </w:p>
        </w:tc>
        <w:tc>
          <w:tcPr>
            <w:tcW w:w="2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860" w:type="dxa"/>
            <w:vAlign w:val="bottom"/>
          </w:tcPr>
          <w:p>
            <w:pPr>
              <w:spacing w:after="0"/>
              <w:rPr>
                <w:sz w:val="10"/>
                <w:szCs w:val="10"/>
                <w:color w:val="auto"/>
              </w:rPr>
            </w:pPr>
          </w:p>
        </w:tc>
        <w:tc>
          <w:tcPr>
            <w:tcW w:w="4320" w:type="dxa"/>
            <w:vAlign w:val="bottom"/>
            <w:gridSpan w:val="2"/>
            <w:vMerge w:val="continue"/>
          </w:tcPr>
          <w:p>
            <w:pPr>
              <w:spacing w:after="0"/>
              <w:rPr>
                <w:sz w:val="10"/>
                <w:szCs w:val="10"/>
                <w:color w:val="auto"/>
              </w:rPr>
            </w:pPr>
          </w:p>
        </w:tc>
        <w:tc>
          <w:tcPr>
            <w:tcW w:w="3100" w:type="dxa"/>
            <w:vAlign w:val="bottom"/>
          </w:tcPr>
          <w:p>
            <w:pPr>
              <w:spacing w:after="0"/>
              <w:rPr>
                <w:sz w:val="10"/>
                <w:szCs w:val="10"/>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124"/>
        </w:trPr>
        <w:tc>
          <w:tcPr>
            <w:tcW w:w="860" w:type="dxa"/>
            <w:vAlign w:val="bottom"/>
          </w:tcPr>
          <w:p>
            <w:pPr>
              <w:spacing w:after="0"/>
              <w:rPr>
                <w:sz w:val="10"/>
                <w:szCs w:val="10"/>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BENEFICIALLY</w:t>
            </w:r>
          </w:p>
        </w:tc>
        <w:tc>
          <w:tcPr>
            <w:tcW w:w="540" w:type="dxa"/>
            <w:vAlign w:val="bottom"/>
            <w:tcBorders>
              <w:bottom w:val="single" w:sz="8" w:color="auto"/>
            </w:tcBorders>
          </w:tcPr>
          <w:p>
            <w:pPr>
              <w:spacing w:after="0"/>
              <w:rPr>
                <w:sz w:val="10"/>
                <w:szCs w:val="10"/>
                <w:color w:val="auto"/>
              </w:rPr>
            </w:pPr>
          </w:p>
        </w:tc>
        <w:tc>
          <w:tcPr>
            <w:tcW w:w="3100" w:type="dxa"/>
            <w:vAlign w:val="bottom"/>
            <w:tcBorders>
              <w:bottom w:val="single" w:sz="8" w:color="auto"/>
            </w:tcBorders>
          </w:tcPr>
          <w:p>
            <w:pPr>
              <w:spacing w:after="0"/>
              <w:rPr>
                <w:sz w:val="10"/>
                <w:szCs w:val="10"/>
                <w:color w:val="auto"/>
              </w:rPr>
            </w:pPr>
          </w:p>
        </w:tc>
        <w:tc>
          <w:tcPr>
            <w:tcW w:w="296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860" w:type="dxa"/>
            <w:vAlign w:val="bottom"/>
          </w:tcPr>
          <w:p>
            <w:pPr>
              <w:spacing w:after="0"/>
              <w:rPr>
                <w:sz w:val="6"/>
                <w:szCs w:val="6"/>
                <w:color w:val="auto"/>
              </w:rPr>
            </w:pPr>
          </w:p>
        </w:tc>
        <w:tc>
          <w:tcPr>
            <w:tcW w:w="37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9</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SOLE DISPOSITIVE</w:t>
            </w: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rPr>
              <w:t>OWNED BY</w:t>
            </w:r>
          </w:p>
        </w:tc>
        <w:tc>
          <w:tcPr>
            <w:tcW w:w="3100" w:type="dxa"/>
            <w:vAlign w:val="bottom"/>
            <w:vMerge w:val="continue"/>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860" w:type="dxa"/>
            <w:vAlign w:val="bottom"/>
          </w:tcPr>
          <w:p>
            <w:pPr>
              <w:spacing w:after="0"/>
              <w:rPr>
                <w:sz w:val="8"/>
                <w:szCs w:val="8"/>
                <w:color w:val="auto"/>
              </w:rPr>
            </w:pPr>
          </w:p>
        </w:tc>
        <w:tc>
          <w:tcPr>
            <w:tcW w:w="4320" w:type="dxa"/>
            <w:vAlign w:val="bottom"/>
            <w:gridSpan w:val="2"/>
            <w:vMerge w:val="continue"/>
          </w:tcPr>
          <w:p>
            <w:pPr>
              <w:spacing w:after="0"/>
              <w:rPr>
                <w:sz w:val="8"/>
                <w:szCs w:val="8"/>
                <w:color w:val="auto"/>
              </w:rPr>
            </w:pPr>
          </w:p>
        </w:tc>
        <w:tc>
          <w:tcPr>
            <w:tcW w:w="3100" w:type="dxa"/>
            <w:vAlign w:val="bottom"/>
          </w:tcPr>
          <w:p>
            <w:pPr>
              <w:spacing w:after="0"/>
              <w:rPr>
                <w:sz w:val="8"/>
                <w:szCs w:val="8"/>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25"/>
        </w:trPr>
        <w:tc>
          <w:tcPr>
            <w:tcW w:w="860" w:type="dxa"/>
            <w:vAlign w:val="bottom"/>
          </w:tcPr>
          <w:p>
            <w:pPr>
              <w:spacing w:after="0"/>
              <w:rPr>
                <w:sz w:val="10"/>
                <w:szCs w:val="10"/>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9"/>
              </w:rPr>
              <w:t>EACH REPORTING</w:t>
            </w:r>
          </w:p>
        </w:tc>
        <w:tc>
          <w:tcPr>
            <w:tcW w:w="3100" w:type="dxa"/>
            <w:vAlign w:val="bottom"/>
          </w:tcPr>
          <w:p>
            <w:pPr>
              <w:spacing w:after="0"/>
              <w:rPr>
                <w:sz w:val="10"/>
                <w:szCs w:val="10"/>
                <w:color w:val="auto"/>
              </w:rPr>
            </w:pPr>
          </w:p>
        </w:tc>
        <w:tc>
          <w:tcPr>
            <w:tcW w:w="29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51"/>
        </w:trPr>
        <w:tc>
          <w:tcPr>
            <w:tcW w:w="860" w:type="dxa"/>
            <w:vAlign w:val="bottom"/>
          </w:tcPr>
          <w:p>
            <w:pPr>
              <w:spacing w:after="0"/>
              <w:rPr>
                <w:sz w:val="13"/>
                <w:szCs w:val="13"/>
                <w:color w:val="auto"/>
              </w:rPr>
            </w:pPr>
          </w:p>
        </w:tc>
        <w:tc>
          <w:tcPr>
            <w:tcW w:w="3780" w:type="dxa"/>
            <w:vAlign w:val="bottom"/>
            <w:vMerge w:val="restart"/>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8"/>
              </w:rPr>
              <w:t>PERSON</w:t>
            </w:r>
          </w:p>
        </w:tc>
        <w:tc>
          <w:tcPr>
            <w:tcW w:w="5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spacing w:after="0"/>
              <w:rPr>
                <w:sz w:val="13"/>
                <w:szCs w:val="13"/>
                <w:color w:val="auto"/>
              </w:rPr>
            </w:pPr>
          </w:p>
        </w:tc>
        <w:tc>
          <w:tcPr>
            <w:tcW w:w="296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60" w:type="dxa"/>
            <w:vAlign w:val="bottom"/>
          </w:tcPr>
          <w:p>
            <w:pPr>
              <w:spacing w:after="0"/>
              <w:rPr>
                <w:sz w:val="3"/>
                <w:szCs w:val="3"/>
                <w:color w:val="auto"/>
              </w:rPr>
            </w:pPr>
          </w:p>
        </w:tc>
        <w:tc>
          <w:tcPr>
            <w:tcW w:w="37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100" w:type="dxa"/>
            <w:vAlign w:val="bottom"/>
            <w:vMerge w:val="restart"/>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10</w:t>
            </w:r>
          </w:p>
        </w:tc>
        <w:tc>
          <w:tcPr>
            <w:tcW w:w="2960" w:type="dxa"/>
            <w:vAlign w:val="bottom"/>
            <w:vMerge w:val="restart"/>
          </w:tcPr>
          <w:p>
            <w:pPr>
              <w:ind w:left="580"/>
              <w:spacing w:after="0" w:line="194" w:lineRule="exact"/>
              <w:rPr>
                <w:sz w:val="20"/>
                <w:szCs w:val="20"/>
                <w:color w:val="auto"/>
              </w:rPr>
            </w:pPr>
            <w:r>
              <w:rPr>
                <w:rFonts w:ascii="Times New Roman" w:cs="Times New Roman" w:eastAsia="Times New Roman" w:hAnsi="Times New Roman"/>
                <w:sz w:val="18"/>
                <w:szCs w:val="18"/>
                <w:b w:val="1"/>
                <w:bCs w:val="1"/>
                <w:color w:val="auto"/>
              </w:rPr>
              <w:t>SHARED DISPOSITIVE</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4320" w:type="dxa"/>
            <w:vAlign w:val="bottom"/>
            <w:gridSpan w:val="2"/>
            <w:vMerge w:val="restart"/>
          </w:tcPr>
          <w:p>
            <w:pPr>
              <w:jc w:val="center"/>
              <w:ind w:right="1400"/>
              <w:spacing w:after="0"/>
              <w:rPr>
                <w:sz w:val="20"/>
                <w:szCs w:val="20"/>
                <w:color w:val="auto"/>
              </w:rPr>
            </w:pPr>
            <w:r>
              <w:rPr>
                <w:rFonts w:ascii="Times New Roman" w:cs="Times New Roman" w:eastAsia="Times New Roman" w:hAnsi="Times New Roman"/>
                <w:sz w:val="18"/>
                <w:szCs w:val="18"/>
                <w:b w:val="1"/>
                <w:bCs w:val="1"/>
                <w:color w:val="auto"/>
                <w:w w:val="98"/>
              </w:rPr>
              <w:t>WITH:</w:t>
            </w:r>
          </w:p>
        </w:tc>
        <w:tc>
          <w:tcPr>
            <w:tcW w:w="3100" w:type="dxa"/>
            <w:vAlign w:val="bottom"/>
            <w:vMerge w:val="continue"/>
          </w:tcPr>
          <w:p>
            <w:pPr>
              <w:spacing w:after="0"/>
              <w:rPr>
                <w:sz w:val="12"/>
                <w:szCs w:val="12"/>
                <w:color w:val="auto"/>
              </w:rPr>
            </w:pPr>
          </w:p>
        </w:tc>
        <w:tc>
          <w:tcPr>
            <w:tcW w:w="2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0"/>
        </w:trPr>
        <w:tc>
          <w:tcPr>
            <w:tcW w:w="860" w:type="dxa"/>
            <w:vAlign w:val="bottom"/>
          </w:tcPr>
          <w:p>
            <w:pPr>
              <w:spacing w:after="0"/>
              <w:rPr>
                <w:sz w:val="7"/>
                <w:szCs w:val="7"/>
                <w:color w:val="auto"/>
              </w:rPr>
            </w:pPr>
          </w:p>
        </w:tc>
        <w:tc>
          <w:tcPr>
            <w:tcW w:w="4320" w:type="dxa"/>
            <w:vAlign w:val="bottom"/>
            <w:gridSpan w:val="2"/>
            <w:vMerge w:val="continue"/>
          </w:tcPr>
          <w:p>
            <w:pPr>
              <w:spacing w:after="0"/>
              <w:rPr>
                <w:sz w:val="7"/>
                <w:szCs w:val="7"/>
                <w:color w:val="auto"/>
              </w:rPr>
            </w:pPr>
          </w:p>
        </w:tc>
        <w:tc>
          <w:tcPr>
            <w:tcW w:w="3100" w:type="dxa"/>
            <w:vAlign w:val="bottom"/>
          </w:tcPr>
          <w:p>
            <w:pPr>
              <w:spacing w:after="0"/>
              <w:rPr>
                <w:sz w:val="7"/>
                <w:szCs w:val="7"/>
                <w:color w:val="auto"/>
              </w:rPr>
            </w:pPr>
          </w:p>
        </w:tc>
        <w:tc>
          <w:tcPr>
            <w:tcW w:w="296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POWER</w:t>
            </w:r>
          </w:p>
        </w:tc>
        <w:tc>
          <w:tcPr>
            <w:tcW w:w="0" w:type="dxa"/>
            <w:vAlign w:val="bottom"/>
          </w:tcPr>
          <w:p>
            <w:pPr>
              <w:spacing w:after="0"/>
              <w:rPr>
                <w:sz w:val="1"/>
                <w:szCs w:val="1"/>
                <w:color w:val="auto"/>
              </w:rPr>
            </w:pPr>
          </w:p>
        </w:tc>
      </w:tr>
      <w:tr>
        <w:trPr>
          <w:trHeight w:val="130"/>
        </w:trPr>
        <w:tc>
          <w:tcPr>
            <w:tcW w:w="860" w:type="dxa"/>
            <w:vAlign w:val="bottom"/>
          </w:tcPr>
          <w:p>
            <w:pPr>
              <w:spacing w:after="0"/>
              <w:rPr>
                <w:sz w:val="11"/>
                <w:szCs w:val="11"/>
                <w:color w:val="auto"/>
              </w:rPr>
            </w:pPr>
          </w:p>
        </w:tc>
        <w:tc>
          <w:tcPr>
            <w:tcW w:w="3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6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296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4,870,250</w:t>
            </w:r>
          </w:p>
        </w:tc>
        <w:tc>
          <w:tcPr>
            <w:tcW w:w="0" w:type="dxa"/>
            <w:vAlign w:val="bottom"/>
          </w:tcPr>
          <w:p>
            <w:pPr>
              <w:spacing w:after="0"/>
              <w:rPr>
                <w:sz w:val="1"/>
                <w:szCs w:val="1"/>
                <w:color w:val="auto"/>
              </w:rPr>
            </w:pPr>
          </w:p>
        </w:tc>
      </w:tr>
      <w:tr>
        <w:trPr>
          <w:trHeight w:val="220"/>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11</w:t>
            </w:r>
          </w:p>
        </w:tc>
        <w:tc>
          <w:tcPr>
            <w:tcW w:w="10380" w:type="dxa"/>
            <w:vAlign w:val="bottom"/>
            <w:gridSpan w:val="4"/>
          </w:tcPr>
          <w:p>
            <w:pPr>
              <w:ind w:left="146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4,870,250</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12</w:t>
            </w:r>
          </w:p>
        </w:tc>
        <w:tc>
          <w:tcPr>
            <w:tcW w:w="10380" w:type="dxa"/>
            <w:vAlign w:val="bottom"/>
            <w:tcBorders>
              <w:bottom w:val="single" w:sz="8" w:color="auto"/>
            </w:tcBorders>
            <w:gridSpan w:val="4"/>
          </w:tcPr>
          <w:p>
            <w:pPr>
              <w:ind w:left="1460"/>
              <w:spacing w:after="0" w:line="207" w:lineRule="exact"/>
              <w:rPr>
                <w:sz w:val="20"/>
                <w:szCs w:val="20"/>
                <w:color w:val="auto"/>
              </w:rPr>
            </w:pPr>
            <w:r>
              <w:rPr>
                <w:rFonts w:ascii="Times New Roman" w:cs="Times New Roman" w:eastAsia="Times New Roman" w:hAnsi="Times New Roman"/>
                <w:sz w:val="18"/>
                <w:szCs w:val="18"/>
                <w:b w:val="1"/>
                <w:bCs w:val="1"/>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13</w:t>
            </w:r>
          </w:p>
        </w:tc>
        <w:tc>
          <w:tcPr>
            <w:tcW w:w="7420" w:type="dxa"/>
            <w:vAlign w:val="bottom"/>
            <w:gridSpan w:val="3"/>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60" w:type="dxa"/>
            <w:vAlign w:val="bottom"/>
            <w:tcBorders>
              <w:bottom w:val="single" w:sz="8" w:color="auto"/>
            </w:tcBorders>
          </w:tcPr>
          <w:p>
            <w:pPr>
              <w:spacing w:after="0"/>
              <w:rPr>
                <w:sz w:val="20"/>
                <w:szCs w:val="20"/>
                <w:color w:val="auto"/>
              </w:rPr>
            </w:pPr>
          </w:p>
        </w:tc>
        <w:tc>
          <w:tcPr>
            <w:tcW w:w="3780" w:type="dxa"/>
            <w:vAlign w:val="bottom"/>
            <w:tcBorders>
              <w:bottom w:val="single" w:sz="8" w:color="auto"/>
            </w:tcBorders>
          </w:tcPr>
          <w:p>
            <w:pPr>
              <w:ind w:left="1460"/>
              <w:spacing w:after="0"/>
              <w:rPr>
                <w:sz w:val="20"/>
                <w:szCs w:val="20"/>
                <w:color w:val="auto"/>
              </w:rPr>
            </w:pPr>
            <w:r>
              <w:rPr>
                <w:rFonts w:ascii="Times New Roman" w:cs="Times New Roman" w:eastAsia="Times New Roman" w:hAnsi="Times New Roman"/>
                <w:sz w:val="18"/>
                <w:szCs w:val="18"/>
                <w:color w:val="auto"/>
              </w:rPr>
              <w:t>11.26%*</w:t>
            </w:r>
          </w:p>
        </w:tc>
        <w:tc>
          <w:tcPr>
            <w:tcW w:w="54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w:t>
            </w:r>
          </w:p>
        </w:tc>
        <w:tc>
          <w:tcPr>
            <w:tcW w:w="4320" w:type="dxa"/>
            <w:vAlign w:val="bottom"/>
            <w:gridSpan w:val="2"/>
          </w:tcPr>
          <w:p>
            <w:pPr>
              <w:ind w:left="1460"/>
              <w:spacing w:after="0" w:line="198" w:lineRule="exact"/>
              <w:rPr>
                <w:sz w:val="20"/>
                <w:szCs w:val="20"/>
                <w:color w:val="auto"/>
              </w:rPr>
            </w:pPr>
            <w:r>
              <w:rPr>
                <w:rFonts w:ascii="Times New Roman" w:cs="Times New Roman" w:eastAsia="Times New Roman" w:hAnsi="Times New Roman"/>
                <w:sz w:val="18"/>
                <w:szCs w:val="18"/>
                <w:b w:val="1"/>
                <w:bCs w:val="1"/>
                <w:color w:val="auto"/>
              </w:rPr>
              <w:t>TYPE OF REPORTING PERSON</w:t>
            </w:r>
          </w:p>
        </w:tc>
        <w:tc>
          <w:tcPr>
            <w:tcW w:w="31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43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IN</w:t>
            </w:r>
          </w:p>
        </w:tc>
        <w:tc>
          <w:tcPr>
            <w:tcW w:w="31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360" w:right="1200" w:hanging="1352"/>
        <w:spacing w:after="0" w:line="282" w:lineRule="auto"/>
        <w:tabs>
          <w:tab w:leader="none" w:pos="13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is calculated based on 43,244,453 shares of the Common Stock of the Issuer outstanding as of August 5, 2022, as reported by the Issuer in the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225425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SCHEDULE 13D</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This Amendment No. 1 (the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amends and supplements the statement on Schedule 13D filed on February 12, 2021 (the “</w:t>
      </w:r>
      <w:r>
        <w:rPr>
          <w:rFonts w:ascii="Times New Roman" w:cs="Times New Roman" w:eastAsia="Times New Roman" w:hAnsi="Times New Roman"/>
          <w:sz w:val="18"/>
          <w:szCs w:val="18"/>
          <w:b w:val="1"/>
          <w:bCs w:val="1"/>
          <w:color w:val="auto"/>
        </w:rPr>
        <w:t>Schedule 13D</w:t>
      </w:r>
      <w:r>
        <w:rPr>
          <w:rFonts w:ascii="Times New Roman" w:cs="Times New Roman" w:eastAsia="Times New Roman" w:hAnsi="Times New Roman"/>
          <w:sz w:val="18"/>
          <w:szCs w:val="18"/>
          <w:color w:val="auto"/>
        </w:rPr>
        <w:t>”) with the Securities and Exchange Commission relating to the Common Stock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Gemini Therapeutics, Inc. (“</w:t>
      </w:r>
      <w:r>
        <w:rPr>
          <w:rFonts w:ascii="Times New Roman" w:cs="Times New Roman" w:eastAsia="Times New Roman" w:hAnsi="Times New Roman"/>
          <w:sz w:val="18"/>
          <w:szCs w:val="18"/>
          <w:b w:val="1"/>
          <w:bCs w:val="1"/>
          <w:color w:val="auto"/>
        </w:rPr>
        <w:t>Gemini</w:t>
      </w:r>
      <w:r>
        <w:rPr>
          <w:rFonts w:ascii="Times New Roman" w:cs="Times New Roman" w:eastAsia="Times New Roman" w:hAnsi="Times New Roman"/>
          <w:sz w:val="18"/>
          <w:szCs w:val="18"/>
          <w:color w:val="auto"/>
        </w:rPr>
        <w:t>”), by FS Development Holdings, LLC (“</w:t>
      </w:r>
      <w:r>
        <w:rPr>
          <w:rFonts w:ascii="Times New Roman" w:cs="Times New Roman" w:eastAsia="Times New Roman" w:hAnsi="Times New Roman"/>
          <w:sz w:val="18"/>
          <w:szCs w:val="18"/>
          <w:b w:val="1"/>
          <w:bCs w:val="1"/>
          <w:color w:val="auto"/>
        </w:rPr>
        <w:t>FSDH</w:t>
      </w:r>
      <w:r>
        <w:rPr>
          <w:rFonts w:ascii="Times New Roman" w:cs="Times New Roman" w:eastAsia="Times New Roman" w:hAnsi="Times New Roman"/>
          <w:sz w:val="18"/>
          <w:szCs w:val="18"/>
          <w:color w:val="auto"/>
        </w:rPr>
        <w:t>”), Foresite Capital Fund V, L.P. (“</w:t>
      </w:r>
      <w:r>
        <w:rPr>
          <w:rFonts w:ascii="Times New Roman" w:cs="Times New Roman" w:eastAsia="Times New Roman" w:hAnsi="Times New Roman"/>
          <w:sz w:val="18"/>
          <w:szCs w:val="18"/>
          <w:b w:val="1"/>
          <w:bCs w:val="1"/>
          <w:color w:val="auto"/>
        </w:rPr>
        <w:t>FCF V</w:t>
      </w:r>
      <w:r>
        <w:rPr>
          <w:rFonts w:ascii="Times New Roman" w:cs="Times New Roman" w:eastAsia="Times New Roman" w:hAnsi="Times New Roman"/>
          <w:sz w:val="18"/>
          <w:szCs w:val="18"/>
          <w:color w:val="auto"/>
        </w:rPr>
        <w:t>”), Foresite Capital Management V, LLC (“</w:t>
      </w:r>
      <w:r>
        <w:rPr>
          <w:rFonts w:ascii="Times New Roman" w:cs="Times New Roman" w:eastAsia="Times New Roman" w:hAnsi="Times New Roman"/>
          <w:sz w:val="18"/>
          <w:szCs w:val="18"/>
          <w:b w:val="1"/>
          <w:bCs w:val="1"/>
          <w:color w:val="auto"/>
        </w:rPr>
        <w:t>FCM V LLC</w:t>
      </w:r>
      <w:r>
        <w:rPr>
          <w:rFonts w:ascii="Times New Roman" w:cs="Times New Roman" w:eastAsia="Times New Roman" w:hAnsi="Times New Roman"/>
          <w:sz w:val="18"/>
          <w:szCs w:val="18"/>
          <w:color w:val="auto"/>
        </w:rPr>
        <w:t>”), Foresite Capital Opportunity Fund V, L.P. (“</w:t>
      </w:r>
      <w:r>
        <w:rPr>
          <w:rFonts w:ascii="Times New Roman" w:cs="Times New Roman" w:eastAsia="Times New Roman" w:hAnsi="Times New Roman"/>
          <w:sz w:val="18"/>
          <w:szCs w:val="18"/>
          <w:b w:val="1"/>
          <w:bCs w:val="1"/>
          <w:color w:val="auto"/>
        </w:rPr>
        <w:t>FCOF V</w:t>
      </w:r>
      <w:r>
        <w:rPr>
          <w:rFonts w:ascii="Times New Roman" w:cs="Times New Roman" w:eastAsia="Times New Roman" w:hAnsi="Times New Roman"/>
          <w:sz w:val="18"/>
          <w:szCs w:val="18"/>
          <w:color w:val="auto"/>
        </w:rPr>
        <w:t>”), Foresite Capital Opportunity Management V, LLC (“</w:t>
      </w:r>
      <w:r>
        <w:rPr>
          <w:rFonts w:ascii="Times New Roman" w:cs="Times New Roman" w:eastAsia="Times New Roman" w:hAnsi="Times New Roman"/>
          <w:sz w:val="18"/>
          <w:szCs w:val="18"/>
          <w:b w:val="1"/>
          <w:bCs w:val="1"/>
          <w:color w:val="auto"/>
        </w:rPr>
        <w:t>FCOM V LLC</w:t>
      </w:r>
      <w:r>
        <w:rPr>
          <w:rFonts w:ascii="Times New Roman" w:cs="Times New Roman" w:eastAsia="Times New Roman" w:hAnsi="Times New Roman"/>
          <w:sz w:val="18"/>
          <w:szCs w:val="18"/>
          <w:color w:val="auto"/>
        </w:rPr>
        <w:t>”) and Dr. James Tananbaum (and together with FSDH, FCF V, FCM V LLC, FCOF V, and FCOM V LLC, the “</w:t>
      </w:r>
      <w:r>
        <w:rPr>
          <w:rFonts w:ascii="Times New Roman" w:cs="Times New Roman" w:eastAsia="Times New Roman" w:hAnsi="Times New Roman"/>
          <w:sz w:val="18"/>
          <w:szCs w:val="18"/>
          <w:b w:val="1"/>
          <w:bCs w:val="1"/>
          <w:color w:val="auto"/>
        </w:rPr>
        <w:t>Reporting Persons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Except as specifically provided herein, this Amendment does not modify any of the information previously reported on the Schedule 13D. Capitalized terms used but not defined herein shall have the same meanings as are ascribed to them in the Schedule 13D, as applicable.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Items of the Schedule 13D are hereby amended as follows:</w:t>
      </w:r>
    </w:p>
    <w:p>
      <w:pPr>
        <w:spacing w:after="0" w:line="221"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PURPOSE OF THE TRANSACTION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Item 4 of Schedule 13D is amended to add the following: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Support Agreement and Lock-Up Agreement</w:t>
      </w:r>
    </w:p>
    <w:p>
      <w:pPr>
        <w:spacing w:after="0" w:line="11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previously disclosed by the Issuer, on August 9, 2022, Gemini, Gemstone Merger Sub, Inc.,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Disc Medicine, Inc. (“</w:t>
      </w:r>
      <w:r>
        <w:rPr>
          <w:rFonts w:ascii="Times New Roman" w:cs="Times New Roman" w:eastAsia="Times New Roman" w:hAnsi="Times New Roman"/>
          <w:sz w:val="18"/>
          <w:szCs w:val="18"/>
          <w:b w:val="1"/>
          <w:bCs w:val="1"/>
          <w:color w:val="auto"/>
        </w:rPr>
        <w:t>Disc</w:t>
      </w:r>
      <w:r>
        <w:rPr>
          <w:rFonts w:ascii="Times New Roman" w:cs="Times New Roman" w:eastAsia="Times New Roman" w:hAnsi="Times New Roman"/>
          <w:sz w:val="18"/>
          <w:szCs w:val="18"/>
          <w:color w:val="auto"/>
        </w:rPr>
        <w:t>”), entered into an Agreement and Plan of Merger and Reorganization (the “</w:t>
      </w:r>
      <w:r>
        <w:rPr>
          <w:rFonts w:ascii="Times New Roman" w:cs="Times New Roman" w:eastAsia="Times New Roman" w:hAnsi="Times New Roman"/>
          <w:sz w:val="18"/>
          <w:szCs w:val="18"/>
          <w:b w:val="1"/>
          <w:bCs w:val="1"/>
          <w:color w:val="auto"/>
        </w:rPr>
        <w:t>Merger Agreement</w:t>
      </w:r>
      <w:r>
        <w:rPr>
          <w:rFonts w:ascii="Times New Roman" w:cs="Times New Roman" w:eastAsia="Times New Roman" w:hAnsi="Times New Roman"/>
          <w:sz w:val="18"/>
          <w:szCs w:val="18"/>
          <w:color w:val="auto"/>
        </w:rPr>
        <w:t>”), pursuant to which, among other matters, and subject to the satisfaction or waiver of the conditions set forth in the Merger Agreement, Merger Sub will merge with and into Disc, with Disc continuing as a wholly owned subsidiary of Gemini and the surviving corporation of the merger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In connection with the Merger, Gemini will seek the approval of its stockholders to, among other things, (a) issue the shares of Gemini common stock issuable in connection with the Merger under the rules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and (b) amend its certificate of incorporation to effect a reverse split of Gemini common stock, as determined by the Gemini board of directors prior to the closing of the Merger (the “</w:t>
      </w:r>
      <w:r>
        <w:rPr>
          <w:rFonts w:ascii="Times New Roman" w:cs="Times New Roman" w:eastAsia="Times New Roman" w:hAnsi="Times New Roman"/>
          <w:sz w:val="18"/>
          <w:szCs w:val="18"/>
          <w:b w:val="1"/>
          <w:bCs w:val="1"/>
          <w:color w:val="auto"/>
        </w:rPr>
        <w:t>Gemini Voting Proposals</w:t>
      </w:r>
      <w:r>
        <w:rPr>
          <w:rFonts w:ascii="Times New Roman" w:cs="Times New Roman" w:eastAsia="Times New Roman" w:hAnsi="Times New Roman"/>
          <w:sz w:val="18"/>
          <w:szCs w:val="18"/>
          <w:color w:val="auto"/>
        </w:rPr>
        <w:t>”). FSDH has entered into support agreements with Gemini and Disc to vote all of its shares of Gemini common stock in favor of the Gemini Voting Proposals and against any alternative acquisition proposals (the “</w:t>
      </w:r>
      <w:r>
        <w:rPr>
          <w:rFonts w:ascii="Times New Roman" w:cs="Times New Roman" w:eastAsia="Times New Roman" w:hAnsi="Times New Roman"/>
          <w:sz w:val="18"/>
          <w:szCs w:val="18"/>
          <w:b w:val="1"/>
          <w:bCs w:val="1"/>
          <w:color w:val="auto"/>
        </w:rPr>
        <w:t>Gemini Support Agreements</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Concurrently with the execution of the Merger Agreement, Dr. Tananbaum, as a director of Gemini, has entered into a lock-up agreement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 pursuant to which, subject to specified exceptions, Dr. Tananbaum agreed not to transfer his shares of Gemini common stock for the 180-day period following the closing of the Merger.</w:t>
      </w:r>
    </w:p>
    <w:p>
      <w:pPr>
        <w:spacing w:after="0" w:line="67" w:lineRule="exact"/>
        <w:rPr>
          <w:sz w:val="20"/>
          <w:szCs w:val="20"/>
          <w:color w:val="auto"/>
        </w:rPr>
      </w:pPr>
    </w:p>
    <w:p>
      <w:pPr>
        <w:jc w:val="both"/>
        <w:spacing w:after="0" w:line="313" w:lineRule="auto"/>
        <w:rPr>
          <w:sz w:val="20"/>
          <w:szCs w:val="20"/>
          <w:color w:val="auto"/>
        </w:rPr>
      </w:pPr>
      <w:r>
        <w:rPr>
          <w:rFonts w:ascii="Times New Roman" w:cs="Times New Roman" w:eastAsia="Times New Roman" w:hAnsi="Times New Roman"/>
          <w:sz w:val="18"/>
          <w:szCs w:val="18"/>
          <w:color w:val="auto"/>
        </w:rPr>
        <w:t>The foregoing description of the Merger Agreement is not complete and is qualified in its entirety by the full text thereto, a copy of which is filed as Exhibit 2.1 to the Issuer’s Current Report on Form 8-K, filed with the Securities and Exchange Commission on August 10, 2022.</w:t>
      </w:r>
    </w:p>
    <w:p>
      <w:pPr>
        <w:spacing w:after="0" w:line="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Gemini Support Agreements and the Lock-Up Agreement do not purport to be complete and is qualified in its entirety by the terms of the Gemini Support Agreements and the Lock-Up Agreement, as applicable, copies of which are incorporated by reference as Exhibits 1 and 2 hereto and are incorporated herein by reference.</w:t>
      </w:r>
    </w:p>
    <w:p>
      <w:pPr>
        <w:spacing w:after="0" w:line="38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 OF SECURITIES OF THE ISSUER.</w:t>
      </w:r>
    </w:p>
    <w:p>
      <w:pPr>
        <w:spacing w:after="0" w:line="31" w:lineRule="exact"/>
        <w:rPr>
          <w:sz w:val="20"/>
          <w:szCs w:val="20"/>
          <w:color w:val="auto"/>
        </w:rPr>
      </w:pPr>
    </w:p>
    <w:p>
      <w:pPr>
        <w:ind w:left="260" w:hanging="252"/>
        <w:spacing w:after="0"/>
        <w:tabs>
          <w:tab w:leader="none" w:pos="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(b)</w:t>
      </w:r>
    </w:p>
    <w:p>
      <w:pPr>
        <w:spacing w:after="0" w:line="9" w:lineRule="exact"/>
        <w:rPr>
          <w:rFonts w:ascii="Times New Roman" w:cs="Times New Roman" w:eastAsia="Times New Roman" w:hAnsi="Times New Roman"/>
          <w:sz w:val="18"/>
          <w:szCs w:val="18"/>
          <w:color w:val="auto"/>
        </w:rPr>
      </w:pPr>
    </w:p>
    <w:p>
      <w:pPr>
        <w:ind w:left="900" w:hanging="460"/>
        <w:spacing w:after="0"/>
        <w:tabs>
          <w:tab w:leader="none" w:pos="90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hereof, FSDH beneficially owned directly 4,870,250 shares of Common Stock, representing 11.26% of the Issuer’s Common</w:t>
      </w:r>
    </w:p>
    <w:p>
      <w:pPr>
        <w:spacing w:after="0" w:line="207" w:lineRule="exact"/>
        <w:rPr>
          <w:sz w:val="20"/>
          <w:szCs w:val="20"/>
          <w:color w:val="auto"/>
        </w:rPr>
      </w:pPr>
    </w:p>
    <w:p>
      <w:pPr>
        <w:ind w:left="900" w:right="260" w:hanging="892"/>
        <w:spacing w:after="0" w:line="282" w:lineRule="auto"/>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the transactions described in Item 4 of this Amendment, none of the Reporting Persons has engaged in any transaction during the past 60 days involving the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ind w:left="1020" w:right="280" w:hanging="1011"/>
        <w:spacing w:after="0" w:line="263" w:lineRule="auto"/>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CONTRACTS, ARRANGEMENTS, UNDERSTANDINGS OR RELATIONSHIPS WITH RESPECT TO SECURITIES OF THE ISSUER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 4 hereof is hereby incorporated by reference into this Item 6, as applicable.</w:t>
      </w:r>
    </w:p>
    <w:p>
      <w:pPr>
        <w:spacing w:after="0" w:line="20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MATERIAL TO BE FILED AS EXHIBITS</w:t>
      </w:r>
    </w:p>
    <w:p>
      <w:pPr>
        <w:spacing w:after="0" w:line="3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left="1260" w:hanging="928"/>
        <w:spacing w:after="0"/>
        <w:tabs>
          <w:tab w:leader="none" w:pos="12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 of Gemini Support Agreement (incorporated by reference to Exhibit 10.2 to Form 8-K filed by Gemini on August 10, 2022 (File No.</w:t>
      </w:r>
    </w:p>
    <w:p>
      <w:pPr>
        <w:spacing w:after="0" w:line="3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8"/>
          <w:szCs w:val="18"/>
          <w:color w:val="auto"/>
        </w:rPr>
        <w:t>001-39438)).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260" w:right="140" w:hanging="928"/>
        <w:spacing w:after="0" w:line="260" w:lineRule="auto"/>
        <w:tabs>
          <w:tab w:leader="none" w:pos="12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of Lock-Up Agreement (incorporated by reference to Exhibit 10.3 to Form 8-K filed by Gemini on August 10, 2022 (File No. 001-39438)).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 w:name="page10"/>
    <w:bookmarkEnd w:id="9"/>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After reasonable inquiry and to the best of his or its knowledge and belief, each of the undersigned certifies that the information set forth in this statement is true, complete and correct.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August 11,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DEVELOPMENT HOLDINGS,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620" w:type="dxa"/>
            <w:vAlign w:val="bottom"/>
            <w:tcBorders>
              <w:top w:val="single" w:sz="8" w:color="auto"/>
            </w:tcBorders>
          </w:tcPr>
          <w:p>
            <w:pPr>
              <w:ind w:left="140"/>
              <w:spacing w:after="0" w:line="205" w:lineRule="exact"/>
              <w:rPr>
                <w:sz w:val="20"/>
                <w:szCs w:val="20"/>
                <w:color w:val="auto"/>
              </w:rPr>
            </w:pPr>
            <w:r>
              <w:rPr>
                <w:rFonts w:ascii="Times New Roman" w:cs="Times New Roman" w:eastAsia="Times New Roman" w:hAnsi="Times New Roman"/>
                <w:sz w:val="18"/>
                <w:szCs w:val="18"/>
                <w:color w:val="auto"/>
              </w:rPr>
              <w:t>James B. Tananbaum</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FUND V, L.P.</w:t>
      </w:r>
    </w:p>
    <w:p>
      <w:pPr>
        <w:spacing w:after="0" w:line="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Foresite Capital Management V, LLC</w:t>
      </w:r>
    </w:p>
    <w:p>
      <w:pPr>
        <w:spacing w:after="0" w:line="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172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James B. Tananbaum</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MANAGEMENT 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172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James B. Tananbaum</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OPPORTUNITY FUND V, L.P.</w:t>
      </w:r>
    </w:p>
    <w:p>
      <w:pPr>
        <w:spacing w:after="0" w:line="3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Foresite Capital Management V, LLC</w:t>
      </w:r>
    </w:p>
    <w:p>
      <w:pPr>
        <w:spacing w:after="0" w:line="9"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Its:</w:t>
        <w:tab/>
        <w:t>General Partner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1724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James B. Tananbaum</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FORESITE CAPITAL OPPORTUNITY MANAGEMENT V, LLC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1724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James B. Tananbaum</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Managing Member</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James B. 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31724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172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8"/>
          <w:szCs w:val="18"/>
          <w:color w:val="auto"/>
        </w:rPr>
        <w:t>James B. Tananbaum</w:t>
      </w:r>
    </w:p>
    <w:sectPr>
      <w:pgSz w:w="11900" w:h="16838" w:orient="portrait"/>
      <w:cols w:equalWidth="0" w:num="1">
        <w:col w:w="11080"/>
      </w:cols>
      <w:pgMar w:left="320" w:top="54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lowerLetter"/>
      <w:start w:val="1"/>
    </w:lvl>
    <w:lvl w:ilvl="1">
      <w:lvlJc w:val="left"/>
      <w:lvlText w:val="%2."/>
      <w:numFmt w:val="decimal"/>
      <w:start w:val="1"/>
    </w:lvl>
  </w:abstractNum>
  <w:abstractNum w:abstractNumId="8">
    <w:nsid w:val="4DB127F8"/>
    <w:multiLevelType w:val="hybridMultilevel"/>
    <w:lvl w:ilvl="0">
      <w:lvlJc w:val="left"/>
      <w:lvlText w:val="(%1)"/>
      <w:numFmt w:val="lowerLetter"/>
      <w:start w:val="3"/>
    </w:lvl>
  </w:abstractNum>
  <w:abstractNum w:abstractNumId="9">
    <w:nsid w:val="216231B"/>
    <w:multiLevelType w:val="hybridMultilevel"/>
    <w:lvl w:ilvl="0">
      <w:lvlJc w:val="left"/>
      <w:lvlText w:val="1"/>
      <w:numFmt w:val="bullet"/>
      <w:start w:val="1"/>
    </w:lvl>
  </w:abstractNum>
  <w:abstractNum w:abstractNumId="10">
    <w:nsid w:val="1F16E9E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2022-08-13T15:16:16Z</dcterms:created>
  <dcterms:modified xsi:type="dcterms:W3CDTF">2022-08-13T15:16:16Z</dcterms:modified>
</cp:coreProperties>
</file>