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0001759241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Opportunity Fund 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One Bryant Park</w:t>
              <w:br/>
              <w:t>New York   NY   10036</w:t>
            </w:r>
          </w:p>
        </w:tc>
        <w:tc>
          <w:tcPr>
            <w:tcW w:w="1187" w:type="dxa"/>
            <w:tcBorders/>
            <w:vAlign w:val="center"/>
          </w:tcPr>
          <w:p>
            <w:pPr>
              <w:pStyle w:val="TableContents"/>
              <w:bidi w:val="0"/>
              <w:spacing w:before="0" w:after="283"/>
              <w:jc w:val="left"/>
              <w:rPr/>
            </w:pPr>
            <w:r>
              <w:rPr/>
              <w:t>5937</w:t>
            </w:r>
          </w:p>
        </w:tc>
        <w:tc>
          <w:tcPr>
            <w:tcW w:w="1396" w:type="dxa"/>
            <w:tcBorders/>
            <w:vAlign w:val="center"/>
          </w:tcPr>
          <w:p>
            <w:pPr>
              <w:pStyle w:val="TableContents"/>
              <w:bidi w:val="0"/>
              <w:spacing w:before="0" w:after="283"/>
              <w:jc w:val="left"/>
              <w:rPr/>
            </w:pPr>
            <w:r>
              <w:rPr/>
              <w:t>337459.08</w:t>
            </w:r>
          </w:p>
        </w:tc>
        <w:tc>
          <w:tcPr>
            <w:tcW w:w="1569" w:type="dxa"/>
            <w:tcBorders/>
            <w:vAlign w:val="center"/>
          </w:tcPr>
          <w:p>
            <w:pPr>
              <w:pStyle w:val="TableContents"/>
              <w:bidi w:val="0"/>
              <w:spacing w:before="0" w:after="283"/>
              <w:jc w:val="left"/>
              <w:rPr/>
            </w:pPr>
            <w:r>
              <w:rPr/>
              <w:t>38392844</w:t>
            </w:r>
          </w:p>
        </w:tc>
        <w:tc>
          <w:tcPr>
            <w:tcW w:w="1577" w:type="dxa"/>
            <w:tcBorders/>
            <w:vAlign w:val="center"/>
          </w:tcPr>
          <w:p>
            <w:pPr>
              <w:pStyle w:val="TableContents"/>
              <w:bidi w:val="0"/>
              <w:spacing w:before="0" w:after="283"/>
              <w:jc w:val="left"/>
              <w:rPr/>
            </w:pPr>
            <w:r>
              <w:rPr/>
              <w:t>10/19/2026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5937</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31"/>
        <w:gridCol w:w="7774"/>
      </w:tblGrid>
      <w:tr>
        <w:trPr/>
        <w:tc>
          <w:tcPr>
            <w:tcW w:w="2431" w:type="dxa"/>
            <w:tcBorders/>
            <w:vAlign w:val="center"/>
          </w:tcPr>
          <w:p>
            <w:pPr>
              <w:pStyle w:val="TableContents"/>
              <w:bidi w:val="0"/>
              <w:spacing w:before="0" w:after="283"/>
              <w:jc w:val="left"/>
              <w:rPr/>
            </w:pPr>
            <w:r>
              <w:rPr/>
              <w:t>Remarks</w:t>
            </w:r>
          </w:p>
        </w:tc>
        <w:tc>
          <w:tcPr>
            <w:tcW w:w="7774" w:type="dxa"/>
            <w:tcBorders/>
            <w:vAlign w:val="center"/>
          </w:tcPr>
          <w:p>
            <w:pPr>
              <w:pStyle w:val="TableContents"/>
              <w:bidi w:val="0"/>
              <w:spacing w:before="0" w:after="0"/>
              <w:jc w:val="left"/>
              <w:rPr/>
            </w:pPr>
            <w:r>
              <w:rPr/>
              <w:t>See attached Table II for sales of securities over the last three months.</w:t>
            </w:r>
          </w:p>
        </w:tc>
      </w:tr>
      <w:tr>
        <w:trPr/>
        <w:tc>
          <w:tcPr>
            <w:tcW w:w="2431" w:type="dxa"/>
            <w:tcBorders/>
            <w:vAlign w:val="center"/>
          </w:tcPr>
          <w:p>
            <w:pPr>
              <w:pStyle w:val="TableContents"/>
              <w:bidi w:val="0"/>
              <w:spacing w:before="0" w:after="283"/>
              <w:jc w:val="left"/>
              <w:rPr/>
            </w:pPr>
            <w:r>
              <w:rPr/>
              <w:t>Date of Notice</w:t>
            </w:r>
          </w:p>
        </w:tc>
        <w:tc>
          <w:tcPr>
            <w:tcW w:w="7774" w:type="dxa"/>
            <w:tcBorders/>
            <w:vAlign w:val="center"/>
          </w:tcPr>
          <w:p>
            <w:pPr>
              <w:pStyle w:val="TableContents"/>
              <w:bidi w:val="0"/>
              <w:spacing w:before="0" w:after="0"/>
              <w:jc w:val="left"/>
              <w:rPr/>
            </w:pPr>
            <w:r>
              <w:rPr/>
              <w:t>10/19/2026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31" w:type="dxa"/>
            <w:tcBorders/>
            <w:vAlign w:val="center"/>
          </w:tcPr>
          <w:p>
            <w:pPr>
              <w:pStyle w:val="TableContents"/>
              <w:bidi w:val="0"/>
              <w:spacing w:before="0" w:after="283"/>
              <w:jc w:val="left"/>
              <w:rPr/>
            </w:pPr>
            <w:r>
              <w:rPr/>
              <w:t>Signature</w:t>
            </w:r>
          </w:p>
        </w:tc>
        <w:tc>
          <w:tcPr>
            <w:tcW w:w="7774"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2949</Characters>
  <CharactersWithSpaces>3480</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