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102235</wp:posOffset>
            </wp:positionV>
            <wp:extent cx="71577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596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00" w:lineRule="exact"/>
        <w:rPr>
          <w:sz w:val="24"/>
          <w:szCs w:val="24"/>
          <w:color w:val="auto"/>
        </w:rPr>
      </w:pPr>
    </w:p>
    <w:p>
      <w:pPr>
        <w:spacing w:after="0" w:line="2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19"/>
        <w:spacing w:after="0"/>
        <w:tabs>
          <w:tab w:leader="none" w:pos="260" w:val="left"/>
          <w:tab w:leader="none" w:pos="200" w:val="left"/>
        </w:tabs>
        <w:rPr>
          <w:sz w:val="20"/>
          <w:szCs w:val="20"/>
          <w:color w:val="auto"/>
        </w:rPr>
      </w:pPr>
      <w:r>
        <w:rPr>
          <w:rFonts w:ascii="Times New Roman" w:cs="Times New Roman" w:eastAsia="Times New Roman" w:hAnsi="Times New Roman"/>
          <w:sz w:val="22"/>
          <w:szCs w:val="22"/>
          <w:b w:val="1"/>
          <w:bCs w:val="1"/>
          <w:color w:val="auto"/>
        </w:rPr>
        <w:t>(Amendment No.</w:t>
        <w:tab/>
        <w:t>1</w:t>
      </w:r>
      <w:r>
        <w:rPr>
          <w:sz w:val="20"/>
          <w:szCs w:val="20"/>
          <w:color w:val="auto"/>
        </w:rPr>
        <w:tab/>
      </w:r>
      <w:r>
        <w:rPr>
          <w:rFonts w:ascii="Times New Roman" w:cs="Times New Roman" w:eastAsia="Times New Roman" w:hAnsi="Times New Roman"/>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3862705</wp:posOffset>
            </wp:positionH>
            <wp:positionV relativeFrom="paragraph">
              <wp:posOffset>-12065</wp:posOffset>
            </wp:positionV>
            <wp:extent cx="3429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7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color w:val="auto"/>
        </w:rPr>
        <w:t>Gemini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6216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165" cy="34290"/>
                    </a:xfrm>
                    <a:prstGeom prst="rect">
                      <a:avLst/>
                    </a:prstGeom>
                    <a:noFill/>
                  </pic:spPr>
                </pic:pic>
              </a:graphicData>
            </a:graphic>
          </wp:anchor>
        </w:drawing>
      </w:r>
    </w:p>
    <w:p>
      <w:pPr>
        <w:spacing w:after="0" w:line="2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(Name of Issuer)</w:t>
      </w: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62165" cy="33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36870G105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62165" cy="33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April 11,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16216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165" cy="34290"/>
                    </a:xfrm>
                    <a:prstGeom prst="rect">
                      <a:avLst/>
                    </a:prstGeom>
                    <a:noFill/>
                  </pic:spPr>
                </pic:pic>
              </a:graphicData>
            </a:graphic>
          </wp:anchor>
        </w:drawing>
      </w:r>
    </w:p>
    <w:p>
      <w:pPr>
        <w:spacing w:after="0" w:line="182"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800" w:hanging="7"/>
        <w:spacing w:after="0" w:line="563" w:lineRule="auto"/>
        <w:tabs>
          <w:tab w:leader="none" w:pos="420" w:val="left"/>
        </w:tabs>
        <w:numPr>
          <w:ilvl w:val="1"/>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 13d-1(b) x Rule 13d-1(c)</w:t>
      </w:r>
    </w:p>
    <w:p>
      <w:pPr>
        <w:ind w:left="420" w:hanging="187"/>
        <w:spacing w:after="0"/>
        <w:tabs>
          <w:tab w:leader="none" w:pos="42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13d-1(d)</w:t>
      </w:r>
    </w:p>
    <w:p>
      <w:pPr>
        <w:spacing w:after="0" w:line="252" w:lineRule="exact"/>
        <w:rPr>
          <w:rFonts w:ascii="Times New Roman" w:cs="Times New Roman" w:eastAsia="Times New Roman" w:hAnsi="Times New Roman"/>
          <w:sz w:val="18"/>
          <w:szCs w:val="18"/>
          <w:color w:val="auto"/>
        </w:rPr>
      </w:pPr>
    </w:p>
    <w:p>
      <w:pPr>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9"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1577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3"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1"/>
        </w:trPr>
        <w:tc>
          <w:tcPr>
            <w:tcW w:w="820" w:type="dxa"/>
            <w:vAlign w:val="bottom"/>
            <w:tcBorders>
              <w:right w:val="single" w:sz="8" w:color="auto"/>
            </w:tcBorders>
          </w:tcPr>
          <w:p>
            <w:pPr>
              <w:spacing w:after="0" w:line="201" w:lineRule="exact"/>
              <w:rPr>
                <w:sz w:val="20"/>
                <w:szCs w:val="20"/>
                <w:color w:val="auto"/>
              </w:rPr>
            </w:pPr>
            <w:r>
              <w:rPr>
                <w:rFonts w:ascii="Times New Roman" w:cs="Times New Roman" w:eastAsia="Times New Roman" w:hAnsi="Times New Roman"/>
                <w:sz w:val="18"/>
                <w:szCs w:val="18"/>
                <w:color w:val="auto"/>
              </w:rPr>
              <w:t>CUSIP</w:t>
            </w:r>
          </w:p>
        </w:tc>
        <w:tc>
          <w:tcPr>
            <w:tcW w:w="1120" w:type="dxa"/>
            <w:vAlign w:val="bottom"/>
            <w:tcBorders>
              <w:top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36870G105</w:t>
            </w:r>
          </w:p>
        </w:tc>
        <w:tc>
          <w:tcPr>
            <w:tcW w:w="0" w:type="dxa"/>
            <w:vAlign w:val="bottom"/>
          </w:tcPr>
          <w:p>
            <w:pPr>
              <w:spacing w:after="0"/>
              <w:rPr>
                <w:sz w:val="1"/>
                <w:szCs w:val="1"/>
                <w:color w:val="auto"/>
              </w:rPr>
            </w:pPr>
          </w:p>
        </w:tc>
      </w:tr>
      <w:tr>
        <w:trPr>
          <w:trHeight w:val="126"/>
        </w:trPr>
        <w:tc>
          <w:tcPr>
            <w:tcW w:w="8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No.</w:t>
            </w: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820" w:type="dxa"/>
            <w:vAlign w:val="bottom"/>
            <w:tcBorders>
              <w:right w:val="single" w:sz="8" w:color="auto"/>
            </w:tcBorders>
            <w:vMerge w:val="continue"/>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21170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117090"/>
                    </a:xfrm>
                    <a:prstGeom prst="rect">
                      <a:avLst/>
                    </a:prstGeom>
                    <a:noFill/>
                  </pic:spPr>
                </pic:pic>
              </a:graphicData>
            </a:graphic>
          </wp:anchor>
        </w:drawing>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Times New Roman" w:cs="Times New Roman" w:eastAsia="Times New Roman" w:hAnsi="Times New Roman"/>
                <w:sz w:val="32"/>
                <w:szCs w:val="32"/>
                <w:b w:val="1"/>
                <w:bCs w:val="1"/>
                <w:color w:val="auto"/>
              </w:rPr>
              <w:t>1</w:t>
            </w:r>
          </w:p>
        </w:tc>
        <w:tc>
          <w:tcPr>
            <w:tcW w:w="10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41"/>
        </w:trPr>
        <w:tc>
          <w:tcPr>
            <w:tcW w:w="580" w:type="dxa"/>
            <w:vAlign w:val="bottom"/>
            <w:tcBorders>
              <w:bottom w:val="single" w:sz="8" w:color="auto"/>
            </w:tcBorders>
          </w:tcPr>
          <w:p>
            <w:pPr>
              <w:spacing w:after="0"/>
              <w:rPr>
                <w:sz w:val="20"/>
                <w:szCs w:val="20"/>
                <w:color w:val="auto"/>
              </w:rPr>
            </w:pPr>
          </w:p>
        </w:tc>
        <w:tc>
          <w:tcPr>
            <w:tcW w:w="106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BML Investment Partners, L.P.</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Times New Roman" w:cs="Times New Roman" w:eastAsia="Times New Roman" w:hAnsi="Times New Roman"/>
                <w:sz w:val="32"/>
                <w:szCs w:val="32"/>
                <w:b w:val="1"/>
                <w:bCs w:val="1"/>
                <w:color w:val="auto"/>
              </w:rPr>
              <w:t>2</w:t>
            </w:r>
          </w:p>
        </w:tc>
        <w:tc>
          <w:tcPr>
            <w:tcW w:w="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t>
            </w:r>
          </w:p>
        </w:tc>
        <w:tc>
          <w:tcPr>
            <w:tcW w:w="10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w:t>
            </w:r>
          </w:p>
        </w:tc>
        <w:tc>
          <w:tcPr>
            <w:tcW w:w="0" w:type="dxa"/>
            <w:vAlign w:val="bottom"/>
          </w:tcPr>
          <w:p>
            <w:pPr>
              <w:spacing w:after="0"/>
              <w:rPr>
                <w:sz w:val="1"/>
                <w:szCs w:val="1"/>
                <w:color w:val="auto"/>
              </w:rPr>
            </w:pPr>
          </w:p>
        </w:tc>
      </w:tr>
      <w:tr>
        <w:trPr>
          <w:trHeight w:val="257"/>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(b)</w:t>
            </w:r>
          </w:p>
        </w:tc>
        <w:tc>
          <w:tcPr>
            <w:tcW w:w="10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10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499"/>
        </w:trPr>
        <w:tc>
          <w:tcPr>
            <w:tcW w:w="5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2"/>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Delaware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3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5</w:t>
            </w:r>
          </w:p>
        </w:tc>
        <w:tc>
          <w:tcPr>
            <w:tcW w:w="9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63"/>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6</w:t>
            </w:r>
          </w:p>
        </w:tc>
        <w:tc>
          <w:tcPr>
            <w:tcW w:w="9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5000000</w:t>
            </w:r>
          </w:p>
        </w:tc>
        <w:tc>
          <w:tcPr>
            <w:tcW w:w="0" w:type="dxa"/>
            <w:vAlign w:val="bottom"/>
          </w:tcPr>
          <w:p>
            <w:pPr>
              <w:spacing w:after="0"/>
              <w:rPr>
                <w:sz w:val="1"/>
                <w:szCs w:val="1"/>
                <w:color w:val="auto"/>
              </w:rPr>
            </w:pPr>
          </w:p>
        </w:tc>
      </w:tr>
      <w:tr>
        <w:trPr>
          <w:trHeight w:val="218"/>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540" w:type="dxa"/>
            <w:vAlign w:val="bottom"/>
            <w:tcBorders>
              <w:right w:val="single" w:sz="8" w:color="auto"/>
            </w:tcBorders>
          </w:tcPr>
          <w:p>
            <w:pPr>
              <w:spacing w:after="0"/>
              <w:rPr>
                <w:sz w:val="18"/>
                <w:szCs w:val="18"/>
                <w:color w:val="auto"/>
              </w:rPr>
            </w:pP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7</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40" w:type="dxa"/>
            <w:vAlign w:val="bottom"/>
            <w:tcBorders>
              <w:right w:val="single" w:sz="8" w:color="auto"/>
            </w:tcBorders>
            <w:vMerge w:val="continue"/>
          </w:tcPr>
          <w:p>
            <w:pPr>
              <w:spacing w:after="0"/>
              <w:rPr>
                <w:sz w:val="20"/>
                <w:szCs w:val="20"/>
                <w:color w:val="auto"/>
              </w:rPr>
            </w:pP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3"/>
        </w:trPr>
        <w:tc>
          <w:tcPr>
            <w:tcW w:w="1360" w:type="dxa"/>
            <w:vAlign w:val="bottom"/>
            <w:tcBorders>
              <w:right w:val="single" w:sz="8" w:color="auto"/>
            </w:tcBorders>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OWNED BY</w:t>
            </w:r>
          </w:p>
        </w:tc>
        <w:tc>
          <w:tcPr>
            <w:tcW w:w="540" w:type="dxa"/>
            <w:vAlign w:val="bottom"/>
            <w:tcBorders>
              <w:bottom w:val="single" w:sz="8" w:color="auto"/>
              <w:right w:val="single" w:sz="8" w:color="auto"/>
            </w:tcBorders>
          </w:tcPr>
          <w:p>
            <w:pPr>
              <w:spacing w:after="0"/>
              <w:rPr>
                <w:sz w:val="8"/>
                <w:szCs w:val="8"/>
                <w:color w:val="auto"/>
              </w:rPr>
            </w:pPr>
          </w:p>
        </w:tc>
        <w:tc>
          <w:tcPr>
            <w:tcW w:w="93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3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540" w:type="dxa"/>
            <w:vAlign w:val="bottom"/>
            <w:tcBorders>
              <w:right w:val="single" w:sz="8" w:color="auto"/>
            </w:tcBorders>
          </w:tcPr>
          <w:p>
            <w:pPr>
              <w:spacing w:after="0"/>
              <w:rPr>
                <w:sz w:val="18"/>
                <w:szCs w:val="18"/>
                <w:color w:val="auto"/>
              </w:rPr>
            </w:pPr>
          </w:p>
        </w:tc>
        <w:tc>
          <w:tcPr>
            <w:tcW w:w="9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8</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9970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997075"/>
                    </a:xfrm>
                    <a:prstGeom prst="rect">
                      <a:avLst/>
                    </a:prstGeom>
                    <a:noFill/>
                  </pic:spPr>
                </pic:pic>
              </a:graphicData>
            </a:graphic>
          </wp:anchor>
        </w:drawing>
      </w:r>
    </w:p>
    <w:p>
      <w:pPr>
        <w:spacing w:after="0" w:line="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145" w:lineRule="exact"/>
        <w:rPr>
          <w:sz w:val="20"/>
          <w:szCs w:val="20"/>
          <w:color w:val="auto"/>
        </w:rPr>
      </w:pPr>
    </w:p>
    <w:p>
      <w:pPr>
        <w:ind w:left="760" w:hanging="529"/>
        <w:spacing w:after="0"/>
        <w:tabs>
          <w:tab w:leader="none" w:pos="760" w:val="left"/>
        </w:tabs>
        <w:numPr>
          <w:ilvl w:val="0"/>
          <w:numId w:val="3"/>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5000000</w:t>
      </w:r>
    </w:p>
    <w:p>
      <w:pPr>
        <w:spacing w:after="0" w:line="62" w:lineRule="exact"/>
        <w:rPr>
          <w:rFonts w:ascii="Times New Roman" w:cs="Times New Roman" w:eastAsia="Times New Roman" w:hAnsi="Times New Roman"/>
          <w:sz w:val="32"/>
          <w:szCs w:val="32"/>
          <w:b w:val="1"/>
          <w:bCs w:val="1"/>
          <w:color w:val="auto"/>
        </w:rPr>
      </w:pPr>
    </w:p>
    <w:p>
      <w:pPr>
        <w:ind w:left="760"/>
        <w:spacing w:after="0"/>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102" w:lineRule="exact"/>
        <w:rPr>
          <w:sz w:val="20"/>
          <w:szCs w:val="20"/>
          <w:color w:val="auto"/>
        </w:rPr>
      </w:pPr>
    </w:p>
    <w:p>
      <w:pPr>
        <w:ind w:left="14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10</w:t>
      </w:r>
      <w:r>
        <w:rPr>
          <w:sz w:val="20"/>
          <w:szCs w:val="20"/>
          <w:color w:val="auto"/>
        </w:rPr>
        <w:tab/>
      </w:r>
      <w:r>
        <w:rPr>
          <w:rFonts w:ascii="Times New Roman" w:cs="Times New Roman" w:eastAsia="Times New Roman" w:hAnsi="Times New Roman"/>
          <w:sz w:val="16"/>
          <w:szCs w:val="16"/>
          <w:color w:val="auto"/>
        </w:rPr>
        <w:t>o</w:t>
      </w:r>
    </w:p>
    <w:p>
      <w:pPr>
        <w:spacing w:after="0" w:line="1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102" w:lineRule="exact"/>
        <w:rPr>
          <w:sz w:val="20"/>
          <w:szCs w:val="20"/>
          <w:color w:val="auto"/>
        </w:rPr>
      </w:pPr>
    </w:p>
    <w:p>
      <w:pPr>
        <w:ind w:left="16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11</w:t>
      </w:r>
      <w:r>
        <w:rPr>
          <w:sz w:val="20"/>
          <w:szCs w:val="20"/>
          <w:color w:val="auto"/>
        </w:rPr>
        <w:tab/>
      </w:r>
      <w:r>
        <w:rPr>
          <w:rFonts w:ascii="Times New Roman" w:cs="Times New Roman" w:eastAsia="Times New Roman" w:hAnsi="Times New Roman"/>
          <w:sz w:val="17"/>
          <w:szCs w:val="17"/>
          <w:color w:val="auto"/>
        </w:rPr>
        <w:t>11.6%</w:t>
      </w:r>
    </w:p>
    <w:p>
      <w:pPr>
        <w:spacing w:after="0" w:line="1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TYPE OF REPORTING PERSON (SEE INSTRUCTIONS)</w:t>
      </w:r>
    </w:p>
    <w:p>
      <w:pPr>
        <w:spacing w:after="0" w:line="102" w:lineRule="exact"/>
        <w:rPr>
          <w:sz w:val="20"/>
          <w:szCs w:val="20"/>
          <w:color w:val="auto"/>
        </w:rPr>
      </w:pPr>
    </w:p>
    <w:p>
      <w:pPr>
        <w:ind w:left="14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12</w:t>
      </w:r>
      <w:r>
        <w:rPr>
          <w:sz w:val="20"/>
          <w:szCs w:val="20"/>
          <w:color w:val="auto"/>
        </w:rPr>
        <w:tab/>
      </w:r>
      <w:r>
        <w:rPr>
          <w:rFonts w:ascii="Times New Roman" w:cs="Times New Roman" w:eastAsia="Times New Roman" w:hAnsi="Times New Roman"/>
          <w:sz w:val="17"/>
          <w:szCs w:val="17"/>
          <w:color w:val="auto"/>
        </w:rPr>
        <w:t>PN</w:t>
      </w:r>
    </w:p>
    <w:p>
      <w:pPr>
        <w:spacing w:after="0" w:line="200" w:lineRule="exact"/>
        <w:rPr>
          <w:sz w:val="20"/>
          <w:szCs w:val="20"/>
          <w:color w:val="auto"/>
        </w:rPr>
      </w:pPr>
    </w:p>
    <w:p>
      <w:pPr>
        <w:spacing w:after="0" w:line="2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FOOTNOTES</w:t>
      </w:r>
    </w:p>
    <w:p>
      <w:pPr>
        <w:spacing w:after="0" w:line="279" w:lineRule="exact"/>
        <w:rPr>
          <w:sz w:val="20"/>
          <w:szCs w:val="20"/>
          <w:color w:val="auto"/>
        </w:rPr>
      </w:pPr>
    </w:p>
    <w:p>
      <w:pPr>
        <w:ind w:left="760" w:right="140"/>
        <w:spacing w:after="0" w:line="261" w:lineRule="auto"/>
        <w:rPr>
          <w:sz w:val="20"/>
          <w:szCs w:val="20"/>
          <w:color w:val="auto"/>
        </w:rPr>
      </w:pPr>
      <w:r>
        <w:rPr>
          <w:rFonts w:ascii="Times New Roman" w:cs="Times New Roman" w:eastAsia="Times New Roman" w:hAnsi="Times New Roman"/>
          <w:sz w:val="18"/>
          <w:szCs w:val="18"/>
          <w:color w:val="auto"/>
        </w:rPr>
        <w:t>BML Investment Partners, L.P. is a Delaware limited partnership whose sole general partner is BML Capital Management, LLC. The managing member of BML Capital Management, LLC is Braden M. Leonard. As a result, Braden M. Leonard is deemed to be the indirect owner of the shares held directly by BML Investment Partners, L.P. Despite such shared beneficial ownership, the reporting persons disclaim that they constitute a statutory group within the meaning of Rule 13d-5(b)(1)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241300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1"/>
        </w:trPr>
        <w:tc>
          <w:tcPr>
            <w:tcW w:w="820" w:type="dxa"/>
            <w:vAlign w:val="bottom"/>
            <w:tcBorders>
              <w:right w:val="single" w:sz="8" w:color="auto"/>
            </w:tcBorders>
          </w:tcPr>
          <w:p>
            <w:pPr>
              <w:spacing w:after="0" w:line="201" w:lineRule="exact"/>
              <w:rPr>
                <w:sz w:val="20"/>
                <w:szCs w:val="20"/>
                <w:color w:val="auto"/>
              </w:rPr>
            </w:pPr>
            <w:r>
              <w:rPr>
                <w:rFonts w:ascii="Times New Roman" w:cs="Times New Roman" w:eastAsia="Times New Roman" w:hAnsi="Times New Roman"/>
                <w:sz w:val="18"/>
                <w:szCs w:val="18"/>
                <w:color w:val="auto"/>
              </w:rPr>
              <w:t>CUSIP</w:t>
            </w:r>
          </w:p>
        </w:tc>
        <w:tc>
          <w:tcPr>
            <w:tcW w:w="1120" w:type="dxa"/>
            <w:vAlign w:val="bottom"/>
            <w:tcBorders>
              <w:top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36870G105</w:t>
            </w:r>
          </w:p>
        </w:tc>
        <w:tc>
          <w:tcPr>
            <w:tcW w:w="0" w:type="dxa"/>
            <w:vAlign w:val="bottom"/>
          </w:tcPr>
          <w:p>
            <w:pPr>
              <w:spacing w:after="0"/>
              <w:rPr>
                <w:sz w:val="1"/>
                <w:szCs w:val="1"/>
                <w:color w:val="auto"/>
              </w:rPr>
            </w:pPr>
          </w:p>
        </w:tc>
      </w:tr>
      <w:tr>
        <w:trPr>
          <w:trHeight w:val="126"/>
        </w:trPr>
        <w:tc>
          <w:tcPr>
            <w:tcW w:w="8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No.</w:t>
            </w: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820" w:type="dxa"/>
            <w:vAlign w:val="bottom"/>
            <w:tcBorders>
              <w:right w:val="single" w:sz="8" w:color="auto"/>
            </w:tcBorders>
            <w:vMerge w:val="continue"/>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21170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117090"/>
                    </a:xfrm>
                    <a:prstGeom prst="rect">
                      <a:avLst/>
                    </a:prstGeom>
                    <a:noFill/>
                  </pic:spPr>
                </pic:pic>
              </a:graphicData>
            </a:graphic>
          </wp:anchor>
        </w:drawing>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Times New Roman" w:cs="Times New Roman" w:eastAsia="Times New Roman" w:hAnsi="Times New Roman"/>
                <w:sz w:val="32"/>
                <w:szCs w:val="32"/>
                <w:b w:val="1"/>
                <w:bCs w:val="1"/>
                <w:color w:val="auto"/>
              </w:rPr>
              <w:t>1</w:t>
            </w:r>
          </w:p>
        </w:tc>
        <w:tc>
          <w:tcPr>
            <w:tcW w:w="10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41"/>
        </w:trPr>
        <w:tc>
          <w:tcPr>
            <w:tcW w:w="580" w:type="dxa"/>
            <w:vAlign w:val="bottom"/>
            <w:tcBorders>
              <w:bottom w:val="single" w:sz="8" w:color="auto"/>
            </w:tcBorders>
          </w:tcPr>
          <w:p>
            <w:pPr>
              <w:spacing w:after="0"/>
              <w:rPr>
                <w:sz w:val="20"/>
                <w:szCs w:val="20"/>
                <w:color w:val="auto"/>
              </w:rPr>
            </w:pPr>
          </w:p>
        </w:tc>
        <w:tc>
          <w:tcPr>
            <w:tcW w:w="106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Braden M Leonard</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Times New Roman" w:cs="Times New Roman" w:eastAsia="Times New Roman" w:hAnsi="Times New Roman"/>
                <w:sz w:val="32"/>
                <w:szCs w:val="32"/>
                <w:b w:val="1"/>
                <w:bCs w:val="1"/>
                <w:color w:val="auto"/>
              </w:rPr>
              <w:t>2</w:t>
            </w:r>
          </w:p>
        </w:tc>
        <w:tc>
          <w:tcPr>
            <w:tcW w:w="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t>
            </w:r>
          </w:p>
        </w:tc>
        <w:tc>
          <w:tcPr>
            <w:tcW w:w="10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w:t>
            </w:r>
          </w:p>
        </w:tc>
        <w:tc>
          <w:tcPr>
            <w:tcW w:w="0" w:type="dxa"/>
            <w:vAlign w:val="bottom"/>
          </w:tcPr>
          <w:p>
            <w:pPr>
              <w:spacing w:after="0"/>
              <w:rPr>
                <w:sz w:val="1"/>
                <w:szCs w:val="1"/>
                <w:color w:val="auto"/>
              </w:rPr>
            </w:pPr>
          </w:p>
        </w:tc>
      </w:tr>
      <w:tr>
        <w:trPr>
          <w:trHeight w:val="257"/>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(b)</w:t>
            </w:r>
          </w:p>
        </w:tc>
        <w:tc>
          <w:tcPr>
            <w:tcW w:w="10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10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499"/>
        </w:trPr>
        <w:tc>
          <w:tcPr>
            <w:tcW w:w="5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4"/>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United States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3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5</w:t>
            </w:r>
          </w:p>
        </w:tc>
        <w:tc>
          <w:tcPr>
            <w:tcW w:w="9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270000</w:t>
            </w:r>
          </w:p>
        </w:tc>
        <w:tc>
          <w:tcPr>
            <w:tcW w:w="0" w:type="dxa"/>
            <w:vAlign w:val="bottom"/>
          </w:tcPr>
          <w:p>
            <w:pPr>
              <w:spacing w:after="0"/>
              <w:rPr>
                <w:sz w:val="1"/>
                <w:szCs w:val="1"/>
                <w:color w:val="auto"/>
              </w:rPr>
            </w:pPr>
          </w:p>
        </w:tc>
      </w:tr>
      <w:tr>
        <w:trPr>
          <w:trHeight w:val="263"/>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6</w:t>
            </w:r>
          </w:p>
        </w:tc>
        <w:tc>
          <w:tcPr>
            <w:tcW w:w="9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5000000</w:t>
            </w:r>
          </w:p>
        </w:tc>
        <w:tc>
          <w:tcPr>
            <w:tcW w:w="0" w:type="dxa"/>
            <w:vAlign w:val="bottom"/>
          </w:tcPr>
          <w:p>
            <w:pPr>
              <w:spacing w:after="0"/>
              <w:rPr>
                <w:sz w:val="1"/>
                <w:szCs w:val="1"/>
                <w:color w:val="auto"/>
              </w:rPr>
            </w:pPr>
          </w:p>
        </w:tc>
      </w:tr>
      <w:tr>
        <w:trPr>
          <w:trHeight w:val="218"/>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540" w:type="dxa"/>
            <w:vAlign w:val="bottom"/>
            <w:tcBorders>
              <w:right w:val="single" w:sz="8" w:color="auto"/>
            </w:tcBorders>
          </w:tcPr>
          <w:p>
            <w:pPr>
              <w:spacing w:after="0"/>
              <w:rPr>
                <w:sz w:val="18"/>
                <w:szCs w:val="18"/>
                <w:color w:val="auto"/>
              </w:rPr>
            </w:pP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7</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40" w:type="dxa"/>
            <w:vAlign w:val="bottom"/>
            <w:tcBorders>
              <w:right w:val="single" w:sz="8" w:color="auto"/>
            </w:tcBorders>
            <w:vMerge w:val="continue"/>
          </w:tcPr>
          <w:p>
            <w:pPr>
              <w:spacing w:after="0"/>
              <w:rPr>
                <w:sz w:val="22"/>
                <w:szCs w:val="22"/>
                <w:color w:val="auto"/>
              </w:rPr>
            </w:pP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270000</w:t>
            </w:r>
          </w:p>
        </w:tc>
        <w:tc>
          <w:tcPr>
            <w:tcW w:w="0" w:type="dxa"/>
            <w:vAlign w:val="bottom"/>
          </w:tcPr>
          <w:p>
            <w:pPr>
              <w:spacing w:after="0"/>
              <w:rPr>
                <w:sz w:val="1"/>
                <w:szCs w:val="1"/>
                <w:color w:val="auto"/>
              </w:rPr>
            </w:pPr>
          </w:p>
        </w:tc>
      </w:tr>
      <w:tr>
        <w:trPr>
          <w:trHeight w:val="68"/>
        </w:trPr>
        <w:tc>
          <w:tcPr>
            <w:tcW w:w="1360" w:type="dxa"/>
            <w:vAlign w:val="bottom"/>
            <w:tcBorders>
              <w:right w:val="single" w:sz="8" w:color="auto"/>
            </w:tcBorders>
            <w:vMerge w:val="restart"/>
          </w:tcPr>
          <w:p>
            <w:pPr>
              <w:jc w:val="center"/>
              <w:spacing w:after="0" w:line="170" w:lineRule="exact"/>
              <w:rPr>
                <w:sz w:val="20"/>
                <w:szCs w:val="20"/>
                <w:color w:val="auto"/>
              </w:rPr>
            </w:pPr>
            <w:r>
              <w:rPr>
                <w:rFonts w:ascii="Times New Roman" w:cs="Times New Roman" w:eastAsia="Times New Roman" w:hAnsi="Times New Roman"/>
                <w:sz w:val="18"/>
                <w:szCs w:val="18"/>
                <w:color w:val="auto"/>
                <w:w w:val="99"/>
              </w:rPr>
              <w:t>OWNED BY</w:t>
            </w:r>
          </w:p>
        </w:tc>
        <w:tc>
          <w:tcPr>
            <w:tcW w:w="540" w:type="dxa"/>
            <w:vAlign w:val="bottom"/>
            <w:tcBorders>
              <w:bottom w:val="single" w:sz="8" w:color="auto"/>
              <w:right w:val="single" w:sz="8" w:color="auto"/>
            </w:tcBorders>
          </w:tcPr>
          <w:p>
            <w:pPr>
              <w:spacing w:after="0"/>
              <w:rPr>
                <w:sz w:val="5"/>
                <w:szCs w:val="5"/>
                <w:color w:val="auto"/>
              </w:rPr>
            </w:pPr>
          </w:p>
        </w:tc>
        <w:tc>
          <w:tcPr>
            <w:tcW w:w="9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3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540" w:type="dxa"/>
            <w:vAlign w:val="bottom"/>
            <w:tcBorders>
              <w:right w:val="single" w:sz="8" w:color="auto"/>
            </w:tcBorders>
          </w:tcPr>
          <w:p>
            <w:pPr>
              <w:spacing w:after="0"/>
              <w:rPr>
                <w:sz w:val="18"/>
                <w:szCs w:val="18"/>
                <w:color w:val="auto"/>
              </w:rPr>
            </w:pPr>
          </w:p>
        </w:tc>
        <w:tc>
          <w:tcPr>
            <w:tcW w:w="9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8</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9970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997075"/>
                    </a:xfrm>
                    <a:prstGeom prst="rect">
                      <a:avLst/>
                    </a:prstGeom>
                    <a:noFill/>
                  </pic:spPr>
                </pic:pic>
              </a:graphicData>
            </a:graphic>
          </wp:anchor>
        </w:drawing>
      </w:r>
    </w:p>
    <w:p>
      <w:pPr>
        <w:spacing w:after="0" w:line="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145" w:lineRule="exact"/>
        <w:rPr>
          <w:sz w:val="20"/>
          <w:szCs w:val="20"/>
          <w:color w:val="auto"/>
        </w:rPr>
      </w:pPr>
    </w:p>
    <w:p>
      <w:pPr>
        <w:ind w:left="760" w:hanging="529"/>
        <w:spacing w:after="0"/>
        <w:tabs>
          <w:tab w:leader="none" w:pos="760" w:val="left"/>
        </w:tabs>
        <w:numPr>
          <w:ilvl w:val="0"/>
          <w:numId w:val="5"/>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5270000</w:t>
      </w:r>
    </w:p>
    <w:p>
      <w:pPr>
        <w:spacing w:after="0" w:line="62" w:lineRule="exact"/>
        <w:rPr>
          <w:rFonts w:ascii="Times New Roman" w:cs="Times New Roman" w:eastAsia="Times New Roman" w:hAnsi="Times New Roman"/>
          <w:sz w:val="32"/>
          <w:szCs w:val="32"/>
          <w:b w:val="1"/>
          <w:bCs w:val="1"/>
          <w:color w:val="auto"/>
        </w:rPr>
      </w:pPr>
    </w:p>
    <w:p>
      <w:pPr>
        <w:ind w:left="760"/>
        <w:spacing w:after="0"/>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102" w:lineRule="exact"/>
        <w:rPr>
          <w:sz w:val="20"/>
          <w:szCs w:val="20"/>
          <w:color w:val="auto"/>
        </w:rPr>
      </w:pPr>
    </w:p>
    <w:p>
      <w:pPr>
        <w:ind w:left="14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10</w:t>
      </w:r>
      <w:r>
        <w:rPr>
          <w:sz w:val="20"/>
          <w:szCs w:val="20"/>
          <w:color w:val="auto"/>
        </w:rPr>
        <w:tab/>
      </w:r>
      <w:r>
        <w:rPr>
          <w:rFonts w:ascii="Times New Roman" w:cs="Times New Roman" w:eastAsia="Times New Roman" w:hAnsi="Times New Roman"/>
          <w:sz w:val="16"/>
          <w:szCs w:val="16"/>
          <w:color w:val="auto"/>
        </w:rPr>
        <w:t>o</w:t>
      </w:r>
    </w:p>
    <w:p>
      <w:pPr>
        <w:spacing w:after="0" w:line="1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102" w:lineRule="exact"/>
        <w:rPr>
          <w:sz w:val="20"/>
          <w:szCs w:val="20"/>
          <w:color w:val="auto"/>
        </w:rPr>
      </w:pPr>
    </w:p>
    <w:p>
      <w:pPr>
        <w:ind w:left="16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11</w:t>
      </w:r>
      <w:r>
        <w:rPr>
          <w:sz w:val="20"/>
          <w:szCs w:val="20"/>
          <w:color w:val="auto"/>
        </w:rPr>
        <w:tab/>
      </w:r>
      <w:r>
        <w:rPr>
          <w:rFonts w:ascii="Times New Roman" w:cs="Times New Roman" w:eastAsia="Times New Roman" w:hAnsi="Times New Roman"/>
          <w:sz w:val="17"/>
          <w:szCs w:val="17"/>
          <w:color w:val="auto"/>
        </w:rPr>
        <w:t>12.2%</w:t>
      </w:r>
    </w:p>
    <w:p>
      <w:pPr>
        <w:spacing w:after="0" w:line="1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TYPE OF REPORTING PERSON (SEE INSTRUCTIONS)</w:t>
      </w:r>
    </w:p>
    <w:p>
      <w:pPr>
        <w:spacing w:after="0" w:line="102" w:lineRule="exact"/>
        <w:rPr>
          <w:sz w:val="20"/>
          <w:szCs w:val="20"/>
          <w:color w:val="auto"/>
        </w:rPr>
      </w:pPr>
    </w:p>
    <w:p>
      <w:pPr>
        <w:ind w:left="14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12</w:t>
      </w:r>
      <w:r>
        <w:rPr>
          <w:sz w:val="20"/>
          <w:szCs w:val="20"/>
          <w:color w:val="auto"/>
        </w:rPr>
        <w:tab/>
      </w:r>
      <w:r>
        <w:rPr>
          <w:rFonts w:ascii="Times New Roman" w:cs="Times New Roman" w:eastAsia="Times New Roman" w:hAnsi="Times New Roman"/>
          <w:sz w:val="17"/>
          <w:szCs w:val="17"/>
          <w:color w:val="auto"/>
        </w:rPr>
        <w:t>IN</w:t>
      </w:r>
    </w:p>
    <w:p>
      <w:pPr>
        <w:spacing w:after="0" w:line="200" w:lineRule="exact"/>
        <w:rPr>
          <w:sz w:val="20"/>
          <w:szCs w:val="20"/>
          <w:color w:val="auto"/>
        </w:rPr>
      </w:pPr>
    </w:p>
    <w:p>
      <w:pPr>
        <w:spacing w:after="0" w:line="2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FOOTNOTES</w:t>
      </w:r>
    </w:p>
    <w:p>
      <w:pPr>
        <w:spacing w:after="0" w:line="279" w:lineRule="exact"/>
        <w:rPr>
          <w:sz w:val="20"/>
          <w:szCs w:val="20"/>
          <w:color w:val="auto"/>
        </w:rPr>
      </w:pPr>
    </w:p>
    <w:p>
      <w:pPr>
        <w:ind w:left="760" w:right="140"/>
        <w:spacing w:after="0" w:line="261" w:lineRule="auto"/>
        <w:rPr>
          <w:sz w:val="20"/>
          <w:szCs w:val="20"/>
          <w:color w:val="auto"/>
        </w:rPr>
      </w:pPr>
      <w:r>
        <w:rPr>
          <w:rFonts w:ascii="Times New Roman" w:cs="Times New Roman" w:eastAsia="Times New Roman" w:hAnsi="Times New Roman"/>
          <w:sz w:val="18"/>
          <w:szCs w:val="18"/>
          <w:color w:val="auto"/>
        </w:rPr>
        <w:t>BML Investment Partners, L.P. is a Delaware limited partnership whose sole general partner is BML Capital Management, LLC. The managing member of BML Capital Management, LLC is Braden M. Leonard. As a result, Braden M. Leonard is deemed to be the indirect owner of the shares held directly by BML Investment Partners, L.P. Despite such shared beneficial ownership, the reporting persons disclaim that they constitute a statutory group within the meaning of Rule 13d-5(b)(1)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241300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56"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Therapeutics, Inc.</w:t>
      </w:r>
    </w:p>
    <w:p>
      <w:pPr>
        <w:spacing w:after="0" w:line="23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w:t>
      </w:r>
    </w:p>
    <w:p>
      <w:pPr>
        <w:spacing w:after="0" w:line="27" w:lineRule="exact"/>
        <w:rPr>
          <w:rFonts w:ascii="Times New Roman" w:cs="Times New Roman" w:eastAsia="Times New Roman" w:hAnsi="Times New Roman"/>
          <w:sz w:val="18"/>
          <w:szCs w:val="18"/>
          <w:color w:val="auto"/>
        </w:rPr>
      </w:pPr>
    </w:p>
    <w:p>
      <w:pPr>
        <w:ind w:left="1300" w:right="5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2022, the Company became a remote-first company. Accordingly, the Company does not currently maintain a physical headquarters.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56"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BML Investment Partners, L.P.</w:t>
      </w:r>
    </w:p>
    <w:p>
      <w:pPr>
        <w:spacing w:after="0" w:line="233" w:lineRule="exact"/>
        <w:rPr>
          <w:rFonts w:ascii="Times New Roman" w:cs="Times New Roman" w:eastAsia="Times New Roman" w:hAnsi="Times New Roman"/>
          <w:sz w:val="18"/>
          <w:szCs w:val="18"/>
          <w:color w:val="auto"/>
        </w:rPr>
      </w:pPr>
    </w:p>
    <w:p>
      <w:pPr>
        <w:ind w:left="1300" w:right="5620" w:hanging="644"/>
        <w:spacing w:after="0" w:line="261"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 65 E Cedar - Suite 2</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Zionsville, IN 46077</w:t>
      </w:r>
    </w:p>
    <w:p>
      <w:pPr>
        <w:spacing w:after="0" w:line="233" w:lineRule="exact"/>
        <w:rPr>
          <w:rFonts w:ascii="Times New Roman" w:cs="Times New Roman" w:eastAsia="Times New Roman" w:hAnsi="Times New Roman"/>
          <w:sz w:val="18"/>
          <w:szCs w:val="18"/>
          <w:color w:val="auto"/>
        </w:rPr>
      </w:pPr>
    </w:p>
    <w:p>
      <w:pPr>
        <w:ind w:left="1300" w:right="9080" w:hanging="644"/>
        <w:spacing w:after="0" w:line="312" w:lineRule="auto"/>
        <w:tabs>
          <w:tab w:leader="none" w:pos="13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Delaware</w:t>
      </w:r>
    </w:p>
    <w:p>
      <w:pPr>
        <w:spacing w:after="0" w:line="166" w:lineRule="exact"/>
        <w:rPr>
          <w:rFonts w:ascii="Times New Roman" w:cs="Times New Roman" w:eastAsia="Times New Roman" w:hAnsi="Times New Roman"/>
          <w:sz w:val="17"/>
          <w:szCs w:val="17"/>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par value $0.0001 per share</w:t>
      </w:r>
    </w:p>
    <w:p>
      <w:pPr>
        <w:spacing w:after="0" w:line="233" w:lineRule="exact"/>
        <w:rPr>
          <w:rFonts w:ascii="Times New Roman" w:cs="Times New Roman" w:eastAsia="Times New Roman" w:hAnsi="Times New Roman"/>
          <w:sz w:val="18"/>
          <w:szCs w:val="18"/>
          <w:color w:val="auto"/>
        </w:rPr>
      </w:pPr>
    </w:p>
    <w:p>
      <w:pPr>
        <w:ind w:left="1300" w:right="8760" w:hanging="644"/>
        <w:spacing w:after="0" w:line="312" w:lineRule="auto"/>
        <w:tabs>
          <w:tab w:leader="none" w:pos="13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CUSIP Number 36870G105</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Broker or dealer registered under section 15 of the Act (15 U.S.C. 78o).</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Bank as defined in section 3(a)(6) of the Act (15 U.S.C. 78c).</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Insurance company as defined in section 3(a)(19) of the Act (15 U.S.C. 78c).</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Investment company registered under section 8 of the Investment Company Act of 1940 (15 U.S.C 80a-8).</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An investment adviser in accordance with §240.13d-1(b)(1)(ii)(E);</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An employee benefit plan or endowment fund in accordance with §240.13d-1(b)(1)(ii)(F);</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A parent holding company or control person in accordance with § 240.13d-1(b)(1)(ii)(G);</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A savings associations as defined in Section 3(b) of the Federal Deposit Insurance Act (12 U.S.C. 1813);</w:t>
      </w:r>
    </w:p>
    <w:p>
      <w:pPr>
        <w:spacing w:after="0" w:line="252" w:lineRule="exact"/>
        <w:rPr>
          <w:rFonts w:ascii="Times New Roman" w:cs="Times New Roman" w:eastAsia="Times New Roman" w:hAnsi="Times New Roman"/>
          <w:sz w:val="18"/>
          <w:szCs w:val="18"/>
          <w:color w:val="auto"/>
        </w:rPr>
      </w:pPr>
    </w:p>
    <w:p>
      <w:pPr>
        <w:ind w:left="1960" w:hanging="1304"/>
        <w:spacing w:after="0" w:line="282" w:lineRule="auto"/>
        <w:tabs>
          <w:tab w:leader="none" w:pos="131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 church plan that is excluded from the definition of an investment company under section 3(c)(14) of the Investment Company Act of 1940 (15 U.S.C. 80a-3);</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A non-U.S. institution in accordance with § 240.13d-1(b)(1)(ii)(J).</w:t>
      </w:r>
    </w:p>
    <w:p>
      <w:pPr>
        <w:spacing w:after="0" w:line="252" w:lineRule="exact"/>
        <w:rPr>
          <w:rFonts w:ascii="Times New Roman" w:cs="Times New Roman" w:eastAsia="Times New Roman" w:hAnsi="Times New Roman"/>
          <w:sz w:val="18"/>
          <w:szCs w:val="18"/>
          <w:color w:val="auto"/>
        </w:rPr>
      </w:pPr>
    </w:p>
    <w:p>
      <w:pPr>
        <w:ind w:left="1960" w:hanging="1304"/>
        <w:spacing w:after="0" w:line="282" w:lineRule="auto"/>
        <w:tabs>
          <w:tab w:leader="none" w:pos="131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530225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09"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5,270,000</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12.2%</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270,000</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5,000,000</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270,000</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5,000,000</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o .</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409575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509" w:right="539" w:bottom="1440" w:gutter="0" w:footer="0" w:header="0"/>
        </w:sectPr>
      </w:pPr>
    </w:p>
    <w:bookmarkStart w:id="5" w:name="page6"/>
    <w:bookmarkEnd w:id="5"/>
    <w:p>
      <w:pPr>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Item</w:t>
        <w:tab/>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207" w:lineRule="exact"/>
        <w:rPr>
          <w:sz w:val="20"/>
          <w:szCs w:val="20"/>
          <w:color w:val="auto"/>
        </w:rPr>
      </w:pPr>
    </w:p>
    <w:p>
      <w:pPr>
        <w:ind w:left="600" w:right="14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0" w:lineRule="exact"/>
        <w:rPr>
          <w:sz w:val="20"/>
          <w:szCs w:val="20"/>
          <w:color w:val="auto"/>
        </w:rPr>
      </w:pPr>
    </w:p>
    <w:p>
      <w:pPr>
        <w:spacing w:after="0" w:line="2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BML Capital Management, LLC</w:t>
      </w:r>
    </w:p>
    <w:p>
      <w:pPr>
        <w:sectPr>
          <w:pgSz w:w="11900" w:h="16838" w:orient="portrait"/>
          <w:cols w:equalWidth="0" w:num="1">
            <w:col w:w="11200"/>
          </w:cols>
          <w:pgMar w:left="320" w:top="752" w:right="37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13, 2022</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Braden M Leonard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Braden M Leonard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0" w:lineRule="exact"/>
        <w:rPr>
          <w:sz w:val="20"/>
          <w:szCs w:val="20"/>
          <w:color w:val="auto"/>
        </w:rPr>
      </w:pPr>
    </w:p>
    <w:p>
      <w:pPr>
        <w:sectPr>
          <w:pgSz w:w="11900" w:h="16838" w:orient="portrait"/>
          <w:cols w:equalWidth="0" w:num="3">
            <w:col w:w="4920" w:space="720"/>
            <w:col w:w="260" w:space="80"/>
            <w:col w:w="5220"/>
          </w:cols>
          <w:pgMar w:left="320" w:top="752"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13,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Braden M Leonard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Braden M Leonard</w:t>
      </w:r>
    </w:p>
    <w:p>
      <w:pPr>
        <w:spacing w:after="0" w:line="200" w:lineRule="exact"/>
        <w:rPr>
          <w:sz w:val="20"/>
          <w:szCs w:val="20"/>
          <w:color w:val="auto"/>
        </w:rPr>
      </w:pPr>
    </w:p>
    <w:p>
      <w:pPr>
        <w:sectPr>
          <w:pgSz w:w="11900" w:h="16838" w:orient="portrait"/>
          <w:cols w:equalWidth="0" w:num="3">
            <w:col w:w="4920" w:space="720"/>
            <w:col w:w="260" w:space="80"/>
            <w:col w:w="5220"/>
          </w:cols>
          <w:pgMar w:left="320" w:top="752" w:right="379" w:bottom="1440" w:gutter="0" w:footer="0" w:header="0"/>
          <w:type w:val="continuous"/>
        </w:sectPr>
      </w:pPr>
    </w:p>
    <w:p>
      <w:pPr>
        <w:spacing w:after="0" w:line="200" w:lineRule="exact"/>
        <w:rPr>
          <w:sz w:val="20"/>
          <w:szCs w:val="20"/>
          <w:color w:val="auto"/>
        </w:rPr>
      </w:pPr>
    </w:p>
    <w:p>
      <w:pPr>
        <w:spacing w:after="0" w:line="273" w:lineRule="exact"/>
        <w:rPr>
          <w:sz w:val="20"/>
          <w:szCs w:val="20"/>
          <w:color w:val="auto"/>
        </w:rPr>
      </w:pPr>
    </w:p>
    <w:p>
      <w:pPr>
        <w:ind w:left="860" w:hanging="84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Footnotes: </w:t>
      </w:r>
      <w:r>
        <w:rPr>
          <w:rFonts w:ascii="Times New Roman" w:cs="Times New Roman" w:eastAsia="Times New Roman" w:hAnsi="Times New Roman"/>
          <w:sz w:val="18"/>
          <w:szCs w:val="18"/>
          <w:color w:val="auto"/>
        </w:rPr>
        <w:t>BML Investment Partners, L.P. is a Delaware limited partnership whose sole general partner is BML Capital Management, LLC. The managing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 of BML Capital Management, LLC is Braden M.Leonard. As a result, Braden M.Leonard is deemed to be the indirect owner of the shares held directly by BML Investment Partners, L.P. Despite such shared beneficial ownership, the reporting persons disclaim that they constitute a statutory group within the meaning of Rule 13d-5(b) (1) of the Exchange 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367030</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sectPr>
      <w:pgSz w:w="11900" w:h="16838" w:orient="portrait"/>
      <w:cols w:equalWidth="0" w:num="1">
        <w:col w:w="11200"/>
      </w:cols>
      <w:pgMar w:left="320" w:top="752"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o"/>
      <w:numFmt w:val="bullet"/>
      <w:start w:val="1"/>
    </w:lvl>
  </w:abstractNum>
  <w:abstractNum w:abstractNumId="1">
    <w:nsid w:val="3D1B58BA"/>
    <w:multiLevelType w:val="hybridMultilevel"/>
    <w:lvl w:ilvl="0">
      <w:lvlJc w:val="left"/>
      <w:lvlText w:val="4"/>
      <w:numFmt w:val="bullet"/>
      <w:start w:val="1"/>
    </w:lvl>
  </w:abstractNum>
  <w:abstractNum w:abstractNumId="2">
    <w:nsid w:val="507ED7AB"/>
    <w:multiLevelType w:val="hybridMultilevel"/>
    <w:lvl w:ilvl="0">
      <w:lvlJc w:val="left"/>
      <w:lvlText w:val="9"/>
      <w:numFmt w:val="bullet"/>
      <w:start w:val="1"/>
    </w:lvl>
  </w:abstractNum>
  <w:abstractNum w:abstractNumId="3">
    <w:nsid w:val="2EB141F2"/>
    <w:multiLevelType w:val="hybridMultilevel"/>
    <w:lvl w:ilvl="0">
      <w:lvlJc w:val="left"/>
      <w:lvlText w:val="4"/>
      <w:numFmt w:val="bullet"/>
      <w:start w:val="1"/>
    </w:lvl>
  </w:abstractNum>
  <w:abstractNum w:abstractNumId="4">
    <w:nsid w:val="41B71EFB"/>
    <w:multiLevelType w:val="hybridMultilevel"/>
    <w:lvl w:ilvl="0">
      <w:lvlJc w:val="left"/>
      <w:lvlText w:val="9"/>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2022-04-13T15:12:26Z</dcterms:created>
  <dcterms:modified xsi:type="dcterms:W3CDTF">2022-04-13T15:12:26Z</dcterms:modified>
</cp:coreProperties>
</file>