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Ashiya Mona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4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4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 or</w:t>
            </w:r>
          </w:p>
        </w:tc>
        <w:tc>
          <w:tcPr>
            <w:tcW w:w="4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240" w:type="dxa"/>
            <w:vAlign w:val="bottom"/>
            <w:gridSpan w:val="2"/>
            <w:vMerge w:val="restart"/>
          </w:tcPr>
          <w:p>
            <w:pPr>
              <w:ind w:left="400"/>
              <w:spacing w:after="0" w:line="133" w:lineRule="exact"/>
              <w:rPr>
                <w:sz w:val="20"/>
                <w:szCs w:val="20"/>
                <w:color w:val="auto"/>
              </w:rPr>
            </w:pPr>
            <w:r>
              <w:rPr>
                <w:rFonts w:ascii="Arial" w:cs="Arial" w:eastAsia="Arial" w:hAnsi="Arial"/>
                <w:sz w:val="12"/>
                <w:szCs w:val="12"/>
                <w:b w:val="1"/>
                <w:bCs w:val="1"/>
                <w:color w:val="auto"/>
              </w:rPr>
              <w:t>(Instr. 4)</w:t>
            </w: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06/17/2024</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28,404</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w:t>
            </w:r>
          </w:p>
        </w:tc>
        <w:tc>
          <w:tcPr>
            <w:tcW w:w="156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608,611</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06/17/2024</w:t>
            </w: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43,944</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941,569</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06/17/2024</w:t>
            </w: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10,986</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235,391</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6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LLC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jc w:val="both"/>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4"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 OrbiMed Advisors, GP VI, GP VIII, and Genesis GP disclaims beneficial ownership of the securities reported herein for purposes of Rule 16a-1(a) under the Securities Exchange Act of 1934, as amended (the "Exchange Act"), except to the extent of her or its pecuniary interest therein, if any. This report shall not be deemed an admission that any such entity or person is a beneficial owner of such securities for purposes of Section 16 of the Exchange Act, or for any other purpose.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Mona Ashiya</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06/20/2024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4070"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2024-06-20T16:33:12Z</dcterms:created>
  <dcterms:modified xsi:type="dcterms:W3CDTF">2024-06-20T16:33:12Z</dcterms:modified>
</cp:coreProperties>
</file>