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GEMINI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85-1612845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124"/>
        <w:spacing w:after="0"/>
        <w:rPr>
          <w:sz w:val="20"/>
          <w:szCs w:val="20"/>
          <w:color w:val="auto"/>
        </w:rPr>
      </w:pPr>
      <w:r>
        <w:rPr>
          <w:rFonts w:ascii="Times New Roman" w:cs="Times New Roman" w:eastAsia="Times New Roman" w:hAnsi="Times New Roman"/>
          <w:sz w:val="17"/>
          <w:szCs w:val="17"/>
          <w:b w:val="1"/>
          <w:bCs w:val="1"/>
          <w:color w:val="auto"/>
        </w:rPr>
        <w:t>297 Boston Post Road #248, Wayland, MA</w:t>
      </w:r>
      <w:r>
        <w:rPr>
          <w:rFonts w:ascii="Times New Roman" w:cs="Times New Roman" w:eastAsia="Times New Roman" w:hAnsi="Times New Roman"/>
          <w:sz w:val="12"/>
          <w:szCs w:val="12"/>
          <w:b w:val="1"/>
          <w:bCs w:val="1"/>
          <w:color w:val="auto"/>
        </w:rPr>
        <w:t>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01778</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(617) 401-4400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7" w:lineRule="exact"/>
        <w:rPr>
          <w:sz w:val="24"/>
          <w:szCs w:val="24"/>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1" w:lineRule="exact"/>
        <w:rPr>
          <w:sz w:val="24"/>
          <w:szCs w:val="24"/>
          <w:color w:val="auto"/>
        </w:rPr>
      </w:pPr>
    </w:p>
    <w:p>
      <w:pPr>
        <w:ind w:left="964" w:hanging="532"/>
        <w:spacing w:after="0"/>
        <w:tabs>
          <w:tab w:leader="none" w:pos="9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GMTX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24" w:right="180" w:hanging="424"/>
        <w:spacing w:after="0" w:line="282" w:lineRule="auto"/>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424" w:right="180" w:hanging="424"/>
        <w:spacing w:after="0" w:line="282" w:lineRule="auto"/>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165735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285750</wp:posOffset>
            </wp:positionV>
            <wp:extent cx="77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left="224" w:right="700" w:hanging="224"/>
        <w:spacing w:after="0" w:line="208" w:lineRule="auto"/>
        <w:tabs>
          <w:tab w:leader="none" w:pos="224"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Company does not currently maintain a physical headquarters but maintains a mailing address at 297 Boston Post Road #248, Wayland, MA01778.</w:t>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1204" w:right="1000" w:hanging="1200"/>
        <w:spacing w:after="0" w:line="286" w:lineRule="auto"/>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left="4"/>
        <w:spacing w:after="0" w:line="270" w:lineRule="auto"/>
        <w:rPr>
          <w:sz w:val="20"/>
          <w:szCs w:val="20"/>
          <w:color w:val="auto"/>
        </w:rPr>
      </w:pPr>
      <w:r>
        <w:rPr>
          <w:rFonts w:ascii="Times New Roman" w:cs="Times New Roman" w:eastAsia="Times New Roman" w:hAnsi="Times New Roman"/>
          <w:sz w:val="17"/>
          <w:szCs w:val="17"/>
          <w:color w:val="auto"/>
        </w:rPr>
        <w:t>On December 2, 2022, Gemini Therapeutics, Inc. (the “Company”) awarded its interim Chief Executive Officer and Chairman of the Board of Directors, Georges Gemayel, Ph.D., a one-time bonus award, pursuant to which Dr. Gemayel is eligible to receive (a) a cash incentive bonus of $300,000, less all applicable withholding, and (b) provided he is eligible for and timely elects to continue receiving group health insurance pursuant to the Consolidated Omnibus Budget Reconciliation Act, payment by or reimbursement from the Company of 100% of the premiums for such coverage for up to eighteen</w:t>
      </w:r>
    </w:p>
    <w:p>
      <w:pPr>
        <w:spacing w:after="0" w:line="3" w:lineRule="exact"/>
        <w:rPr>
          <w:sz w:val="20"/>
          <w:szCs w:val="20"/>
          <w:color w:val="auto"/>
        </w:rPr>
      </w:pPr>
    </w:p>
    <w:p>
      <w:pPr>
        <w:ind w:left="344" w:hanging="344"/>
        <w:spacing w:after="0"/>
        <w:tabs>
          <w:tab w:leader="none" w:pos="3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his employment termination date, provided that if this benefits continuation violates the nondiscrimination requirements of</w:t>
      </w:r>
    </w:p>
    <w:p>
      <w:pPr>
        <w:spacing w:after="0" w:line="9" w:lineRule="exact"/>
        <w:rPr>
          <w:rFonts w:ascii="Times New Roman" w:cs="Times New Roman" w:eastAsia="Times New Roman" w:hAnsi="Times New Roman"/>
          <w:sz w:val="18"/>
          <w:szCs w:val="18"/>
          <w:color w:val="auto"/>
        </w:rPr>
      </w:pPr>
    </w:p>
    <w:p>
      <w:pPr>
        <w:jc w:val="both"/>
        <w:ind w:left="4"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this benefit will not be provided, in each case, subject to and effective upon the completion of the proposed merger transaction between the Company and Disc Medicine, Inc. (“Disc”) pursuant to the Agreement and Plan of Merger, by and between the Company and Disc, dated August 9, 2022.</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Current Report on Form 8-K contains forward-looking statements (including within the meaning of Section</w:t>
      </w:r>
    </w:p>
    <w:p>
      <w:pPr>
        <w:spacing w:after="0" w:line="27"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21E of the Exchange Act and Section 27A of the Securities Act of 1933, as amended (the “Securities Act”)) concerning Gemini, Disc, the proposed transaction and other matters. These forward-looking statements include express or implied statements relating to Gemini’s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Gemini, Disc or the proposed transaction will be those that have been anticipated. These forward-looking statements involve a number of risks, uncertainties (some of which are beyond Gemini’s control) or other assumptions that may cause actual results or performance to be materially different from those expressed or implied by these forward-looking statements. These risks and uncertainties include, but are not limited to, the risk that the conditions to the closing of the transaction are not satisfied, including the failure to obtain stockholder approval for the transaction; and those factors described under the heading “Risk Factors” in the Gemini’s most recent Annual Report on Form 10-K filed with the SEC and the definitive proxy/prospectus filed by Gemini with the SEC on December 2, 2022, as well as discussions of potential risks, uncertainties, and other important factors included in later filings, including any Quarterly Reports on Form 10-Q and Current Reports on Form 8-K. Should one or more of these risks or uncertainties materialize, or should any of Gemini’s assumptions prove incorrect, actual results may vary in material respects from those projected in these forward-looking statements. It is not possible to predict or identify all such risks. Gemini’s forward-looking statements only speak as of the date they are made, and Gemini does not undertake any obligation to update or revise any forward-looking statements, whether as a result of new information, future events or otherwise, except as may be required under applicable securities laws.</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This Current Report on Form 8-K is not intended to and does not constitute an offer to sell or the solicitation of an offer to subscribe for or buy or an invitation to purchase or subscribe for any securities or the solicitation of any vote in any jurisdiction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Important Additional Information Will be Filed with the SEC</w:t>
      </w:r>
    </w:p>
    <w:p>
      <w:pPr>
        <w:spacing w:after="0" w:line="121" w:lineRule="exact"/>
        <w:rPr>
          <w:sz w:val="20"/>
          <w:szCs w:val="20"/>
          <w:color w:val="auto"/>
        </w:rPr>
      </w:pPr>
    </w:p>
    <w:p>
      <w:pPr>
        <w:ind w:left="4" w:right="6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between Gemini and Disc, Gemini filed with the SEC a registration statement on Form S-4, as amended, containing a definitive proxy statement/prospectus of Gemini. The registration statement was declared effective by the SEC on December 2, 2022, and the special meeting of Gemini stockholders is scheduled to be held on December 28, 2022. GEMINI URGES INVESTORS AND STOCKHOLDERS TO READ THESE MATERIALS CAREFULLY AND IN THEIR ENTIRETY BECAUSE THEY CONTAIN IMPORTANT INFORMATION ABOUT GEMINI, DISC, THE PROPOSED TRANSACTION AND RELATED MATTERS. Investors and shareholders are able to obtain free copies of the definitive proxy statement/prospectus and other documents filed by Gemini with the SEC through the website maintained by the SEC at www.sec.gov. In addition, investors and shareholders should note that Gemini communicates with investors and the public using its website (www.geminitherapeutics.com) and the investor relations website (https://investors.geminitherapeutics.com/) where anyone is able to obtain free copies of the proxy statement/prospectus and other documents filed by Gemini with the SEC and stockholders are urged to read the proxy statement/prospectus/information statement and the other relevant materials before making any voting or investment decision with respect to the proposed transaction.</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Gemini, Disc and their respective directors and executive officers may be deemed to be participants in the solicitation of proxies in connection with the proposed transaction. Information about Gemini’s directors and executive officers is included in Gemini’s most recent Annual Report on Form 10-K, including any information incorporated therein by reference as filed with the SEC, and the definitive proxy/prospectus filed by Gemini with the SEC on December 2, 2022, and any amendments thereto as filed with the SEC. These documents can be obtained free of charge from the sources indicated above.</w:t>
      </w:r>
    </w:p>
    <w:p>
      <w:pPr>
        <w:sectPr>
          <w:pgSz w:w="11900" w:h="16838" w:orient="portrait"/>
          <w:cols w:equalWidth="0" w:num="1">
            <w:col w:w="11004"/>
          </w:cols>
          <w:pgMar w:left="436" w:top="266" w:right="459" w:bottom="1440" w:gutter="0" w:footer="0" w:header="0"/>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Brian Piekos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8, 2022</w:t>
      </w:r>
    </w:p>
    <w:sectPr>
      <w:pgSz w:w="11900" w:h="16838" w:orient="portrait"/>
      <w:cols w:equalWidth="0" w:num="1">
        <w:col w:w="10260"/>
      </w:cols>
      <w:pgMar w:left="440" w:top="266"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bullet"/>
      <w:start w:val="1"/>
    </w:lvl>
  </w:abstractNum>
  <w:abstractNum w:abstractNumId="5">
    <w:nsid w:val="507ED7AB"/>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2022-12-08T15:35:36Z</dcterms:created>
  <dcterms:modified xsi:type="dcterms:W3CDTF">2022-12-08T15:35:36Z</dcterms:modified>
</cp:coreProperties>
</file>