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GEMINI THERAPEUTICS,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268"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469265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FOR ANNUAL MEETING OF STOCKHOLDERS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160020</wp:posOffset>
            </wp:positionV>
            <wp:extent cx="2391410" cy="1568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141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Proxy Statement dated August 17, 2021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and first mailed to stockholders on or about August 17,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 xml:space="preserve">You are cordially invited to attend the 2021 Annual Meeting of Stockholders (“Annual Meeting”) of Gemini Therapeutics, Inc. (the “Company”) at 10:00 a.m., Eastern Time, on September 29, 2021. The Annual Meeting will be held in a virtual-only format. Stockholders will be able to attend and participate in the Annual Meeting online by visiting the following website </w:t>
      </w:r>
      <w:r>
        <w:rPr>
          <w:rFonts w:ascii="Arial" w:cs="Arial" w:eastAsia="Arial" w:hAnsi="Arial"/>
          <w:sz w:val="18"/>
          <w:szCs w:val="18"/>
          <w:i w:val="1"/>
          <w:iCs w:val="1"/>
          <w:u w:val="single" w:color="auto"/>
          <w:color w:val="auto"/>
        </w:rPr>
        <w:t>www.virtualshareholdermeeting.com/GMTX2021</w:t>
      </w:r>
      <w:r>
        <w:rPr>
          <w:rFonts w:ascii="Arial" w:cs="Arial" w:eastAsia="Arial" w:hAnsi="Arial"/>
          <w:sz w:val="18"/>
          <w:szCs w:val="18"/>
          <w:color w:val="auto"/>
        </w:rPr>
        <w:t>, where you will be able to listen to the meeting live, submit questions, and vote.</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elected to take advantage of Securities and Exchange Commission rules that allow companies to furnish proxy materials to their stockholders by providing notice of and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of Internet Availability of Proxy Materials, or Notice, with instructions on how they may access and review our proxy materials and our 2020 Annual Report on Form 10-K on the Internet and how they may cast their vote via the Internet. If you would like to receive a printed or e-mail copy of our proxy materials, please follow the instructions for requesting the materials in the Notice that is being sent to you.</w:t>
      </w:r>
    </w:p>
    <w:p>
      <w:pPr>
        <w:spacing w:after="0" w:line="173" w:lineRule="exact"/>
        <w:rPr>
          <w:sz w:val="20"/>
          <w:szCs w:val="20"/>
          <w:color w:val="auto"/>
        </w:rPr>
      </w:pPr>
    </w:p>
    <w:p>
      <w:pPr>
        <w:ind w:left="120" w:right="120"/>
        <w:spacing w:after="0" w:line="261" w:lineRule="auto"/>
        <w:rPr>
          <w:sz w:val="20"/>
          <w:szCs w:val="20"/>
          <w:color w:val="auto"/>
        </w:rPr>
      </w:pPr>
      <w:r>
        <w:rPr>
          <w:rFonts w:ascii="Arial" w:cs="Arial" w:eastAsia="Arial" w:hAnsi="Arial"/>
          <w:sz w:val="18"/>
          <w:szCs w:val="18"/>
          <w:b w:val="1"/>
          <w:bCs w:val="1"/>
          <w:color w:val="auto"/>
        </w:rPr>
        <w:t>Your vote is very important. Whether or not you plan to attend the virtual Annual Meeting, we urge you to read the enclosed proxy statement and vote as soon as possible via the Internet, by telephone or, if you receive a paper proxy card or voting instruction form in the mail, by mailing the completed proxy card or voting instruction form. For specific voting instructions, please refer to the information provided in the accompanying Proxy Statement and in the Notice.</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 record of our business activities for the 2020 fiscal year is contained in our 2020 Annual Report to Stockholders on Form 10-K for the fiscal year ended December 31, 2020 (the “2020 Annual Report to Stockholders”).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confidence and continued support of Gemini Therapeutics.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Meyenburg</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205740</wp:posOffset>
            </wp:positionV>
            <wp:extent cx="1783080" cy="1165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20" w:type="dxa"/>
            <w:vAlign w:val="bottom"/>
            <w:gridSpan w:val="4"/>
          </w:tcPr>
          <w:p>
            <w:pPr>
              <w:ind w:left="1020"/>
              <w:spacing w:after="0"/>
              <w:rPr>
                <w:sz w:val="20"/>
                <w:szCs w:val="20"/>
                <w:color w:val="auto"/>
              </w:rPr>
            </w:pPr>
            <w:r>
              <w:rPr>
                <w:rFonts w:ascii="Arial" w:cs="Arial" w:eastAsia="Arial" w:hAnsi="Arial"/>
                <w:sz w:val="18"/>
                <w:szCs w:val="18"/>
                <w:b w:val="1"/>
                <w:bCs w:val="1"/>
                <w:color w:val="auto"/>
              </w:rPr>
              <w:t>NOTICE OF 2021 ANNUAL MEETING OF STOCKHOLDERS</w:t>
            </w:r>
          </w:p>
        </w:tc>
      </w:tr>
      <w:tr>
        <w:trPr>
          <w:trHeight w:val="459"/>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Time</w:t>
            </w:r>
          </w:p>
        </w:tc>
        <w:tc>
          <w:tcPr>
            <w:tcW w:w="9260" w:type="dxa"/>
            <w:vAlign w:val="bottom"/>
            <w:gridSpan w:val="5"/>
          </w:tcPr>
          <w:p>
            <w:pPr>
              <w:spacing w:after="0"/>
              <w:rPr>
                <w:sz w:val="20"/>
                <w:szCs w:val="20"/>
                <w:color w:val="auto"/>
              </w:rPr>
            </w:pPr>
            <w:r>
              <w:rPr>
                <w:rFonts w:ascii="Arial" w:cs="Arial" w:eastAsia="Arial" w:hAnsi="Arial"/>
                <w:sz w:val="18"/>
                <w:szCs w:val="18"/>
                <w:color w:val="auto"/>
              </w:rPr>
              <w:t>10:00 a.m., Eastern Time</w:t>
            </w:r>
          </w:p>
        </w:tc>
      </w:tr>
      <w:tr>
        <w:trPr>
          <w:trHeight w:val="324"/>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Date</w:t>
            </w:r>
          </w:p>
        </w:tc>
        <w:tc>
          <w:tcPr>
            <w:tcW w:w="9260" w:type="dxa"/>
            <w:vAlign w:val="bottom"/>
            <w:gridSpan w:val="5"/>
          </w:tcPr>
          <w:p>
            <w:pPr>
              <w:spacing w:after="0"/>
              <w:rPr>
                <w:sz w:val="20"/>
                <w:szCs w:val="20"/>
                <w:color w:val="auto"/>
              </w:rPr>
            </w:pPr>
            <w:r>
              <w:rPr>
                <w:rFonts w:ascii="Arial" w:cs="Arial" w:eastAsia="Arial" w:hAnsi="Arial"/>
                <w:sz w:val="18"/>
                <w:szCs w:val="18"/>
                <w:color w:val="auto"/>
              </w:rPr>
              <w:t>September 29, 2021</w:t>
            </w:r>
          </w:p>
        </w:tc>
      </w:tr>
      <w:tr>
        <w:trPr>
          <w:trHeight w:val="310"/>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Place</w:t>
            </w:r>
          </w:p>
        </w:tc>
        <w:tc>
          <w:tcPr>
            <w:tcW w:w="9260" w:type="dxa"/>
            <w:vAlign w:val="bottom"/>
            <w:gridSpan w:val="5"/>
          </w:tcPr>
          <w:p>
            <w:pPr>
              <w:spacing w:after="0"/>
              <w:rPr>
                <w:sz w:val="20"/>
                <w:szCs w:val="20"/>
                <w:color w:val="auto"/>
              </w:rPr>
            </w:pPr>
            <w:r>
              <w:rPr>
                <w:rFonts w:ascii="Arial" w:cs="Arial" w:eastAsia="Arial" w:hAnsi="Arial"/>
                <w:sz w:val="18"/>
                <w:szCs w:val="18"/>
                <w:color w:val="auto"/>
              </w:rPr>
              <w:t>The 2021 Annual Meeting will be held entirely online at</w:t>
            </w:r>
          </w:p>
        </w:tc>
      </w:tr>
      <w:tr>
        <w:trPr>
          <w:trHeight w:val="190"/>
        </w:trPr>
        <w:tc>
          <w:tcPr>
            <w:tcW w:w="1760" w:type="dxa"/>
            <w:vAlign w:val="bottom"/>
          </w:tcPr>
          <w:p>
            <w:pPr>
              <w:spacing w:after="0"/>
              <w:rPr>
                <w:sz w:val="16"/>
                <w:szCs w:val="16"/>
                <w:color w:val="auto"/>
              </w:rPr>
            </w:pPr>
          </w:p>
        </w:tc>
        <w:tc>
          <w:tcPr>
            <w:tcW w:w="9260" w:type="dxa"/>
            <w:vAlign w:val="bottom"/>
            <w:gridSpan w:val="5"/>
          </w:tcPr>
          <w:p>
            <w:pPr>
              <w:spacing w:after="0" w:line="190" w:lineRule="exact"/>
              <w:rPr>
                <w:sz w:val="20"/>
                <w:szCs w:val="20"/>
                <w:color w:val="auto"/>
              </w:rPr>
            </w:pPr>
            <w:r>
              <w:rPr>
                <w:rFonts w:ascii="Arial" w:cs="Arial" w:eastAsia="Arial" w:hAnsi="Arial"/>
                <w:sz w:val="18"/>
                <w:szCs w:val="18"/>
                <w:i w:val="1"/>
                <w:iCs w:val="1"/>
                <w:color w:val="auto"/>
              </w:rPr>
              <w:t>www.virtualshareholdermeeting.com/GMTX2021</w:t>
            </w:r>
            <w:r>
              <w:rPr>
                <w:rFonts w:ascii="Arial" w:cs="Arial" w:eastAsia="Arial" w:hAnsi="Arial"/>
                <w:sz w:val="18"/>
                <w:szCs w:val="18"/>
                <w:color w:val="auto"/>
              </w:rPr>
              <w:t>.</w:t>
            </w:r>
          </w:p>
        </w:tc>
      </w:tr>
      <w:tr>
        <w:trPr>
          <w:trHeight w:val="20"/>
        </w:trPr>
        <w:tc>
          <w:tcPr>
            <w:tcW w:w="1760" w:type="dxa"/>
            <w:vAlign w:val="bottom"/>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58"/>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Purpose</w:t>
            </w:r>
          </w:p>
        </w:tc>
        <w:tc>
          <w:tcPr>
            <w:tcW w:w="9260" w:type="dxa"/>
            <w:vAlign w:val="bottom"/>
            <w:gridSpan w:val="5"/>
          </w:tcPr>
          <w:p>
            <w:pPr>
              <w:spacing w:after="0"/>
              <w:rPr>
                <w:sz w:val="20"/>
                <w:szCs w:val="20"/>
                <w:color w:val="auto"/>
              </w:rPr>
            </w:pPr>
            <w:r>
              <w:rPr>
                <w:rFonts w:ascii="Arial" w:cs="Arial" w:eastAsia="Arial" w:hAnsi="Arial"/>
                <w:sz w:val="18"/>
                <w:szCs w:val="18"/>
                <w:color w:val="auto"/>
              </w:rPr>
              <w:t>We are holding the Annual Meeting for the following purposes:</w:t>
            </w:r>
          </w:p>
        </w:tc>
      </w:tr>
      <w:tr>
        <w:trPr>
          <w:trHeight w:val="323"/>
        </w:trPr>
        <w:tc>
          <w:tcPr>
            <w:tcW w:w="17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1.</w:t>
            </w:r>
          </w:p>
        </w:tc>
        <w:tc>
          <w:tcPr>
            <w:tcW w:w="9020" w:type="dxa"/>
            <w:vAlign w:val="bottom"/>
            <w:gridSpan w:val="4"/>
          </w:tcPr>
          <w:p>
            <w:pPr>
              <w:ind w:left="120"/>
              <w:spacing w:after="0"/>
              <w:rPr>
                <w:sz w:val="20"/>
                <w:szCs w:val="20"/>
                <w:color w:val="auto"/>
              </w:rPr>
            </w:pPr>
            <w:r>
              <w:rPr>
                <w:rFonts w:ascii="Arial" w:cs="Arial" w:eastAsia="Arial" w:hAnsi="Arial"/>
                <w:sz w:val="18"/>
                <w:szCs w:val="18"/>
                <w:color w:val="auto"/>
                <w:w w:val="93"/>
              </w:rPr>
              <w:t>To elect one Class I director, Carl L. Gordon, Ph.D., to serve until the 2024 annual meeting of stockholders, and until his</w:t>
            </w:r>
          </w:p>
        </w:tc>
      </w:tr>
      <w:tr>
        <w:trPr>
          <w:trHeight w:val="230"/>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20" w:type="dxa"/>
            <w:vAlign w:val="bottom"/>
            <w:gridSpan w:val="4"/>
          </w:tcPr>
          <w:p>
            <w:pPr>
              <w:ind w:left="120"/>
              <w:spacing w:after="0"/>
              <w:rPr>
                <w:sz w:val="20"/>
                <w:szCs w:val="20"/>
                <w:color w:val="auto"/>
              </w:rPr>
            </w:pPr>
            <w:r>
              <w:rPr>
                <w:rFonts w:ascii="Arial" w:cs="Arial" w:eastAsia="Arial" w:hAnsi="Arial"/>
                <w:sz w:val="18"/>
                <w:szCs w:val="18"/>
                <w:color w:val="auto"/>
              </w:rPr>
              <w:t>successor is duly elected and qualified;</w:t>
            </w:r>
          </w:p>
        </w:tc>
      </w:tr>
      <w:tr>
        <w:trPr>
          <w:trHeight w:val="338"/>
        </w:trPr>
        <w:tc>
          <w:tcPr>
            <w:tcW w:w="17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2.</w:t>
            </w:r>
          </w:p>
        </w:tc>
        <w:tc>
          <w:tcPr>
            <w:tcW w:w="9020" w:type="dxa"/>
            <w:vAlign w:val="bottom"/>
            <w:gridSpan w:val="4"/>
          </w:tcPr>
          <w:p>
            <w:pPr>
              <w:ind w:left="120"/>
              <w:spacing w:after="0"/>
              <w:rPr>
                <w:sz w:val="20"/>
                <w:szCs w:val="20"/>
                <w:color w:val="auto"/>
              </w:rPr>
            </w:pPr>
            <w:r>
              <w:rPr>
                <w:rFonts w:ascii="Arial" w:cs="Arial" w:eastAsia="Arial" w:hAnsi="Arial"/>
                <w:sz w:val="18"/>
                <w:szCs w:val="18"/>
                <w:color w:val="auto"/>
              </w:rPr>
              <w:t>To approve the 2021 Employee Stock Purchase Plan;</w:t>
            </w:r>
          </w:p>
        </w:tc>
      </w:tr>
      <w:tr>
        <w:trPr>
          <w:trHeight w:val="323"/>
        </w:trPr>
        <w:tc>
          <w:tcPr>
            <w:tcW w:w="17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3.</w:t>
            </w:r>
          </w:p>
        </w:tc>
        <w:tc>
          <w:tcPr>
            <w:tcW w:w="9020" w:type="dxa"/>
            <w:vAlign w:val="bottom"/>
            <w:gridSpan w:val="4"/>
          </w:tcPr>
          <w:p>
            <w:pPr>
              <w:ind w:left="120"/>
              <w:spacing w:after="0"/>
              <w:rPr>
                <w:sz w:val="20"/>
                <w:szCs w:val="20"/>
                <w:color w:val="auto"/>
              </w:rPr>
            </w:pPr>
            <w:r>
              <w:rPr>
                <w:rFonts w:ascii="Arial" w:cs="Arial" w:eastAsia="Arial" w:hAnsi="Arial"/>
                <w:sz w:val="18"/>
                <w:szCs w:val="18"/>
                <w:color w:val="auto"/>
                <w:w w:val="91"/>
              </w:rPr>
              <w:t>To ratify, on an advisory basis, the appointment of Ernst &amp; Young LLP, as independent registered public accounting firm of</w:t>
            </w:r>
          </w:p>
        </w:tc>
      </w:tr>
      <w:tr>
        <w:trPr>
          <w:trHeight w:val="230"/>
        </w:trPr>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20" w:type="dxa"/>
            <w:vAlign w:val="bottom"/>
            <w:gridSpan w:val="4"/>
          </w:tcPr>
          <w:p>
            <w:pPr>
              <w:ind w:left="120"/>
              <w:spacing w:after="0"/>
              <w:rPr>
                <w:sz w:val="20"/>
                <w:szCs w:val="20"/>
                <w:color w:val="auto"/>
              </w:rPr>
            </w:pPr>
            <w:r>
              <w:rPr>
                <w:rFonts w:ascii="Arial" w:cs="Arial" w:eastAsia="Arial" w:hAnsi="Arial"/>
                <w:sz w:val="18"/>
                <w:szCs w:val="18"/>
                <w:color w:val="auto"/>
              </w:rPr>
              <w:t>Gemini Therapeutics, Inc. (the “Company”) for the fiscal year ending December 31, 2021; and</w:t>
            </w:r>
          </w:p>
        </w:tc>
      </w:tr>
      <w:tr>
        <w:trPr>
          <w:trHeight w:val="338"/>
        </w:trPr>
        <w:tc>
          <w:tcPr>
            <w:tcW w:w="17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4.</w:t>
            </w:r>
          </w:p>
        </w:tc>
        <w:tc>
          <w:tcPr>
            <w:tcW w:w="9020" w:type="dxa"/>
            <w:vAlign w:val="bottom"/>
            <w:gridSpan w:val="4"/>
          </w:tcPr>
          <w:p>
            <w:pPr>
              <w:ind w:left="120"/>
              <w:spacing w:after="0"/>
              <w:rPr>
                <w:sz w:val="20"/>
                <w:szCs w:val="20"/>
                <w:color w:val="auto"/>
              </w:rPr>
            </w:pPr>
            <w:r>
              <w:rPr>
                <w:rFonts w:ascii="Arial" w:cs="Arial" w:eastAsia="Arial" w:hAnsi="Arial"/>
                <w:sz w:val="18"/>
                <w:szCs w:val="18"/>
                <w:color w:val="auto"/>
                <w:w w:val="92"/>
              </w:rPr>
              <w:t>To transact any other business that may properly come before the meeting or any adjournment or postponement thereof.</w:t>
            </w:r>
          </w:p>
        </w:tc>
      </w:tr>
      <w:tr>
        <w:trPr>
          <w:trHeight w:val="338"/>
        </w:trPr>
        <w:tc>
          <w:tcPr>
            <w:tcW w:w="1760" w:type="dxa"/>
            <w:vAlign w:val="bottom"/>
          </w:tcPr>
          <w:p>
            <w:pPr>
              <w:spacing w:after="0"/>
              <w:rPr>
                <w:sz w:val="24"/>
                <w:szCs w:val="24"/>
                <w:color w:val="auto"/>
              </w:rPr>
            </w:pPr>
          </w:p>
        </w:tc>
        <w:tc>
          <w:tcPr>
            <w:tcW w:w="9260" w:type="dxa"/>
            <w:vAlign w:val="bottom"/>
            <w:gridSpan w:val="5"/>
          </w:tcPr>
          <w:p>
            <w:pPr>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tc>
      </w:tr>
      <w:tr>
        <w:trPr>
          <w:trHeight w:val="323"/>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9260" w:type="dxa"/>
            <w:vAlign w:val="bottom"/>
            <w:gridSpan w:val="5"/>
          </w:tcPr>
          <w:p>
            <w:pPr>
              <w:spacing w:after="0"/>
              <w:rPr>
                <w:sz w:val="20"/>
                <w:szCs w:val="20"/>
                <w:color w:val="auto"/>
              </w:rPr>
            </w:pPr>
            <w:r>
              <w:rPr>
                <w:rFonts w:ascii="Arial" w:cs="Arial" w:eastAsia="Arial" w:hAnsi="Arial"/>
                <w:sz w:val="18"/>
                <w:szCs w:val="18"/>
                <w:color w:val="auto"/>
                <w:w w:val="92"/>
              </w:rPr>
              <w:t>The Board of Directors of the Company (the “Board”) has fixed the close of business on August 2, 2021 as the record date for</w:t>
            </w:r>
          </w:p>
        </w:tc>
      </w:tr>
      <w:tr>
        <w:trPr>
          <w:trHeight w:val="230"/>
        </w:trPr>
        <w:tc>
          <w:tcPr>
            <w:tcW w:w="1760" w:type="dxa"/>
            <w:vAlign w:val="bottom"/>
          </w:tcPr>
          <w:p>
            <w:pPr>
              <w:spacing w:after="0"/>
              <w:rPr>
                <w:sz w:val="20"/>
                <w:szCs w:val="20"/>
                <w:color w:val="auto"/>
              </w:rPr>
            </w:pPr>
          </w:p>
        </w:tc>
        <w:tc>
          <w:tcPr>
            <w:tcW w:w="9260" w:type="dxa"/>
            <w:vAlign w:val="bottom"/>
            <w:gridSpan w:val="5"/>
          </w:tcPr>
          <w:p>
            <w:pPr>
              <w:spacing w:after="0"/>
              <w:rPr>
                <w:sz w:val="20"/>
                <w:szCs w:val="20"/>
                <w:color w:val="auto"/>
              </w:rPr>
            </w:pPr>
            <w:r>
              <w:rPr>
                <w:rFonts w:ascii="Arial" w:cs="Arial" w:eastAsia="Arial" w:hAnsi="Arial"/>
                <w:sz w:val="18"/>
                <w:szCs w:val="18"/>
                <w:color w:val="auto"/>
              </w:rPr>
              <w:t>determining stockholders entitled to notice of and to vote at the meeting.</w:t>
            </w:r>
          </w:p>
        </w:tc>
      </w:tr>
      <w:tr>
        <w:trPr>
          <w:trHeight w:val="310"/>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Meeting Admission</w:t>
            </w:r>
          </w:p>
        </w:tc>
        <w:tc>
          <w:tcPr>
            <w:tcW w:w="9260" w:type="dxa"/>
            <w:vAlign w:val="bottom"/>
            <w:gridSpan w:val="5"/>
          </w:tcPr>
          <w:p>
            <w:pPr>
              <w:spacing w:after="0"/>
              <w:rPr>
                <w:sz w:val="20"/>
                <w:szCs w:val="20"/>
                <w:color w:val="auto"/>
              </w:rPr>
            </w:pPr>
            <w:r>
              <w:rPr>
                <w:rFonts w:ascii="Arial" w:cs="Arial" w:eastAsia="Arial" w:hAnsi="Arial"/>
                <w:sz w:val="18"/>
                <w:szCs w:val="18"/>
                <w:color w:val="auto"/>
                <w:w w:val="90"/>
              </w:rPr>
              <w:t>All stockholders as of the record date, or their duly appointed proxies, may attend the meeting. You will not be able to attend the</w:t>
            </w:r>
          </w:p>
        </w:tc>
      </w:tr>
      <w:tr>
        <w:trPr>
          <w:trHeight w:val="190"/>
        </w:trPr>
        <w:tc>
          <w:tcPr>
            <w:tcW w:w="1760" w:type="dxa"/>
            <w:vAlign w:val="bottom"/>
          </w:tcPr>
          <w:p>
            <w:pPr>
              <w:spacing w:after="0"/>
              <w:rPr>
                <w:sz w:val="16"/>
                <w:szCs w:val="16"/>
                <w:color w:val="auto"/>
              </w:rPr>
            </w:pPr>
          </w:p>
        </w:tc>
        <w:tc>
          <w:tcPr>
            <w:tcW w:w="9260" w:type="dxa"/>
            <w:vAlign w:val="bottom"/>
            <w:gridSpan w:val="5"/>
          </w:tcPr>
          <w:p>
            <w:pPr>
              <w:spacing w:after="0" w:line="190" w:lineRule="exact"/>
              <w:rPr>
                <w:sz w:val="20"/>
                <w:szCs w:val="20"/>
                <w:color w:val="auto"/>
              </w:rPr>
            </w:pPr>
            <w:r>
              <w:rPr>
                <w:rFonts w:ascii="Arial" w:cs="Arial" w:eastAsia="Arial" w:hAnsi="Arial"/>
                <w:sz w:val="18"/>
                <w:szCs w:val="18"/>
                <w:color w:val="auto"/>
                <w:w w:val="95"/>
              </w:rPr>
              <w:t xml:space="preserve">Annual Meeting physically. To be admitted to the Annual Meeting at </w:t>
            </w:r>
            <w:r>
              <w:rPr>
                <w:rFonts w:ascii="Arial" w:cs="Arial" w:eastAsia="Arial" w:hAnsi="Arial"/>
                <w:sz w:val="18"/>
                <w:szCs w:val="18"/>
                <w:i w:val="1"/>
                <w:iCs w:val="1"/>
                <w:color w:val="auto"/>
                <w:w w:val="95"/>
              </w:rPr>
              <w:t>www.virtualshareholdermeeting.com/GMTX2021</w:t>
            </w:r>
            <w:r>
              <w:rPr>
                <w:rFonts w:ascii="Arial" w:cs="Arial" w:eastAsia="Arial" w:hAnsi="Arial"/>
                <w:sz w:val="18"/>
                <w:szCs w:val="18"/>
                <w:color w:val="auto"/>
                <w:w w:val="95"/>
              </w:rPr>
              <w:t>, you</w:t>
            </w:r>
          </w:p>
        </w:tc>
      </w:tr>
      <w:tr>
        <w:trPr>
          <w:trHeight w:val="20"/>
        </w:trPr>
        <w:tc>
          <w:tcPr>
            <w:tcW w:w="176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7"/>
        </w:trPr>
        <w:tc>
          <w:tcPr>
            <w:tcW w:w="1760" w:type="dxa"/>
            <w:vAlign w:val="bottom"/>
          </w:tcPr>
          <w:p>
            <w:pPr>
              <w:spacing w:after="0"/>
              <w:rPr>
                <w:sz w:val="20"/>
                <w:szCs w:val="20"/>
                <w:color w:val="auto"/>
              </w:rPr>
            </w:pPr>
          </w:p>
        </w:tc>
        <w:tc>
          <w:tcPr>
            <w:tcW w:w="9260" w:type="dxa"/>
            <w:vAlign w:val="bottom"/>
            <w:gridSpan w:val="5"/>
          </w:tcPr>
          <w:p>
            <w:pPr>
              <w:spacing w:after="0"/>
              <w:rPr>
                <w:sz w:val="20"/>
                <w:szCs w:val="20"/>
                <w:color w:val="auto"/>
              </w:rPr>
            </w:pPr>
            <w:r>
              <w:rPr>
                <w:rFonts w:ascii="Arial" w:cs="Arial" w:eastAsia="Arial" w:hAnsi="Arial"/>
                <w:sz w:val="18"/>
                <w:szCs w:val="18"/>
                <w:color w:val="auto"/>
              </w:rPr>
              <w:t>must enter the 16-digit control number found on your proxy card, voting instruction form or Notice card.</w:t>
            </w:r>
          </w:p>
        </w:tc>
      </w:tr>
      <w:tr>
        <w:trPr>
          <w:trHeight w:val="310"/>
        </w:trPr>
        <w:tc>
          <w:tcPr>
            <w:tcW w:w="1760" w:type="dxa"/>
            <w:vAlign w:val="bottom"/>
          </w:tcPr>
          <w:p>
            <w:pPr>
              <w:spacing w:after="0"/>
              <w:rPr>
                <w:sz w:val="20"/>
                <w:szCs w:val="20"/>
                <w:color w:val="auto"/>
              </w:rPr>
            </w:pPr>
            <w:r>
              <w:rPr>
                <w:rFonts w:ascii="Arial" w:cs="Arial" w:eastAsia="Arial" w:hAnsi="Arial"/>
                <w:sz w:val="18"/>
                <w:szCs w:val="18"/>
                <w:b w:val="1"/>
                <w:bCs w:val="1"/>
                <w:i w:val="1"/>
                <w:iCs w:val="1"/>
                <w:color w:val="auto"/>
              </w:rPr>
              <w:t>Voting by Proxy</w:t>
            </w:r>
          </w:p>
        </w:tc>
        <w:tc>
          <w:tcPr>
            <w:tcW w:w="9260" w:type="dxa"/>
            <w:vAlign w:val="bottom"/>
            <w:gridSpan w:val="5"/>
          </w:tcPr>
          <w:p>
            <w:pPr>
              <w:spacing w:after="0"/>
              <w:rPr>
                <w:sz w:val="20"/>
                <w:szCs w:val="20"/>
                <w:color w:val="auto"/>
              </w:rPr>
            </w:pPr>
            <w:r>
              <w:rPr>
                <w:rFonts w:ascii="Arial" w:cs="Arial" w:eastAsia="Arial" w:hAnsi="Arial"/>
                <w:sz w:val="18"/>
                <w:szCs w:val="18"/>
                <w:color w:val="auto"/>
                <w:w w:val="93"/>
              </w:rPr>
              <w:t>YOUR VOTE IS VERY IMPORTANT. You may vote during the Annual Meeting by following the instructions available on the</w:t>
            </w:r>
          </w:p>
        </w:tc>
      </w:tr>
      <w:tr>
        <w:trPr>
          <w:trHeight w:val="216"/>
        </w:trPr>
        <w:tc>
          <w:tcPr>
            <w:tcW w:w="1760" w:type="dxa"/>
            <w:vAlign w:val="bottom"/>
          </w:tcPr>
          <w:p>
            <w:pPr>
              <w:spacing w:after="0"/>
              <w:rPr>
                <w:sz w:val="18"/>
                <w:szCs w:val="18"/>
                <w:color w:val="auto"/>
              </w:rPr>
            </w:pPr>
          </w:p>
        </w:tc>
        <w:tc>
          <w:tcPr>
            <w:tcW w:w="9260" w:type="dxa"/>
            <w:vAlign w:val="bottom"/>
            <w:gridSpan w:val="5"/>
          </w:tcPr>
          <w:p>
            <w:pPr>
              <w:spacing w:after="0"/>
              <w:rPr>
                <w:sz w:val="20"/>
                <w:szCs w:val="20"/>
                <w:color w:val="auto"/>
              </w:rPr>
            </w:pPr>
            <w:r>
              <w:rPr>
                <w:rFonts w:ascii="Arial" w:cs="Arial" w:eastAsia="Arial" w:hAnsi="Arial"/>
                <w:sz w:val="18"/>
                <w:szCs w:val="18"/>
                <w:color w:val="auto"/>
                <w:w w:val="92"/>
              </w:rPr>
              <w:t>meeting website during the meeting, but if you are not able to attend virtually, please submit your vote as soon as possible as</w:t>
            </w:r>
          </w:p>
        </w:tc>
      </w:tr>
      <w:tr>
        <w:trPr>
          <w:trHeight w:val="230"/>
        </w:trPr>
        <w:tc>
          <w:tcPr>
            <w:tcW w:w="1760" w:type="dxa"/>
            <w:vAlign w:val="bottom"/>
          </w:tcPr>
          <w:p>
            <w:pPr>
              <w:spacing w:after="0"/>
              <w:rPr>
                <w:sz w:val="20"/>
                <w:szCs w:val="20"/>
                <w:color w:val="auto"/>
              </w:rPr>
            </w:pPr>
          </w:p>
        </w:tc>
        <w:tc>
          <w:tcPr>
            <w:tcW w:w="9260" w:type="dxa"/>
            <w:vAlign w:val="bottom"/>
            <w:gridSpan w:val="5"/>
          </w:tcPr>
          <w:p>
            <w:pPr>
              <w:spacing w:after="0"/>
              <w:rPr>
                <w:sz w:val="20"/>
                <w:szCs w:val="20"/>
                <w:color w:val="auto"/>
              </w:rPr>
            </w:pPr>
            <w:r>
              <w:rPr>
                <w:rFonts w:ascii="Arial" w:cs="Arial" w:eastAsia="Arial" w:hAnsi="Arial"/>
                <w:sz w:val="18"/>
                <w:szCs w:val="18"/>
                <w:color w:val="auto"/>
              </w:rPr>
              <w:t>instructed in the Notice, proxy card or voting instruction form.</w:t>
            </w:r>
          </w:p>
        </w:tc>
      </w:tr>
    </w:tbl>
    <w:p>
      <w:pPr>
        <w:spacing w:after="0" w:line="107" w:lineRule="exact"/>
        <w:rPr>
          <w:sz w:val="20"/>
          <w:szCs w:val="20"/>
          <w:color w:val="auto"/>
        </w:rPr>
      </w:pPr>
    </w:p>
    <w:p>
      <w:pPr>
        <w:ind w:left="1880" w:right="120"/>
        <w:spacing w:after="0" w:line="257" w:lineRule="auto"/>
        <w:rPr>
          <w:sz w:val="20"/>
          <w:szCs w:val="20"/>
          <w:color w:val="auto"/>
        </w:rPr>
      </w:pPr>
      <w:r>
        <w:rPr>
          <w:rFonts w:ascii="Arial" w:cs="Arial" w:eastAsia="Arial" w:hAnsi="Arial"/>
          <w:sz w:val="18"/>
          <w:szCs w:val="18"/>
          <w:color w:val="auto"/>
        </w:rPr>
        <w:t xml:space="preserve">Beginning on or about August 17, 2021, a Notice of Internet Availability of Proxy Materials (the “Notice of Internet Availability”) will be mailed to our stockholders of record on August 2, 2021. In addition, the proxy statement, the accompanying proxy card or voting instruction form, and our 2020 Annual Report to Stockholders are available at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As more fully described in the Notice of Internet Availability, all stockholders may choose to access these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online or may request printed or emailed copies.</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right="20"/>
        <w:spacing w:after="0" w:line="263" w:lineRule="auto"/>
        <w:rPr>
          <w:sz w:val="20"/>
          <w:szCs w:val="20"/>
          <w:color w:val="auto"/>
        </w:rPr>
      </w:pPr>
      <w:r>
        <w:rPr>
          <w:rFonts w:ascii="Arial" w:cs="Arial" w:eastAsia="Arial" w:hAnsi="Arial"/>
          <w:sz w:val="18"/>
          <w:szCs w:val="18"/>
          <w:color w:val="auto"/>
        </w:rPr>
        <w:t>We encourage you to vote your shares as soon as possible. Specific instructions for voting over the internet or mail are included in the Notice of the 2021 Annual Meeting of Stockholders (the “Notice”). If you attend the Annual Meeting online and vote electronically during the meeting, your vote will replace any earlier vote.</w:t>
      </w:r>
    </w:p>
    <w:p>
      <w:pPr>
        <w:spacing w:after="0" w:line="76" w:lineRule="exact"/>
        <w:rPr>
          <w:sz w:val="20"/>
          <w:szCs w:val="20"/>
          <w:color w:val="auto"/>
        </w:rPr>
      </w:pPr>
    </w:p>
    <w:p>
      <w:pPr>
        <w:ind w:left="1880"/>
        <w:spacing w:after="0" w:line="277" w:lineRule="auto"/>
        <w:rPr>
          <w:sz w:val="20"/>
          <w:szCs w:val="20"/>
          <w:color w:val="auto"/>
        </w:rPr>
      </w:pPr>
      <w:r>
        <w:rPr>
          <w:rFonts w:ascii="Arial" w:cs="Arial" w:eastAsia="Arial" w:hAnsi="Arial"/>
          <w:sz w:val="18"/>
          <w:szCs w:val="18"/>
          <w:color w:val="auto"/>
        </w:rPr>
        <w:t>A list of stockholders entitled to vote at the Annual Meeting will be available for inspection by any stockholder at our executive offices for a period of 10 days prior to the Annual Meeting until the close of such meeting.</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Meyenburg,</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 and Secretary</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167005</wp:posOffset>
            </wp:positionV>
            <wp:extent cx="6998970" cy="35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2" w:lineRule="exact"/>
        <w:rPr>
          <w:sz w:val="20"/>
          <w:szCs w:val="20"/>
          <w:color w:val="auto"/>
        </w:rPr>
      </w:pPr>
    </w:p>
    <w:p>
      <w:pPr>
        <w:ind w:left="240" w:right="60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September 29, 2021: The proxy statement and our 2020 Annual Report to Stockholders are available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i w:val="1"/>
          <w:iCs w:val="1"/>
          <w:color w:val="auto"/>
        </w:rPr>
        <w:t>.</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7"/>
          </w:tcPr>
          <w:p>
            <w:pPr>
              <w:ind w:left="58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377"/>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0440" w:type="dxa"/>
            <w:vAlign w:val="bottom"/>
            <w:gridSpan w:val="18"/>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PROXY STATEMENT</w:t>
              </w:r>
            </w:hyperlink>
          </w:p>
        </w:tc>
        <w:tc>
          <w:tcPr>
            <w:tcW w:w="5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21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GENERAL INFORMATION</w:t>
              </w:r>
            </w:hyperlink>
          </w:p>
        </w:tc>
        <w:tc>
          <w:tcPr>
            <w:tcW w:w="83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98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VOTING INFORMATION</w:t>
              </w:r>
            </w:hyperlink>
          </w:p>
        </w:tc>
        <w:tc>
          <w:tcPr>
            <w:tcW w:w="846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9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PROPOSAL 1: ELECTION OF CLASS I DIRECTOR</w:t>
              </w:r>
            </w:hyperlink>
          </w:p>
        </w:tc>
        <w:tc>
          <w:tcPr>
            <w:tcW w:w="64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7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PROPOSAL 2: APPROVAL OF THE COMPANY’S 2021 EMPLOYEE STOCK PURCHASE PLAN</w:t>
              </w:r>
            </w:hyperlink>
          </w:p>
        </w:tc>
        <w:tc>
          <w:tcPr>
            <w:tcW w:w="30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00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PROPOSAL 3: RATIFICATION OF APPOINTMENT OF ERNST &amp; YOUNG, LLP AS OUR INDEPENDENT REGISTERED PUBLIC</w:t>
              </w:r>
            </w:hyperlink>
          </w:p>
        </w:tc>
        <w:tc>
          <w:tcPr>
            <w:tcW w:w="44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70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ACCOUNTING FIRM FOR FISCAL YEAR ENDING DECEMBER 31, 2021</w:t>
              </w:r>
            </w:hyperlink>
          </w:p>
        </w:tc>
        <w:tc>
          <w:tcPr>
            <w:tcW w:w="45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04"/>
        </w:trPr>
        <w:tc>
          <w:tcPr>
            <w:tcW w:w="24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AUDIT COMMITTEE REPORT</w:t>
              </w:r>
            </w:hyperlink>
          </w:p>
        </w:tc>
        <w:tc>
          <w:tcPr>
            <w:tcW w:w="804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3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CORPORATE GOVERNANCE</w:t>
              </w:r>
            </w:hyperlink>
          </w:p>
        </w:tc>
        <w:tc>
          <w:tcPr>
            <w:tcW w:w="810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4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EXECUTIVE OFFICER AND DIRECTOR COMPENSATION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44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PARTY TRANSACTIONS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440" w:type="dxa"/>
            <w:vAlign w:val="bottom"/>
            <w:gridSpan w:val="18"/>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SECURITY OWNERSHIP OF CERTAIN BENEFICIAL OWNERS AND MANAGEMENT AND RELATED STOCKHOLDER MATTERS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2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DELINQUENT SECTION 16(a) REPORTS</w:t>
              </w:r>
            </w:hyperlink>
          </w:p>
        </w:tc>
        <w:tc>
          <w:tcPr>
            <w:tcW w:w="7020" w:type="dxa"/>
            <w:vAlign w:val="bottom"/>
            <w:tcBorders>
              <w:top w:val="single" w:sz="8" w:color="0000EE"/>
            </w:tcBorders>
            <w:gridSpan w:val="9"/>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34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HOUSEHOLDING OF PROXY MATERIALS</w:t>
              </w:r>
            </w:hyperlink>
          </w:p>
        </w:tc>
        <w:tc>
          <w:tcPr>
            <w:tcW w:w="704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4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MATTERS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35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2021 EMPLOYEE STOCK PURCHASE PLAN</w:t>
              </w:r>
            </w:hyperlink>
          </w:p>
        </w:tc>
        <w:tc>
          <w:tcPr>
            <w:tcW w:w="694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300 One Kendall Square, 3rd Floor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 02139</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ON SEPTEMBER 29, 2021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AT 10:00 A.M. EASTERN TIME</w:t>
      </w:r>
    </w:p>
    <w:p>
      <w:pPr>
        <w:spacing w:after="0" w:line="21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As used in this proxy statement, “the Company”, “Gemini” “we,” “us” and “our” refer to Gemini Therapeutics, Inc. and its consolidated subsidiaries. The term “Annual Meeting,” as used in this proxy statement, refers to the 2021 Annual Meeting of Stockholders and includes any adjournment or postponement of such meeting.</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properly submitted proxies will be voted in accordance with the instructions contained in those proxies. If no instructions are specified, the proxies will be voted in accordance with the recommendation the Board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proxy statement and the 2020 Annual Report to Stockholders are first being made available to stockholders on or about August 17, 2021.</w:t>
      </w:r>
    </w:p>
    <w:p>
      <w:pPr>
        <w:spacing w:after="0" w:line="23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 JOBS Act”),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in August 2020; (ii) the last day of the fiscal year in which our total annual gross revenue is equal to or more than $1.07 billion; (iii) the date on which we have issued more than $1.0 billion in nonconvertible debt during the previous three years; or (iv) the date on which we are deemed to be a large accelerated filer under the rules of the Securities and Exchange Commission (the “ SEC”). Even after we are no longer an “emerging growth company,” we may remain a “smaller reporting company.”</w:t>
      </w:r>
    </w:p>
    <w:p>
      <w:pPr>
        <w:spacing w:after="0" w:line="16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was less than $700 million and our annual revenue was less than $100 million during our most recently completed fiscal year as of the end of our most recently completed second fiscal quarter.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smaller reporting companies.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Gemini Therapeutics has prepared these materials for its Annual Meeting. The Annual Meeting is scheduled to be held on Wednesday, September 29, 2021 at 10:00 a.m. Eastern Time, solely by means of remote communication in a virtual-only format. You are invited to attend and are requested to vote on the proposals described in this Proxy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included in these proxy materials?</w:t>
      </w:r>
    </w:p>
    <w:p>
      <w:pPr>
        <w:spacing w:after="0" w:line="135"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Notice of 2021 Annual Meeting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2020 Annual Report to Stockholders on Form 10-K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requested printed versions by mail, you will also receive a proxy card or voting instruction form.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Pursuant to rules adopted by the SEC, we have elected to provide access to our proxy materials to our stockholders via the Internet. Accordingly, on or about August 17, 2021, we sent you a Notice of Internet Availability of Proxy Materials (the “Notice of Internet Availability”).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Pursuant to rules adopted by the SEC, the proxy materials, including the Notice of 2021 Annual Meeting of Stockholders (the “Notice of Annual Meeting”), this proxy statement and proxy card or, for shares held in street name (held for your account by a broker or other nominee), voting instruction form, and our 2020 Annual Report to Stockholders (collectively, the “Proxy Materials”), are available to stockholders on the Internet. We believe electronic delivery will expedite the receipt of materials and will help lower our costs and reduce the environmental impact of our annual meeting materials. Accordingly, we have sent a Notice of Internet Availability to stockholders of record and beneficial owners of our common stock, par value $0.0001 per share (“Common Stock”) on or about August 17, 2021.</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Notice of Internet Availability provides instructions as to how stockholders may access and review the Proxy Materials on the website referred to in the Notice of Internet Availability or, alternatively, how to request that a printed set of the Proxy Materials, including a proxy card, be sent to them by mail. The Notice of Internet Availability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of Internet Availability, and our Notice of Annual Meeting, proxy statement and 2020 Annual Report to Stockholders are available on our website, no other information contained on either website is incorporated by reference in or considered to be a part of this proxy statement.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1820"/>
        <w:spacing w:after="0" w:line="342" w:lineRule="auto"/>
        <w:rPr>
          <w:sz w:val="20"/>
          <w:szCs w:val="20"/>
          <w:color w:val="auto"/>
        </w:rPr>
      </w:pPr>
      <w:r>
        <w:rPr>
          <w:rFonts w:ascii="Arial" w:cs="Arial" w:eastAsia="Arial" w:hAnsi="Arial"/>
          <w:sz w:val="16"/>
          <w:szCs w:val="16"/>
          <w:color w:val="auto"/>
        </w:rPr>
        <w:t xml:space="preserve">The meeting will be held entirely online on Wednesday, September 29, 2021 at 10:00 a.m. Eastern Time at </w:t>
      </w:r>
      <w:r>
        <w:rPr>
          <w:rFonts w:ascii="Arial" w:cs="Arial" w:eastAsia="Arial" w:hAnsi="Arial"/>
          <w:sz w:val="16"/>
          <w:szCs w:val="16"/>
          <w:i w:val="1"/>
          <w:iCs w:val="1"/>
          <w:u w:val="single" w:color="auto"/>
          <w:color w:val="auto"/>
        </w:rPr>
        <w:t>www.virtualshareholdermeeting.com/GMTX2021</w:t>
      </w:r>
      <w:r>
        <w:rPr>
          <w:rFonts w:ascii="Arial" w:cs="Arial" w:eastAsia="Arial" w:hAnsi="Arial"/>
          <w:sz w:val="16"/>
          <w:szCs w:val="16"/>
          <w:color w:val="auto"/>
        </w:rPr>
        <w:t>. Information on how to vote at the virtual Annual Meeting is discussed below.</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items will be voted on at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items that stockholders may vote on at the Annual Meeting:</w:t>
      </w:r>
    </w:p>
    <w:p>
      <w:pPr>
        <w:spacing w:after="0" w:line="117" w:lineRule="exact"/>
        <w:rPr>
          <w:sz w:val="20"/>
          <w:szCs w:val="20"/>
          <w:color w:val="auto"/>
        </w:rPr>
      </w:pPr>
    </w:p>
    <w:p>
      <w:pPr>
        <w:ind w:left="120" w:right="240" w:hanging="4"/>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one Class I director, Carl Gordon, Ph.D., to serve until the 2024 annual meeting of stockholders, and until his successor is duly elected and qualified;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00" w:hanging="184"/>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2021 Employee Stock Purchase Plan;</w:t>
      </w:r>
    </w:p>
    <w:p>
      <w:pPr>
        <w:spacing w:after="0" w:line="117" w:lineRule="exact"/>
        <w:rPr>
          <w:rFonts w:ascii="Arial" w:cs="Arial" w:eastAsia="Arial" w:hAnsi="Arial"/>
          <w:sz w:val="18"/>
          <w:szCs w:val="18"/>
          <w:color w:val="auto"/>
        </w:rPr>
      </w:pPr>
    </w:p>
    <w:p>
      <w:pPr>
        <w:ind w:left="120" w:hanging="4"/>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registered public accounting firm of Gemini Therapeutics, Inc. (the “Company”) for the fiscal year ending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Other than the proposals described in this Proxy Statement, we know of no other matters to be submitted to the stockholders at the Annual Meeting. If any other matter properly comes before the stockholders at the Annual Meeting, it is the intention of the persons named as proxy holders to vote upon such matters in accordance with the recommendation of the Board.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VOTING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has fixed the record date for the Annual Meeting as of the close of business on August 2, 2021 (the “Record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Only stockholders of record at the close of business on the Record Date will be entitled to vote at the Annual Meeting. As of the Record Date, a total of 43,055,112 shares of our Common Stock were outstanding and entitled to vote. Each share of Common Stock is entitled to one vote on each matter.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121"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If, on the record date, your shares are registered directly in your name with Continental Stock Transfer &amp; Trust Company, Inc., our transfer agent, you are considered the stockholder of record, or a registered holder, with respect to those shares and our proxy materials have been made available to you. As a stockholder of record, you may vote at the Annual Meeting if you attend online or vote by proxy.</w:t>
      </w:r>
    </w:p>
    <w:p>
      <w:pPr>
        <w:spacing w:after="0" w:line="16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If your shares are held in a brokerage account or by a bank, trustee or other nominee (in “ street name”), you are considered the beneficial owner of those shares and our proxy materials are being forwarded to you by your bank, broker, trustee or other nominee that is considered the owner of record of those shares. As the beneficial owner, you have the right to instruct your bank, broker, trustee or other nominee on how to vote your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by proxy before the Annual Meeting?</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If your shares are held directly in your own name, and you received a Notice of Internet Availability, you may vote your shares online at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 You may also vote your shares by mail or telephone by requesting a paper copy of the proxy materials, which will include a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The proxy card will contain instructions for voting by mail and telephone.</w:t>
      </w:r>
    </w:p>
    <w:p>
      <w:pPr>
        <w:spacing w:after="0" w:line="184"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If your shares are held directly in your own name, and you received printed copies of the proxy materials, you may vote your shares by mail by completing, signing and dating the proxy card. To vote over the internet or by telephone, you should refer to your proxy card for instructions.</w:t>
      </w:r>
    </w:p>
    <w:p>
      <w:pPr>
        <w:spacing w:after="0" w:line="12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your shares are held in street name, meaning registered in the name of your broker, bank, trustee or other nominee, you should vote your shares by following the instructions from your broker, bank, trustee or other nominee.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shares are included on a proxy card or voting instruction form?</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Each proxy card or voting instruction form represents the shares registered to you as of the close of business on the Record Date. You may receive more than one proxy card or voting instruction form if you hold your shares in multiple accounts, some of your shares are registered directly in your name with our transfer agent, or some of your shares are held in street name through a broker, bank, trustee or other nominee. Please vote the shares on each proxy card or voting instruction form to ensure that all of your shares are counted at the Annual Meeting.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have shares registered in my name and don’t vote on a particular matter when returning a proxy card?</w:t>
      </w:r>
    </w:p>
    <w:p>
      <w:pPr>
        <w:spacing w:after="0" w:line="12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Properly signed proxy cards received before the close of voting at the Annual Meeting will be voted according to the directions provided. If a signed proxy card is returned without stockholder direction on a matter, the shares will be voted as recommended by the Board.</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my shares held in street name be voted if I don’t provide instructions?</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Current Nasdaq Global Market (“Nasdaq”) rules allow brokers to vote shares on certain “routine” matters for which their customers do not provide voting instructions. If you own shares in street name through a broker, bank, trustee or other nominee, the ratification of the appointment of Ernst &amp; Young LLP (“Ernst &amp; Young”), Certified Public Accountants, as our independent registered public accounting firm for the fiscal year ended December 31, 2021 (“Fiscal 2021”) is considered a “routine” matter on which your broker may use its discretion to vote your shares without your instructions. The election of the Class I director and the approval of the 2021 Employee Stock Purchase Plan are not “routine” proposals; therefore, your broker will be unable to vote your shares if you do not instruct your broker how to vote, which is referred to as a “broker non-vote.” Broker non-votes will have no effect on the outcome of the votes on the election of the Class I director or the approval of the 2021 Employee Stock Purchase Plan.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at the virtual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Stockholders of Record</w:t>
      </w:r>
      <w:r>
        <w:rPr>
          <w:rFonts w:ascii="Arial" w:cs="Arial" w:eastAsia="Arial" w:hAnsi="Arial"/>
          <w:sz w:val="18"/>
          <w:szCs w:val="18"/>
          <w:color w:val="auto"/>
        </w:rPr>
        <w:t>. If you are a stockholder of record, and your shares are registered directly in your name, you may vote:</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By Internet. </w:t>
      </w:r>
      <w:r>
        <w:rPr>
          <w:rFonts w:ascii="Arial" w:cs="Arial" w:eastAsia="Arial" w:hAnsi="Arial"/>
          <w:sz w:val="18"/>
          <w:szCs w:val="18"/>
          <w:color w:val="auto"/>
        </w:rPr>
        <w:t>You may vote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u w:val="single" w:color="auto"/>
          <w:color w:val="auto"/>
        </w:rPr>
        <w:t>www.proxyvote.com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 will need the control number included on your proxy card.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By Telephone. </w:t>
      </w:r>
      <w:r>
        <w:rPr>
          <w:rFonts w:ascii="Arial" w:cs="Arial" w:eastAsia="Arial" w:hAnsi="Arial"/>
          <w:sz w:val="18"/>
          <w:szCs w:val="18"/>
          <w:color w:val="auto"/>
        </w:rPr>
        <w:t>You may vote using a touch-tone telephone by calling 1-800-690-6903. You will need the control number included on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w:t>
      </w:r>
    </w:p>
    <w:p>
      <w:pPr>
        <w:spacing w:after="0" w:line="71" w:lineRule="exact"/>
        <w:rPr>
          <w:rFonts w:ascii="Arial" w:cs="Arial" w:eastAsia="Arial" w:hAnsi="Arial"/>
          <w:sz w:val="18"/>
          <w:szCs w:val="18"/>
          <w:color w:val="auto"/>
        </w:rPr>
      </w:pPr>
    </w:p>
    <w:p>
      <w:pPr>
        <w:jc w:val="both"/>
        <w:ind w:left="1080" w:right="180" w:hanging="424"/>
        <w:spacing w:after="0" w:line="26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By Mail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you received printed proxy materials, you may submit your vote by completing, signing and dating each proxy card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returning it in the prepaid envelope. Sign your name exactly as it appears on the proxy card. Proxy cards submitted by mail must be received no later than September 28, 2021 to be voted at the Annual Meeting.</w:t>
      </w:r>
    </w:p>
    <w:p>
      <w:pPr>
        <w:spacing w:after="0" w:line="8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During the Annual Meeting. </w:t>
      </w:r>
      <w:r>
        <w:rPr>
          <w:rFonts w:ascii="Arial" w:cs="Arial" w:eastAsia="Arial" w:hAnsi="Arial"/>
          <w:sz w:val="18"/>
          <w:szCs w:val="18"/>
          <w:color w:val="auto"/>
        </w:rPr>
        <w:t>You may vote at the virtual Annual Meeting. If you were a stockholder of record as of the Record Date,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can attend and participate in the virtual Annual Meeting by going to </w:t>
      </w:r>
      <w:r>
        <w:rPr>
          <w:rFonts w:ascii="Arial" w:cs="Arial" w:eastAsia="Arial" w:hAnsi="Arial"/>
          <w:sz w:val="18"/>
          <w:szCs w:val="18"/>
          <w:i w:val="1"/>
          <w:iCs w:val="1"/>
          <w:u w:val="single" w:color="auto"/>
          <w:color w:val="auto"/>
        </w:rPr>
        <w:t>www.virtualshareholdermeeting.com/GMTX2021</w:t>
      </w:r>
      <w:r>
        <w:rPr>
          <w:rFonts w:ascii="Arial" w:cs="Arial" w:eastAsia="Arial" w:hAnsi="Arial"/>
          <w:sz w:val="18"/>
          <w:szCs w:val="18"/>
          <w:color w:val="auto"/>
        </w:rPr>
        <w:t>. You will need the 16-digit control number included on your proxy card.</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Even if you plan to attend our virtual Annual Meeting, we recommend that you vote by proxy so that your vote will be counted if you later decide not to attend the Annual Meeting.</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u w:val="single" w:color="auto"/>
          <w:color w:val="auto"/>
        </w:rPr>
        <w:t>Beneficial Owners of Shares held in Street Name</w:t>
      </w:r>
      <w:r>
        <w:rPr>
          <w:rFonts w:ascii="Arial" w:cs="Arial" w:eastAsia="Arial" w:hAnsi="Arial"/>
          <w:sz w:val="17"/>
          <w:szCs w:val="17"/>
          <w:color w:val="auto"/>
        </w:rPr>
        <w:t>. If you are a street name stockholder, you will receive voting instructions from your broker, bank,</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or other nominee. You must follow the voting instructions provided by your broker, bank, trustee or other nominee in order to instruct your broker, bank, trustee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trustee or other nominee. As discussed above, if you are a street name stockholder, you may not vote your shares on your own behalf at the Annual Meeting unless you obtain a legal proxy from your broker, bank, trustee or other nominee.</w:t>
      </w:r>
    </w:p>
    <w:p>
      <w:pPr>
        <w:spacing w:after="0" w:line="17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u w:val="single" w:color="auto"/>
          <w:color w:val="auto"/>
        </w:rPr>
        <w:t>Voting by Proxy</w:t>
      </w:r>
      <w:r>
        <w:rPr>
          <w:rFonts w:ascii="Arial" w:cs="Arial" w:eastAsia="Arial" w:hAnsi="Arial"/>
          <w:sz w:val="16"/>
          <w:szCs w:val="16"/>
          <w:color w:val="auto"/>
        </w:rPr>
        <w:t>. All shares represented by valid proxies received before the Annual Meeting will be voted. If you complete and submit your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Annual Meeting, the persons named as proxies will vote the shares represented by your proxy in accordance with your instructions. If you submit a proxy without giving voting instructions, your shares will be voted in the manner recommended by the Board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6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discretionary authority to vote your shares on those matters. We do not currently anticipate that any other matters will be raised at the Annual Meeting.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 have shares registered in my name and also have shares in a brokerage account. How do I vote these shares?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Shares that you hold in street name are not included in the total number of shares set forth on your proxy card. Your broker, bank, trustee or other nominee will send you instructions on how to vote those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Board’s recommendations on how to vote my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recommends a vote: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Proposal 1: “</w:t>
      </w:r>
      <w:r>
        <w:rPr>
          <w:rFonts w:ascii="Arial" w:cs="Arial" w:eastAsia="Arial" w:hAnsi="Arial"/>
          <w:sz w:val="17"/>
          <w:szCs w:val="17"/>
          <w:b w:val="1"/>
          <w:bCs w:val="1"/>
          <w:color w:val="auto"/>
        </w:rPr>
        <w:t>FOR</w:t>
      </w:r>
      <w:r>
        <w:rPr>
          <w:rFonts w:ascii="Arial" w:cs="Arial" w:eastAsia="Arial" w:hAnsi="Arial"/>
          <w:sz w:val="17"/>
          <w:szCs w:val="17"/>
          <w:color w:val="auto"/>
        </w:rPr>
        <w:t>” the election of the Class I director nominee, Carl Gordon, Ph.D., to hold office until the 2024 annual meeting of stockholders;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approval of the 2021 Employee Stock Purchase Plan; and</w:t>
      </w:r>
    </w:p>
    <w:p>
      <w:pPr>
        <w:spacing w:after="0" w:line="117"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color w:val="auto"/>
        </w:rPr>
        <w:t>Proposal 3: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Ernst &amp; Young, Certified Public Accountants, as the Company’s independent registered public accounting firm for Fiscal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pays the cost for soliciting proxies?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i w:val="1"/>
          <w:iCs w:val="1"/>
          <w:u w:val="single" w:color="auto"/>
          <w:color w:val="auto"/>
        </w:rPr>
        <w:t>Stockholder of Record: Shares Registered in Your Name</w:t>
      </w:r>
      <w:r>
        <w:rPr>
          <w:rFonts w:ascii="Arial" w:cs="Arial" w:eastAsia="Arial" w:hAnsi="Arial"/>
          <w:sz w:val="18"/>
          <w:szCs w:val="18"/>
          <w:color w:val="auto"/>
        </w:rPr>
        <w:t>. If your shares are registered directly in your name, you may change your vote or revoke your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by:</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written notice to the Company at any time before the close of voting at the Annual Meeting;</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 later dated proxy over the internet or by telephone in accordance with the instructions in the Notice of Internet Availability or the proxy card (in which case only your latest Internet or telephone proxy submitted will be counted); or</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virtual Annual Meeting and voting your shares electronically during the Annual Meeting (your attendance at the virtual Annual Meeting, in and of itself, will not revoke your proxy).</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u w:val="single" w:color="auto"/>
          <w:color w:val="auto"/>
        </w:rPr>
        <w:t>Beneficial Owners of Shares held in Street Name</w:t>
      </w:r>
      <w:r>
        <w:rPr>
          <w:rFonts w:ascii="Arial" w:cs="Arial" w:eastAsia="Arial" w:hAnsi="Arial"/>
          <w:sz w:val="18"/>
          <w:szCs w:val="18"/>
          <w:color w:val="auto"/>
        </w:rPr>
        <w:t>. If your shares are held in street name, you should contact your broker, bank, trustee or other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your vote or revoke your proxy.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is a quorum reached?</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holders of a majority of the voting power of the capital stock issued and outstanding and entitled to vote at the Annual Meeting, present virtually or represented by proxy, will constitute a quorum for the transaction of business at the Annual Meeting. If you submit a properly executed proxy via the Internet or by telephone or mail, regardless of whether you abstain from voting on one or more matters, your shares will be counted as present at the Annual Meeting for the purpose of determining a quorum. Broker non-votes will also be counted as present for the purposes of determining the presence of a quorum at the Annual Meeting. The inspector of election will determine whether a quorum is present and will tabulate the votes cast at the Annual Meeting. If, however, such quorum will not be present or represented at the Annual Meeting, the holders of a majority of the voting power present at the virtual meeting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item and how are votes counted?</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Votes cast by proxy or virtually at the Annual Meeting will be counted by the persons appointed by the Company to act as tabulators for the meeting. The tabulators will count all votes FOR, AGAINST and to WITHHOLD, abstentions and broker non-votes, as applicable, for each matter to be voted on at the Annual Meeting. Abstentions and broker non-votes are not counted as votes cast and, therefore, do not have the effect of votes in opposition to such proposals.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Proposal 1 — To elect one Class I director, Carl Gordon, Ph.D., to serve until the 2024 annual meeting of stockholders</w:t>
      </w:r>
    </w:p>
    <w:p>
      <w:pPr>
        <w:spacing w:after="0" w:line="117"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director nominee will be elected by a plurality of votes cast, which means that the director nominees receiving the highest number of votes will be elected. Only FOR and WITHHOLD votes will affect the outcome. Abstentions and broker non-votes will have no effect on Proposal 1.</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Proposal 2 — Approval of the Company’s 2021 Employee Stock Purchase Plan</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Stockholders will be asked to approve the Company’s 2021 Employee Stock Purchase Plan (the “ ESPP”), which was adopted by the Board subject to approval by the Company’s stockholders. The Board believes that the adoption of the ESPP will benefit the Company by providing employees with an opportunity to acquire shares of our Common Stock, which gives employees a stake in the Company’s growth, and will enable us to attract, retain and motivate valued employees. The approval of the ESPP requires the vote of the holders of a majority of the shares of Common Stock present virtually or represented by proxy and entitled to vote. Only FOR and WITHHOLD votes will affect the outcome. Abstentions and broker non-votes will have no effect on Proposal 2.</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Proposal 3 — Ratification of selection of Ernst &amp; Young, Certified Public Accountants, as our independent registered public accounting firm for the fiscal year ended December 31, 2021</w:t>
      </w:r>
    </w:p>
    <w:p>
      <w:pPr>
        <w:spacing w:after="0" w:line="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ratification of the selection of Ernst &amp; Young as our independent registered public accounting firm for Fiscal 2021, requires the vote of the holders of a majority of the shares of Common Stock present virtually or represented by proxy and entitled to vote. Only FOR and WITHHOLD votes will affect the outcome. Abstentions will have no effect on the voting of Proposal 3. There will be no broker non-votes on Proposal 3 because it is considered a “routine” matter on which your broker may use its discretion to vote your shares without your instructions.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do not know of any other matters that may be presented for action at the Annual Meeting. Should any other business come before the meeting, the persons named on the proxy will have discretionary authority to vote the shares represented by such proxies in accordance with their best judgment. If you hold shares through a broker, bank, trustee or other nominee as described above, they will not be able to vote your shares on any other business that comes before the Annual Meeting unless they receive instructions from you with respect to such matter.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meeting is postponed or adjourned?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proxy may be voted at the postponed or adjourned meeting. You will still be able to change your proxy until it is voted.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 representative from Broadridge Financial Solutions, Inc. (“Broadridge”) will act as inspector of elections and tabulate the votes at the Annual Meeting. Final voting results will be published in a Current Report on Form 8-K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due for the 2022 Annual Meeting of Stockholders?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you wish to submit proposals for inclusion in our proxy statement for the 2022 Annual Meeting of Stockholders, we must receive them on or before December 30, 2021, pursuant to the proxy soliciting regulations of the SEC. Nothing in this paragraph shall require us to include in our proxy statement and proxy card for the 2022 Annual Meeting of Stockholders any stockholder proposal that does not meet the requirements of the SEC in effect at the time. Any such proposal will be subject to Rule 14a-8 of the Exchange Act.</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If you wish to nominate a director or submit a proposal for presentation at the 2022 Annual Meeting of Stockholders, without including such proposal in next year’s proxy statement, you must be a stockholder of record and provide timely notice in writing to our Secretary at c/o Gemini Therapeutics, Inc., 300 One Kendall Square, 3rd Floor, Cambridge, MA 02139. To be timely, we must receive the notice not less than 90 days nor more than 120 days prior to the 2022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the 2022 Annual Meeting of Stockholders is first convened more than 30 days before or more 60 days after the one year anniversary date of the Annual Meeting, or if no Annual Meeting is held in 2021, notice by the stockholder to be timely must be received by the Secretary of the Company not later than the close of business on the later of the ninetieth day prior to the scheduled date of the 2022 Annual Meeting of Stockholders or the tenth day following the day on which public announcement of the date of such meeting is first made. Your written notice must contain specific information required in Section 2 of our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For additional information about our director nomination requirements, please see our Bylaws.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ask questions at the virtual Annual Meeting?</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During the Annual Meeting, you may submit questions in the question box provided. We will respond to as many inquiries at the Annual Meeting as time allows.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get help if I have trouble checking in or listening to the meeting online?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you encounter any difficulties accessing the virtual meeting during the check-in or meeting time, please refer to the e-mail received the morning of the Annual Meeting. 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Virtual Shareholder Meeting log in page.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else is expected to take place at the virtual Annual Meeting?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main purpose of the virtual Annual Meeting is to conduct the business described in this Proxy Statement. As such, we intend to conduct the required business and then have a short question and answer period. We do not intend to make a formal presentation to stockholders. Since no presentation is planned, it is expected that the meeting will last only a few minutes.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should I contact if I have any additional questions?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you are the stockholder of record for your shares, please contact Brian Piekos, at bpiekos@geminitherapeutics.com. If your shares are held in street name, please contact the telephone number provided on your voting instruction form or contact your bank, broker, trustee or other nominee holder directly.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 ELECTION OF CLASS I DIRECTOR</w:t>
      </w:r>
    </w:p>
    <w:p>
      <w:pPr>
        <w:spacing w:after="0" w:line="229" w:lineRule="exact"/>
        <w:rPr>
          <w:sz w:val="20"/>
          <w:szCs w:val="20"/>
          <w:color w:val="auto"/>
        </w:rPr>
      </w:pPr>
    </w:p>
    <w:p>
      <w:pPr>
        <w:jc w:val="both"/>
        <w:ind w:left="120" w:right="580"/>
        <w:spacing w:after="0" w:line="311" w:lineRule="auto"/>
        <w:rPr>
          <w:sz w:val="20"/>
          <w:szCs w:val="20"/>
          <w:color w:val="auto"/>
        </w:rPr>
      </w:pPr>
      <w:r>
        <w:rPr>
          <w:rFonts w:ascii="Arial" w:cs="Arial" w:eastAsia="Arial" w:hAnsi="Arial"/>
          <w:sz w:val="16"/>
          <w:szCs w:val="16"/>
          <w:color w:val="auto"/>
        </w:rPr>
        <w:t>Our business affairs are managed under the direction of our Board. Our Board currently consists of eight (8) directors. Our Second Amended and Restated Certificate of Incorporation (“Certificate of Incorporation”), provides for a classified Board consisting of three classes of directors, with members of each class serving staggered three-year terms. The members of the classes are currently divided as follows:</w:t>
      </w:r>
    </w:p>
    <w:p>
      <w:pPr>
        <w:spacing w:after="0" w:line="54"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 directors are Dr. Carl Gordon and Jean George;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 directors are David Lubner, Dr. Tuyen Ong and Jason Rhodes;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III directors are Dr. Georges Gemayel, Dr. Jim Tananbaum and Jason Meyenburg.</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Board has nominated Carl Gordon, Ph.D. for re-election as a Class I director at the Annual Meeting. The nominee is presently serving as a director and has consented to continue to serve as a director, if elected.</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If the nominee is unable or does not qualify to serve, you or your proxy may vote for another nominee proposed by the Board. If, for any reason, this nominee proves unable or unwilling to stand for election or ceases to qualify to serve as director, the Board will nominate alternates or reduce the size of the Board to eliminate the vacancy. The Board has no reason to believe that the nominee would prove unable to serve if elected.</w:t>
      </w:r>
    </w:p>
    <w:p>
      <w:pPr>
        <w:spacing w:after="0" w:line="165"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As previously announced, Jean George, who is currently serving as a Class I director, is not standing for re-election. We thank Ms. George for her many years of service and contributions to the Company and our Board. As a result, following the date of the Annual Meeting, there will be one vacant seat on the Board. The Board intends to evaluate additional board candidates to further strengthen our Board and to increase diversity.</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Certificate of Incorporation provides that at the Annual Meeting, directors will be elected to succeed those directors whose terms expire. Such elected directors shall be elected for a term of office to expire at the third succeeding annual meeting of stockholders after their election. Accordingly, the Class I director shall be elected by our stockholders, to serve until the 2024 Annual Meeting of Stockholders, and until their successors have been duly elected and qualified or until their earlier death, resignation or removal. Commencing on this Annual Meeting and at each successive annual meeting of stockholders, each class will be elected to serve a staggered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 for Election as Class I Director</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identifies our director nominee and sets forth the principal occupation and business experience during the last five years and his age as of August 10,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Position(s) Held</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5"/>
        </w:trPr>
        <w:tc>
          <w:tcPr>
            <w:tcW w:w="244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Expires</w:t>
            </w:r>
          </w:p>
        </w:tc>
        <w:tc>
          <w:tcPr>
            <w:tcW w:w="2200" w:type="dxa"/>
            <w:vAlign w:val="bottom"/>
            <w:gridSpan w:val="2"/>
            <w:vMerge w:val="continue"/>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Since</w:t>
            </w:r>
          </w:p>
        </w:tc>
        <w:tc>
          <w:tcPr>
            <w:tcW w:w="0" w:type="dxa"/>
            <w:vAlign w:val="bottom"/>
          </w:tcPr>
          <w:p>
            <w:pPr>
              <w:spacing w:after="0"/>
              <w:rPr>
                <w:sz w:val="1"/>
                <w:szCs w:val="1"/>
                <w:color w:val="auto"/>
              </w:rPr>
            </w:pP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Carl Gordon</w:t>
            </w:r>
          </w:p>
        </w:tc>
        <w:tc>
          <w:tcPr>
            <w:tcW w:w="120" w:type="dxa"/>
            <w:vAlign w:val="bottom"/>
          </w:tcPr>
          <w:p>
            <w:pPr>
              <w:spacing w:after="0"/>
              <w:rPr>
                <w:sz w:val="19"/>
                <w:szCs w:val="19"/>
                <w:color w:val="auto"/>
              </w:rPr>
            </w:pPr>
          </w:p>
        </w:tc>
        <w:tc>
          <w:tcPr>
            <w:tcW w:w="210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b w:val="1"/>
          <w:bCs w:val="1"/>
          <w:i w:val="1"/>
          <w:iCs w:val="1"/>
          <w:color w:val="auto"/>
        </w:rPr>
        <w:t xml:space="preserve">Carl L. Gordon, Ph.D., CFA </w:t>
      </w:r>
      <w:r>
        <w:rPr>
          <w:rFonts w:ascii="Arial" w:cs="Arial" w:eastAsia="Arial" w:hAnsi="Arial"/>
          <w:sz w:val="16"/>
          <w:szCs w:val="16"/>
          <w:color w:val="auto"/>
        </w:rPr>
        <w:t>has served as a member of our Board since April 2016. Dr. Gordon is a founding member, Managing Partner, and Co-Head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due to his scientific expertise, extensive business experience, and experience in venture capital and the life science industry.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proxies will be voted in favor of the above nominees unless a contrary specification is made in the proxy. The nominee has consented to serve as our director, if elected. However, if the nominee is unable to serve or for good cause will not serve as a director, the proxies will be voted for the election of such substitute nominee as our Board may designate.</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THE BOARD UNANIMOUSLY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CARL L. GORDON, PH.D. AS A CLASS I DIRECTOR, TO SERVE FOR A THREE-YEAR TERM ENDING AT THE ANNUAL MEETING OF THE STOCKHOLDERS TO BE HELD IN 2024.</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Pursuant to the Voting Agreement by and among the Company, FS Development Holdings, LLC (“FS”), and certain stockholders of the Company, dated February 5, 2021 (the “Voting Agreement”), until the earlier of (i) the fifth (5th) anniversary of February 5, 2021 or (ii) the date on which FS owns less than 1,217,563 shares of Common Stock, at each annual or special meeting of stockholders of the Company, FS shall have the right to designate for election as a member of the Board, and the Board (including any committee thereof) shall nominate (and recommend for election and include such recommendation in a timely manner in any proxy statement or other applicable announcement to its stockholders), one individual to serve as a Class III Director. If FS ceases to be entitled to nominate any directors, then such directors shall be nominated by the Board and approved by the holders of the outstanding shares of Common Stock.</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following table identifies our directors continuing in office and sets forth their principal occupation and business experience during the last five years and their ages as of August 10, 2021:</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Term</w:t>
            </w:r>
          </w:p>
        </w:tc>
        <w:tc>
          <w:tcPr>
            <w:tcW w:w="3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Position(s) Held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5"/>
        </w:trPr>
        <w:tc>
          <w:tcPr>
            <w:tcW w:w="28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Expires</w:t>
            </w:r>
          </w:p>
        </w:tc>
        <w:tc>
          <w:tcPr>
            <w:tcW w:w="3520" w:type="dxa"/>
            <w:vAlign w:val="bottom"/>
            <w:gridSpan w:val="2"/>
            <w:vMerge w:val="continue"/>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24"/>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Meyenburg</w:t>
            </w:r>
          </w:p>
        </w:tc>
        <w:tc>
          <w:tcPr>
            <w:tcW w:w="34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340" w:type="dxa"/>
            <w:vAlign w:val="bottom"/>
          </w:tcPr>
          <w:p>
            <w:pPr>
              <w:spacing w:after="0"/>
              <w:rPr>
                <w:sz w:val="19"/>
                <w:szCs w:val="19"/>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President, Chief Executive Officer, Director</w:t>
            </w:r>
          </w:p>
        </w:tc>
        <w:tc>
          <w:tcPr>
            <w:tcW w:w="34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color w:val="auto"/>
              </w:rPr>
              <w:t>Georges Gemayel,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40" w:type="dxa"/>
            <w:vAlign w:val="bottom"/>
          </w:tcPr>
          <w:p>
            <w:pPr>
              <w:spacing w:after="0"/>
              <w:rPr>
                <w:sz w:val="24"/>
                <w:szCs w:val="24"/>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Chair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David Lubner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40" w:type="dxa"/>
            <w:vAlign w:val="bottom"/>
          </w:tcPr>
          <w:p>
            <w:pPr>
              <w:spacing w:after="0"/>
              <w:rPr>
                <w:sz w:val="24"/>
                <w:szCs w:val="24"/>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Tuyen Ong, M.D., MRCOphth</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40" w:type="dxa"/>
            <w:vAlign w:val="bottom"/>
          </w:tcPr>
          <w:p>
            <w:pPr>
              <w:spacing w:after="0"/>
              <w:rPr>
                <w:sz w:val="24"/>
                <w:szCs w:val="24"/>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40" w:type="dxa"/>
            <w:vAlign w:val="bottom"/>
          </w:tcPr>
          <w:p>
            <w:pPr>
              <w:spacing w:after="0"/>
              <w:rPr>
                <w:sz w:val="24"/>
                <w:szCs w:val="24"/>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Jim Tananbaum,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40" w:type="dxa"/>
            <w:vAlign w:val="bottom"/>
          </w:tcPr>
          <w:p>
            <w:pPr>
              <w:spacing w:after="0"/>
              <w:rPr>
                <w:sz w:val="24"/>
                <w:szCs w:val="24"/>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b w:val="1"/>
          <w:bCs w:val="1"/>
          <w:i w:val="1"/>
          <w:iCs w:val="1"/>
          <w:color w:val="auto"/>
        </w:rPr>
        <w:t xml:space="preserve">Jason Meyenburg. </w:t>
      </w:r>
      <w:r>
        <w:rPr>
          <w:rFonts w:ascii="Arial" w:cs="Arial" w:eastAsia="Arial" w:hAnsi="Arial"/>
          <w:sz w:val="17"/>
          <w:szCs w:val="17"/>
          <w:color w:val="auto"/>
        </w:rPr>
        <w:t>Jason Meyenburg has served as our Chief Executive Officer since September 2019. Previously, from March 2018 to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Mr. Meyenburg served as Chief Commercial Officer of Orchard Therapeutics plc, a publicly-traded biotechnology.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as the Senior Vice President of Commercial Operations for the Americas. Mr. Meyenburg holds an M.B.A. from Duke University and a B.S. in Biochemistry from University of Maryland. Our Board believes that Mr. Meyenburg is qualified to serve as a member of our Board because of his operational and historical expertise gained from serving as our President and Chief Executive Officer and his extensive professional and commercial experience in the life sciences industry.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87" w:lineRule="auto"/>
        <w:rPr>
          <w:sz w:val="20"/>
          <w:szCs w:val="20"/>
          <w:color w:val="auto"/>
        </w:rPr>
      </w:pPr>
      <w:r>
        <w:rPr>
          <w:rFonts w:ascii="Arial" w:cs="Arial" w:eastAsia="Arial" w:hAnsi="Arial"/>
          <w:sz w:val="16"/>
          <w:szCs w:val="16"/>
          <w:b w:val="1"/>
          <w:bCs w:val="1"/>
          <w:i w:val="1"/>
          <w:iCs w:val="1"/>
          <w:color w:val="auto"/>
        </w:rPr>
        <w:t xml:space="preserve">Georges Gemayel, Ph.D. </w:t>
      </w:r>
      <w:r>
        <w:rPr>
          <w:rFonts w:ascii="Arial" w:cs="Arial" w:eastAsia="Arial" w:hAnsi="Arial"/>
          <w:sz w:val="16"/>
          <w:szCs w:val="16"/>
          <w:color w:val="auto"/>
        </w:rPr>
        <w:t>Dr. Georges Gemayel has served as Chair of the Board since May 2021. Dr. Gemayel has over 30 years of experience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industry, including management and executive positions in the U.S., Europe and the Middle East. Dr. Gemayel currently serves on the board of directors of Supernus Pharmaceuticals, Inc., and is the chair of the boards of Dynacure, OxThera AB, Enterome SA, and Orphazyme A/S.</w:t>
      </w:r>
    </w:p>
    <w:p>
      <w:pPr>
        <w:spacing w:after="0" w:line="2"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Previously, Dr. Gemayel served as Executive Chair of FoldRx Pharmaceuticals and of Syndexa Pharmaceuticals, as Chair of Dimension Therapeutics and Epitherapeutics and as Director of Prosensa, Raptor Pharmaceuticals, NPS Pharma, Momenta Pharmaceuticals and Adolor. From 2008 to 2009, Dr. Gemayel was President and Chief Executive Officer of Altus Pharmaceuticals Inc., a publicly traded pharmaceutical company. From 2003 to 2008, he was Executive Vice President at Genzyme Corporation where he was responsible for the company’s global therapeutics, transplant, renal and biosurgery businesses. From 1998 to 2003, he held progressively senior roles at Hoffmann La-Roche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Paris-Sud University in Paris, France. Our Board has concluded that Dr. Gemayel possesses the expertise and extensive professional experience and knowledge that qualifies him to serve as our Chair of the Board.</w:t>
      </w:r>
    </w:p>
    <w:p>
      <w:pPr>
        <w:spacing w:after="0" w:line="181"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b w:val="1"/>
          <w:bCs w:val="1"/>
          <w:i w:val="1"/>
          <w:iCs w:val="1"/>
          <w:color w:val="auto"/>
        </w:rPr>
        <w:t xml:space="preserve">David C. Lubner </w:t>
      </w:r>
      <w:r>
        <w:rPr>
          <w:rFonts w:ascii="Arial" w:cs="Arial" w:eastAsia="Arial" w:hAnsi="Arial"/>
          <w:sz w:val="17"/>
          <w:szCs w:val="17"/>
          <w:color w:val="auto"/>
        </w:rPr>
        <w:t>has been a member of our Board since April 2020. From January 2016, until its acquisition by UCB S.A. in April 2020, Mr. Lubner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Executive Vice President and Chief Financial Officer of Ra Pharmaceuticals, Inc., a publicly-traded biotechnology company. Before joining Ra Pharmaceuticals, Mr. Lubner served as Senior Vice President and Chief Financial Officer of Tetraphase Pharmaceuticals, Inc., from its inception in 2006 through 2015, as the Chief Financial Officer of PharMetrics Inc., a pharmacy and medical claims data informatics company, from 1999 until it was acquired by IMS Health in 2015 and as Vice President and Chief Financial Officer, from 1996 to 1999, of ProScript, Inc., a biotechnology company, where Velcade</w:t>
      </w:r>
      <w:r>
        <w:rPr>
          <w:rFonts w:ascii="Arial" w:cs="Arial" w:eastAsia="Arial" w:hAnsi="Arial"/>
          <w:sz w:val="14"/>
          <w:szCs w:val="14"/>
          <w:color w:val="auto"/>
        </w:rPr>
        <w:t>®</w:t>
      </w:r>
      <w:r>
        <w:rPr>
          <w:rFonts w:ascii="Arial" w:cs="Arial" w:eastAsia="Arial" w:hAnsi="Arial"/>
          <w:sz w:val="17"/>
          <w:szCs w:val="17"/>
          <w:color w:val="auto"/>
        </w:rPr>
        <w:t xml:space="preserve"> (bortezomib), a therapy widely used for treatment of the blood cancer, multiple myeloma, was discovered. Mr. Lubner is also a member of the board of directors of Dyne Therapeutics, Inc., Vor Biopharma, Inc., and Point Biopharma, Inc. and several other private companies. Mr. Lubner previously served on the board of directors of Nightstar Therapeutics plc, (formerly Nasdaq: NITE), focused on the development of one-time retinal gene therapies for patients suffering from rare inherited retinal diseases, acquired by Biogen in June 2019 and Therapeutics Acquisition Corporation (d/b/a as Research Alliance Corp. I.), a blank check company focused on the healthcare industry. Mr. Lubner is a member of the American Institute of CPAs and a Certified Public Accountant in the Commonwealth of Massachusetts. Mr. Lubner received his B.S. in business administration from Northeastern University and M.S. in taxation from Bentley University. The Board believes that Mr. Lubner is qualified to serve on our Board based on his extensive senior executive experience and his biotechnology company board experience, including serving as chair of the Audit Committee.</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b w:val="1"/>
          <w:bCs w:val="1"/>
          <w:i w:val="1"/>
          <w:iCs w:val="1"/>
          <w:color w:val="auto"/>
        </w:rPr>
        <w:t>Tuyen Ong, M.D., MRCOphth</w:t>
      </w:r>
      <w:r>
        <w:rPr>
          <w:rFonts w:ascii="Arial" w:cs="Arial" w:eastAsia="Arial" w:hAnsi="Arial"/>
          <w:sz w:val="16"/>
          <w:szCs w:val="16"/>
          <w:color w:val="auto"/>
        </w:rPr>
        <w:t>., has served as a member of our Board since August 2020. Dr. Ong is a board- certified ophthalmologist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biotechnology/pharmaceutical industry management executive. He currently serves as Chief Executive Officer of Ring Therapeutics. Prior to joining Ring Therapeutics, Dr. Ong served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 College London and an M.B.A. from New York University Stern School of Business. He is a member of the Royal College of Ophthalmologists and a Churchill Fellow. The Board believes that Dr. Ong is qualified to serve on our Board based on his extensive leadership and medical experience.</w:t>
      </w:r>
    </w:p>
    <w:p>
      <w:pPr>
        <w:spacing w:after="0" w:line="16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i w:val="1"/>
          <w:iCs w:val="1"/>
          <w:color w:val="auto"/>
        </w:rPr>
        <w:t xml:space="preserve">Jason Rhodes </w:t>
      </w:r>
      <w:r>
        <w:rPr>
          <w:rFonts w:ascii="Arial" w:cs="Arial" w:eastAsia="Arial" w:hAnsi="Arial"/>
          <w:sz w:val="17"/>
          <w:szCs w:val="17"/>
          <w:color w:val="auto"/>
        </w:rPr>
        <w:t>has been a member of our Board since April 2016. Since 2014, Mr. Rhodes has been a partner at Atlas Ventures, a venture capital firm.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Rhodes also served as the founding President and Chief Executive Officer of Dyne Therapeutics, Inc. from December 2017 to November 2018. From 2010 to 2014, Mr. Rhodes was at Epizyme, Inc., a biotechnology company, where he most recently served as President and Chief Financial Officer. Prior to that, he led business development at Alnylam Pharmaceuticals, Inc. from 2007 to 2010. Mr. Rhodes currently serves as the chairman of the board of directors of Generation Bio Co., the chairman of the board of directors of Dyne Therapeutics, Inc., and as a member of the board of directors of Replimune Group, Inc. and several private companies, and previously served as a director at Bicycle Therapeutics, Inc. from 2016 to 2020. Mr. Rhodes earned a B.A. in history from Yale University and an M.B.A. from the Wharton School of the University of Pennsylvania. The Board believes that Mr. Rhodes is qualified to serve on our Board based on his extensive leadership experience, his biotechnology company board experience and his experience investing in life science companies.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87" w:lineRule="auto"/>
        <w:rPr>
          <w:sz w:val="20"/>
          <w:szCs w:val="20"/>
          <w:color w:val="auto"/>
        </w:rPr>
      </w:pPr>
      <w:r>
        <w:rPr>
          <w:rFonts w:ascii="Arial" w:cs="Arial" w:eastAsia="Arial" w:hAnsi="Arial"/>
          <w:sz w:val="16"/>
          <w:szCs w:val="16"/>
          <w:b w:val="1"/>
          <w:bCs w:val="1"/>
          <w:i w:val="1"/>
          <w:iCs w:val="1"/>
          <w:color w:val="auto"/>
        </w:rPr>
        <w:t xml:space="preserve">Jim Tananbaum, M.D. </w:t>
      </w:r>
      <w:r>
        <w:rPr>
          <w:rFonts w:ascii="Arial" w:cs="Arial" w:eastAsia="Arial" w:hAnsi="Arial"/>
          <w:sz w:val="16"/>
          <w:szCs w:val="16"/>
          <w:color w:val="auto"/>
        </w:rPr>
        <w:t>has been a director since June 2020. Prior to the closing of the merger between FS Development Corp. (“FSDC”) and Gemini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Inc., Dr. Tananbaum also served as the President and Chief Executive Officer of FSDC since June 2020. Dr. Tananbaum is also the chief executive officer of Foresite Capital, a U.S.-focused healthcare investment firm, which he founded in 2011. Prior to founding Foresite Capital,</w:t>
      </w:r>
    </w:p>
    <w:p>
      <w:pPr>
        <w:spacing w:after="0" w:line="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The Board believes that Dr. Tananbaum is qualified to serve on our Board based on his scientific, financial and strategic business development expertise gained as a physician, founder of two life science companies and venture capital investor focused on life science companies.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Departing Office Following the Annual Meeting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Jean George’s term as director will expire at the Annual Meeting and she will not stand for re-election. Ms. George’s decision not to stand for re-election was not related to any disagreement with the Company on any matter relating to its operations, policies, practices or any issues regarding financial disclosures, accounting or legal matters.</w:t>
      </w:r>
    </w:p>
    <w:p>
      <w:pPr>
        <w:spacing w:after="0" w:line="184"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b w:val="1"/>
          <w:bCs w:val="1"/>
          <w:i w:val="1"/>
          <w:iCs w:val="1"/>
          <w:color w:val="auto"/>
        </w:rPr>
        <w:t xml:space="preserve">Jean George </w:t>
      </w:r>
      <w:r>
        <w:rPr>
          <w:rFonts w:ascii="Arial" w:cs="Arial" w:eastAsia="Arial" w:hAnsi="Arial"/>
          <w:sz w:val="16"/>
          <w:szCs w:val="16"/>
          <w:color w:val="auto"/>
        </w:rPr>
        <w:t>has served as a member of our Board since April 2016. Since February 2002, she has been a Managing Director at Advanced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two public companies, Calithera Biosciences and Cyteir Therapeutics.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2: APPROVAL OF THE COMPANY’S 2021 EMPLOYEE STOCK PURCHASE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On July 29, 2021, the Board adopted, subject to stockholder approval, the Gemini Therapeutics, Inc. 2021 Employee Stock Purchase Plan (the “ESPP”). Based solely on the closing price of our Common Stock as reported by The NASDAQ Global Market on August 10, 2021, the maximum aggregate market value of the 4,310,403 shares of Common Stock that could potentially be issued under the ESPP (including the maximum number of shares that could be added to the ESPP pursuant to the annual increase described below) is approximately $17,327,820.</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believe that the adoption of the ESPP will benefit us by providing employees with an opportunity to acquire shares of our Common Stock, which gives employees a stake in the Company’s growth, and will enable us to attract, retain and motivate valued employees.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Terms of the ESPP</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following is a brief summary of certain provisions of the ESPP. A copy of the ESPP is attached as Annex I to this proxy statement and is incorporated herein by reference. The following description of the ESPP does not purport to be complete and is qualified in its entirety by reference to Annex I. We note that the ESPP includes two components: a Code Section 423 Component (the “423 Component”) and a non-Code Section 423 Component (the “Non-423 Component”). It is our intention that the 423 Component qualify as an “employee stock purchase plan” under Section 423 of the Internal Revenue Code of 1986, as amended (the “Code”). Under the Non-423 Component, which does not qualify as an “employee stock purchase plan” within the meaning of Section 423 of the Code, options will be granted pursuant to rules adopted by the compensation committee designed to achieve tax, securities laws or other objectives for eligible employees.</w:t>
      </w:r>
    </w:p>
    <w:p>
      <w:pPr>
        <w:spacing w:after="0" w:line="17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An aggregate of 430,551 shares will initially be reserved and available for issuance under the ESPP. The ESPP provides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reserved and available for issuance will automatically increase on January 1, 2023 and each January 1 thereafter through January 1, 2031, by the least of (i) 1% of the outstanding number of shares of Common Stock on the immediately preceding December 31st, (ii) 430,551 shares of Common Stock, or (iii) such number of shares of Common Stock as determined by the administrator of the ESPP. If our capital structure changes because of a stock dividend, stock split or similar event, the number of shares that can be issued under the ESPP will be appropriately adjusted.</w:t>
      </w:r>
    </w:p>
    <w:p>
      <w:pPr>
        <w:spacing w:after="0" w:line="16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ESPP will be administered by the Company’s Board or its delegate (the “Administrator”), which will have full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administer and interpret such rules and regulations regarding the ESPP as it deems advisable.</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All individuals classified as employees on the payroll records of the Company or its designated subsidiaries are eligible to participate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so long as they are customarily employed by the Company or a designated subsidiary as of the first day of the applicable offering. No person who owns or holds, or as a result of participation in the ESPP would own or hold, Common Stock or options to purchase Common Stock, that together equal 5% or more of the total outstanding Common Stock is entitled to participate in the ESPP. No employee may exercise an option granted under the ESPP that permits the employee to purchase Common Stock having a value of more than $25,000 (determined using the fair market value of the Common Stock at the time such option is granted) in any calendar year.</w:t>
      </w:r>
    </w:p>
    <w:p>
      <w:pPr>
        <w:spacing w:after="0" w:line="17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 xml:space="preserve">Participation; Payroll Deductions. </w:t>
      </w:r>
      <w:r>
        <w:rPr>
          <w:rFonts w:ascii="Arial" w:cs="Arial" w:eastAsia="Arial" w:hAnsi="Arial"/>
          <w:sz w:val="17"/>
          <w:szCs w:val="17"/>
          <w:color w:val="auto"/>
        </w:rPr>
        <w:t>Participation in the ESPP is limited to eligible employees who authorize payroll deductions equal to a whole</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base pay to the ESPP. Employees may authorize payroll deductions, with a minimum of 1% of base pay and a maximum of 15% of base pay. As of August 10, 2021, there are approximately 43 employees who would be eligible to participate in the ESPP. Once an employee becomes a participant in the ESPP, that employee will automatically participate in successive offering periods, as described below, until such time as that employee withdraws from the ESPP, becomes ineligible to participate in the ESPP, or his or her employment ceases.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Administrator, each offering of Common Stock under the ESPP will be for a period of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an “offering period.” The first offering period under the ESPP is expected to begin and end on the dates determined by the Administrator. Subsequent offerings under the ESPP will generally begin on the first business day occurring on or after each June 1 and December 1 and will end on the last business day occurring on or before the following May 31 and November 30, respectively. Shares are purchased on the last business day of each offering period, with that day being referred to as an “exercise date.” The Administrator may establish different offering periods or exercise dates under the ESPP.</w:t>
      </w:r>
    </w:p>
    <w:p>
      <w:pPr>
        <w:spacing w:after="0" w:line="19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On the first day of an offering period, employees participating in that offering period will receive an option to purchase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On the exercise date of each offering period, the employee is deemed to have exercised the option, at the exercise price, to the extent of accumulated payroll deductions. The option exercise price is equal to the lesser of (1) 85% the fair market value per share of our Common Stock on the first day of the offering period and (2) 85% of the fair market value per share of our Common Stock on the exercise date. The maximum value of Common Stock that may be issued to any employee under the ESPP in any offering period is $25,000 (valued as of the first day of the offering period) or such other lesser number of shares as determined by the Administrator from time to time.</w:t>
      </w:r>
    </w:p>
    <w:p>
      <w:pPr>
        <w:spacing w:after="0" w:line="17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Subject to certain limitations, the number of shares of our Common Stock a participant purchases in each offering period is determined by dividing the total amount of payroll deductions withheld from the participant’s compensation during the offering period by the option exercise price. In general, if an employee is no longer a participant on an exercise date, the employee’s option will be automatically terminated, and the amount of the employee’s accumulated payroll deductions will be refunded.</w:t>
      </w:r>
    </w:p>
    <w:p>
      <w:pPr>
        <w:spacing w:after="0" w:line="18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i w:val="1"/>
          <w:iCs w:val="1"/>
          <w:color w:val="auto"/>
        </w:rPr>
        <w:t xml:space="preserve">Terms of Participation. </w:t>
      </w:r>
      <w:r>
        <w:rPr>
          <w:rFonts w:ascii="Arial" w:cs="Arial" w:eastAsia="Arial" w:hAnsi="Arial"/>
          <w:sz w:val="17"/>
          <w:szCs w:val="17"/>
          <w:color w:val="auto"/>
        </w:rPr>
        <w:t>Except as may be permitted by the Administrator in advance of an offering, a participant may not increase or decrease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his or her payroll deductions during any offering period but may increase or decrease his or her payroll deduction with respect to the next offering period by filing a new enrollment form at least 15 business days before the first day of such offering period. A participant may withdraw from an offering period at any time without affecting his or her eligibility to participate in future offering periods. If a participant withdraws from an offering period, that participant may not again participate in the same offering period, but may enroll in subsequent offering periods. An employee’s withdrawal will be effective as of the business day following the employee’s delivery of written notice of withdrawal under the ESPP.</w:t>
      </w:r>
    </w:p>
    <w:p>
      <w:pPr>
        <w:spacing w:after="0" w:line="178"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i w:val="1"/>
          <w:iCs w:val="1"/>
          <w:color w:val="auto"/>
        </w:rPr>
        <w:t xml:space="preserve">Term; Amendments and Termination. </w:t>
      </w:r>
      <w:r>
        <w:rPr>
          <w:rFonts w:ascii="Arial" w:cs="Arial" w:eastAsia="Arial" w:hAnsi="Arial"/>
          <w:sz w:val="17"/>
          <w:szCs w:val="17"/>
          <w:color w:val="auto"/>
        </w:rPr>
        <w:t>The ESPP will continue until terminated by the Board. The Board may, in its discretion, at any time, terminate or</w:t>
      </w:r>
      <w:r>
        <w:rPr>
          <w:rFonts w:ascii="Arial" w:cs="Arial" w:eastAsia="Arial" w:hAnsi="Arial"/>
          <w:sz w:val="17"/>
          <w:szCs w:val="17"/>
          <w:i w:val="1"/>
          <w:iCs w:val="1"/>
          <w:color w:val="auto"/>
        </w:rPr>
        <w:t xml:space="preserve"> </w:t>
      </w:r>
      <w:r>
        <w:rPr>
          <w:rFonts w:ascii="Arial" w:cs="Arial" w:eastAsia="Arial" w:hAnsi="Arial"/>
          <w:sz w:val="17"/>
          <w:szCs w:val="17"/>
          <w:color w:val="auto"/>
        </w:rPr>
        <w:t>amend the ESPP. Upon termination of the ESPP, all amounts in the accounts of participating employees will be refunded.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Since participation in the ESPP is voluntary, the benefits or amounts that will be received by or allocated to any individual or group of individuals under the ESPP in the future are not determinable.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Federal Income Tax Consequences</w:t>
      </w:r>
    </w:p>
    <w:p>
      <w:pPr>
        <w:spacing w:after="0" w:line="121"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The following is only a summary of the effect of the U.S. income tax laws and regulations upon an employee and us with respect to an employee’s participation in the ESPP. This summary does not purport to be a complete description of all federal tax implications of participation in the ESPP, nor does it discuss the income tax laws of any municipality, state or foreign country in which a participant may reside or otherwise be subject to tax.</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participant in the ESPP recognizes no taxable income either as a result of participation in the ESPP or upon exercise of an option to purchase shares of our Common Stock under the terms of the ESPP.</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If a participant disposes of shares purchased upon exercise of an option granted under the ESPP within two years from the first day of the applicable offering period or within one year from the exercise date, which we refer to as a “disqualifying disposition,” the participant will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be long-term if the participant’s holding period is more than 12 months, or short-term if the participant’s holding period is 12 months or less.</w:t>
      </w: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If the participant disposes of shares purchased upon exercise of an option granted under the ESPP at least two years after the first day of the applicable offering period and at least one year after the exercise date, the participant will realize ordinary income in the year of disposition equal to the lesser of</w:t>
      </w:r>
    </w:p>
    <w:p>
      <w:pPr>
        <w:ind w:left="120" w:hanging="4"/>
        <w:spacing w:after="0" w:line="253"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 of the fair market value of the Common Stock on the first day of the offering period in which the shares were purchased and (2) the excess of the amount actually received for the Common Stock over the amount paid. The amount of any ordinary income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w:t>
      </w:r>
    </w:p>
    <w:p>
      <w:pPr>
        <w:spacing w:after="0" w:line="19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We are generally entitled to a tax deduction in the year of a disqualifying disposition equal to the amount of ordinary income recognized by the participant as a result of that disposition. In all other cases, we are not allowed a deduction.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affirmative vote of a majority of shares of Common Stock present virtually or represented by proxy at the meeting and entitled to vote on this proposal is required for the approval of the ESPP</w:t>
      </w:r>
      <w:r>
        <w:rPr>
          <w:rFonts w:ascii="Arial" w:cs="Arial" w:eastAsia="Arial" w:hAnsi="Arial"/>
          <w:sz w:val="18"/>
          <w:szCs w:val="18"/>
          <w:b w:val="1"/>
          <w:bCs w:val="1"/>
          <w:color w:val="auto"/>
        </w:rPr>
        <w: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UNANIMOUSLY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APPROVAL OF THE GEMINI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EMPLOYEE STOCK PURCHASE PLAN.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40"/>
        <w:spacing w:after="0" w:line="282" w:lineRule="auto"/>
        <w:rPr>
          <w:sz w:val="20"/>
          <w:szCs w:val="20"/>
          <w:color w:val="auto"/>
        </w:rPr>
      </w:pPr>
      <w:r>
        <w:rPr>
          <w:rFonts w:ascii="Arial" w:cs="Arial" w:eastAsia="Arial" w:hAnsi="Arial"/>
          <w:sz w:val="18"/>
          <w:szCs w:val="18"/>
          <w:b w:val="1"/>
          <w:bCs w:val="1"/>
          <w:color w:val="auto"/>
        </w:rPr>
        <w:t>PROPOSAL 3: RATIFICATION OF APPOINTMENT OF ERNST &amp; YOUNG, LLP AS OUR INDEPENDENT REGISTERED PUBLIC ACCOUNTING FIRM FOR FISCAL YEAR ENDING DECEMBER 31, 2021</w:t>
      </w:r>
    </w:p>
    <w:p>
      <w:pPr>
        <w:spacing w:after="0" w:line="16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accordance with its charter, the Audit Committee of our Board has appointed the firm of Ernst &amp; Young, LLP (“Ernst &amp; Young”), an independent registered public accounting firm, to be the Company’s independent registered public accounting firm for the fiscal year ending December 31, 2021, and our Board is asking stockholders (on a non-binding advisory basis) to ratify that appointment. We are not required to have the stockholders ratify the appointment of Ernst &amp; Young as our independent registered public accounting firm. However, the Board believes that submitting the appointment of Ernst &amp; Young to the stockholders for ratification is good corporate practice and governance. If the stockholders do not ratify the appointment, the Audit Committee will reconsider the retention of Ernst &amp; Young, but ultimately may decide to retain Ernst &amp; Young as the Company’s independent registered public accounting firm. Even if the appointment is ratified, the Audit Committee, in its discretion, may change the appointment at any time if it determines that such a change would be in the best interests of the Company and its stockholders.</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Before selecting Ernst &amp; Young, the Audit Committee carefully considered that firm’s qualifications as an independent registered public accounting firm for the Company. This included a review of its performance for Gemini Therapeutics Sub, Inc. (“Gemini Sub”), the Company’s wholly-owned subsidiary, in prior years, and the firm’s efficiency, integrity and competence in the fields of accounting and auditing. The Audit Committee has expressed its satisfaction with Ernst &amp; Young in all of these respects.</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Withum Smith+Brown, P.C. (“Withum”) served as the independent registered public accounting firm for FSDC with respect to the audit of the 2020 Financial Statements. Withum was informed that it would be replaced by Ernst &amp; Young as the Company’s independent registered public accounting firm following completion of its audit of the Company’s financial statements for the fiscal year ended December 31, 2020 and the consummation of the business combination between Gemini Sub and FSDC on February 5, 2021 (the “Business Combination”).</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Representatives of Ernst &amp; Young will be present at the annual meeting, will have the opportunity to make a statement if they desire to do so and will be available to respond to appropriate questions.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The Audit Committee approves all audit and pre-approves all non-audit services provided by our independent registered public accounting firm before it is engaged by us to render non-audit services. These services may include audit-related services, tax services and other services.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following is a summary and description of fees paid by us to Withum for the fiscal year ended December 31, 2020. The fees do not include fees paid by Gemini Therapeutic, Inc. to Ernst &amp; Young prior to the Business Combination or related to audits and reviews of consolidated financial statements and other historical information of Gemini Therapeutics included in the Company’s registration statements and proxy statement.</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Fee Category</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$122,365</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122,365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9" w:lineRule="auto"/>
        <w:tabs>
          <w:tab w:leader="none" w:pos="54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Audit Fees include fees for professional services rendered for professional services rendered for the audit of year-end financial statements, reviews of quarterly financial statements and services that are normally provided by our independent registered public accounting firm in connection with statutory and regulatory filings. The aggregate audit fees are inclusive of required filings with the SEC for the period from June 25, 2020 (inception) through December 31, 2020, and of services rendered in connection with the Company’s initial public offering.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Audit-Related Fees include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Withum was not paid any audit-related fees during the period from June 25, 2020 (inception) through December 31, 2020.</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include fees consist of fees billed for professional services relating to tax compliance, tax planning and tax advice. Withum was not paid any tax fees during the period from June 25, 2020 (inception) through December 31, 2020.</w:t>
      </w:r>
    </w:p>
    <w:p>
      <w:pPr>
        <w:ind w:left="540" w:right="200" w:hanging="424"/>
        <w:spacing w:after="0" w:line="26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Fees consist of fees billed for all other services. Withum was not paid any other fees during the period from June 25, 2020 (inception) through December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affirmative vote of a majority of the votes cast by holders of shares of common stock who are present virtually or by proxy at a meeting at which a quorum is present is required (on a non-binding advisory basis) to ratify the appointment of Ernst &amp; Young. Abstentions will have no effect on the results of this vote.</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BOARD UNANIMOUSLY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RATIFICATION OF THE SELECTION OF ERNST &amp; YOUNG, CERTIFIED PUBLIC ACCOUNTANTS, AS THE COMPANY’S INDEPENDENT REGISTERED PUBLIC ACCOUNTING FIRM FOR THE FISCAL YEAR ENDING DECEMBER 31, 2021.</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operate in accordance with a written charter adopted by our Board and reviewed annually by the Audit Committee. We are responsible for</w:t>
      </w:r>
    </w:p>
    <w:p>
      <w:pPr>
        <w:spacing w:after="0" w:line="35" w:lineRule="exact"/>
        <w:rPr>
          <w:sz w:val="20"/>
          <w:szCs w:val="20"/>
          <w:color w:val="auto"/>
        </w:rPr>
      </w:pPr>
    </w:p>
    <w:p>
      <w:pPr>
        <w:ind w:left="120" w:right="80" w:hanging="4"/>
        <w:spacing w:after="0" w:line="270" w:lineRule="auto"/>
        <w:tabs>
          <w:tab w:leader="none" w:pos="3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overseeing the quality and integrity of Gemini Therapeutic Inc.’s accounting, auditing and financial reporting practices and compliance with legal and regulatory requirements, (2) the qualifications, independence, and performance of our registered public accounting firm, (3) the performance of our internal audit function, if any, and (4) other matters as set forth in the charter of the Audit Committee approved by the Board. In accordance with the rules of the SEC and Nasdaq, the Audit Committee is composed entirely of members who are independent, as defined by the listing standards of the Nasdaq Stock Market (the “Listing Standards”) and the Gemini Therapeutic Inc.’s corporate governance guidelines. The Board has determined that David Lubner is an “audit committee financial expert” within the meaning of SEC regulations.</w:t>
      </w:r>
    </w:p>
    <w:p>
      <w:pPr>
        <w:spacing w:after="0" w:line="17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believe that we fully discharged our oversight responsibilities as described in our charter, including with respect to the audit process. As previously described herein, subsequent to the end of the fiscal year ended December 31, 2020, the fiscal year to which our 2020 Annual Report on Form 10-K relates, FSDC consummated the Business Combination. FSDC’s audit committee reviewed and discussed the audited financial statements for the fiscal year ended December 31, 2020 included in our 2020 Annual Report on Form 10-K (the “2020 Financial Statements”), with management and FSDC’s independent registered public accounting firm, Withum Smith+Brown, PC (“Withum”). Management has the responsibility for the preparation of those financial statements, and Withum has the responsibility for the audit of those statements. FSDC’s audit committee discussed with Withum the matters required to be discussed by Public Company Accounting Oversight Board, or PCAOB, Auditing Standard No. 1301 and the SEC. FSDC’s audit committee received the written disclosures and the letter from Withum pursuant to Rule 3526, Communication with Audit Committees Concerning Independence, of the PCAOB, concerning any relationships between Withum and FSDC (prior to the Business Combination) and the potential effects of any disclosed relationships on Withum’s independence, and discussed with Withum its independence. FSDC’s audit committee reviewed with Withum their audit plans, audit scope, identification of audit risks and their audit efforts, and discussed and reviewed the results of Withum’s examination of the 2020 Financial Statements both with and without management.</w:t>
      </w:r>
    </w:p>
    <w:p>
      <w:pPr>
        <w:spacing w:after="0" w:line="17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The Audit Committee considered any fees paid to Withum for the provision of non-audit related services and does not believe that these fees compromise Withum’s independence in performing the audit.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Based on these reviews and discussions with management and Withum, we approved the inclusion of the 2020 Financials in our Annual Report on Form 10-K for the fiscal year ended December 31, 2020 for filing with the SEC.</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February 5, 2021, we approved the engagement of Ernst &amp; Young as the independent registered public accounting firm for the fiscal year ending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 of the Board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Lubner</w:t>
      </w:r>
      <w:r>
        <w:rPr>
          <w:rFonts w:ascii="Arial" w:cs="Arial" w:eastAsia="Arial" w:hAnsi="Arial"/>
          <w:sz w:val="18"/>
          <w:szCs w:val="18"/>
          <w:i w:val="1"/>
          <w:iCs w:val="1"/>
          <w:color w:val="auto"/>
        </w:rPr>
        <w:t>,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Carl Gordon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Rhodes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17,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Leadership Structure</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As of August 10, 2021, the Board is comprised of eight members. The Board has a flexible policy with respect to the combination or separation of the offices of Chair of the Board and Chief Executive Officer. Currently, Dr. Georges Gemayel serves as our independent Chair, and Jason Meyenburg serves as our Chief Executive Officer. The Board believes that by having separate roles, the Chief Executive Officer is able to focus on the day-to-day business and affairs of the Company and the Chair is able to focus on key strategic issues, board leadership and communication. While the Board believes this leadership structure is currently in the best interests of the Company and its stockholders, the Board also recognizes that future circumstances could lead it to combine these roles.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Current Nasdaq listing guidelines require that a majority of our Board be independent. An “independent director” is defined generally as a person other than an executive officer or employee of the Company or any other individual having a relationship which, in the opinion of our Board, would interfere with the exercise of independent judgement in carrying out the responsibilities of a director. The Board has determined that each individual who serves on the Board, other than Mr. Meyenburg and Dr. Tananbaum, qualifies as an independent director under the Listing Standards. In making such independence determination, our Board considered the relationships that each non-employee director has with us and all other facts and circumstances that our Board deemed relevant in determining their independence.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 and Attendance</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board of directors of FSDC, prior to the Business Combination, held two meetings, including actions by written consent, during the fiscal year ended December 31, 2020. Each of FSDC’s then-incumbent directors attended 100% of the meetings of FSDC’s board of directors and the committees of FSDC’s board of directors on which he or she served during the fiscal year ended December 31, 2020 (in each case, which were held during the period for which he or she was a director and/or a member of the applicable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 policy regarding attendance of our directors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The Board has the authority to appoint committees to perform certain management and administration functions. Prior to the Business Combination, FSDC’s board of directors maintained two standing committees: an audit committee and a compensation committee. In connection with the consummation of the Business Combination and the contemporaneous disbanding of these committees, our Board formed and constituted our Audit Committee, Compensation Committee and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Gemini’s website at </w:t>
      </w:r>
      <w:r>
        <w:rPr>
          <w:rFonts w:ascii="Arial" w:cs="Arial" w:eastAsia="Arial" w:hAnsi="Arial"/>
          <w:sz w:val="16"/>
          <w:szCs w:val="16"/>
          <w:i w:val="1"/>
          <w:iCs w:val="1"/>
          <w:color w:val="auto"/>
        </w:rPr>
        <w:t>www.geminitherapeutics.com</w:t>
      </w:r>
      <w:r>
        <w:rPr>
          <w:rFonts w:ascii="Arial" w:cs="Arial" w:eastAsia="Arial" w:hAnsi="Arial"/>
          <w:sz w:val="16"/>
          <w:szCs w:val="16"/>
          <w:color w:val="auto"/>
        </w:rPr>
        <w:t>. Information contained on or accessible through Gemini’s website is not a part of this prospectus, and the inclusion of such website address in this prospectus is an inactive textual reference only.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August 10, 2021, the membership of each committee of our Board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1680" w:type="dxa"/>
            <w:vAlign w:val="bottom"/>
            <w:gridSpan w:val="2"/>
            <w:vMerge w:val="restart"/>
          </w:tcPr>
          <w:p>
            <w:pPr>
              <w:jc w:val="center"/>
              <w:ind w:left="728"/>
              <w:spacing w:after="0"/>
              <w:rPr>
                <w:sz w:val="20"/>
                <w:szCs w:val="20"/>
                <w:color w:val="auto"/>
              </w:rPr>
            </w:pPr>
            <w:r>
              <w:rPr>
                <w:rFonts w:ascii="Arial" w:cs="Arial" w:eastAsia="Arial" w:hAnsi="Arial"/>
                <w:sz w:val="14"/>
                <w:szCs w:val="14"/>
                <w:b w:val="1"/>
                <w:bCs w:val="1"/>
                <w:color w:val="auto"/>
                <w:w w:val="90"/>
              </w:rPr>
              <w:t>Compensation</w:t>
            </w:r>
          </w:p>
        </w:tc>
        <w:tc>
          <w:tcPr>
            <w:tcW w:w="8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vMerge w:val="restart"/>
          </w:tcPr>
          <w:p>
            <w:pPr>
              <w:spacing w:after="0"/>
              <w:rPr>
                <w:sz w:val="12"/>
                <w:szCs w:val="12"/>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4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3"/>
              </w:rPr>
              <w:t>Corporate Governance</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900" w:type="dxa"/>
            <w:vAlign w:val="bottom"/>
            <w:gridSpan w:val="2"/>
          </w:tcPr>
          <w:p>
            <w:pPr>
              <w:jc w:val="center"/>
              <w:ind w:left="1108"/>
              <w:spacing w:after="0" w:line="158" w:lineRule="exact"/>
              <w:rPr>
                <w:sz w:val="20"/>
                <w:szCs w:val="20"/>
                <w:color w:val="auto"/>
              </w:rPr>
            </w:pPr>
            <w:r>
              <w:rPr>
                <w:rFonts w:ascii="Arial" w:cs="Arial" w:eastAsia="Arial" w:hAnsi="Arial"/>
                <w:sz w:val="14"/>
                <w:szCs w:val="14"/>
                <w:b w:val="1"/>
                <w:bCs w:val="1"/>
                <w:color w:val="auto"/>
                <w:w w:val="93"/>
              </w:rPr>
              <w:t>Committee</w:t>
            </w:r>
          </w:p>
        </w:tc>
        <w:tc>
          <w:tcPr>
            <w:tcW w:w="80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800" w:type="dxa"/>
            <w:vAlign w:val="bottom"/>
          </w:tcPr>
          <w:p>
            <w:pPr>
              <w:spacing w:after="0"/>
              <w:rPr>
                <w:sz w:val="15"/>
                <w:szCs w:val="15"/>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Georges Gemayel, Ph.D.</w:t>
            </w:r>
          </w:p>
        </w:tc>
        <w:tc>
          <w:tcPr>
            <w:tcW w:w="1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8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Jean George</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x (Chair)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Carl L. Gordon, Ph.D.</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David Lubner*</w:t>
            </w:r>
          </w:p>
        </w:tc>
        <w:tc>
          <w:tcPr>
            <w:tcW w:w="1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x (Chair)</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Tuyen Ong, M.D., MRCOphth</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 (Chair)</w:t>
            </w: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Jason Rhodes</w:t>
            </w:r>
          </w:p>
        </w:tc>
        <w:tc>
          <w:tcPr>
            <w:tcW w:w="1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x</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Jim Tananbaum, M.D.</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3100" w:type="dxa"/>
            <w:vAlign w:val="bottom"/>
            <w:gridSpan w:val="2"/>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4060" w:type="dxa"/>
            <w:vAlign w:val="bottom"/>
            <w:gridSpan w:val="4"/>
          </w:tcPr>
          <w:p>
            <w:pPr>
              <w:ind w:left="160"/>
              <w:spacing w:after="0"/>
              <w:rPr>
                <w:sz w:val="20"/>
                <w:szCs w:val="20"/>
                <w:color w:val="auto"/>
              </w:rPr>
            </w:pPr>
            <w:r>
              <w:rPr>
                <w:rFonts w:ascii="Arial" w:cs="Arial" w:eastAsia="Arial" w:hAnsi="Arial"/>
                <w:sz w:val="18"/>
                <w:szCs w:val="18"/>
                <w:color w:val="auto"/>
              </w:rPr>
              <w:t>Financial Expert</w:t>
            </w: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each committee of the Board.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David Lubner, Dr. Carl Gordon and Jason Rhodes serve on our Audit Committee, which is chaired by Mr. Lubner. The Board has determined each member of the Audit Committee is independent under the Listing Standards, and Rule 10A-3(b)(1) of the Exchange Act. The Board has determined that David Lubner is an “audit committee financial expert” within the meaning of SEC regulations. The Board has also determined that each member of the Audit Committee has the requisite financial expertise required under the applicable requirements of the Nasdaq Stock Market. In arriving at this determination, the Board has examined each Audit Committee member’s scope of experience and the nature of their employment in the corporate finance sector.</w:t>
      </w:r>
    </w:p>
    <w:p>
      <w:pPr>
        <w:spacing w:after="0" w:line="192"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primary purpose of the Audit Committee is to discharge the responsibilities of the Board with respect to our accounting, financial, and other reporting and internal control practices and to oversee our independent registered accounting firm.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Audit Committee include:</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Gemini’s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assessing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discussing and reviewing the scope and results of the audit with the independent registered public accounting firm and management members responsible for preparing our financial statements;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accountants, our interim and year-end operating results and related disclosures as well as all critical accounting policies and practices used by the Company and any significant financial reporting issues that have arisen in connection with preparation of such results;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related party transactions for potential conflict of interests;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31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coordinating the oversight and reviewing the adequacy of our internal control over financial reporting, including obtaining and reviewing a report by the independent registered public accounting firm at least annually, that describes Gemini’s internal quality-control procedures, any material issues with such procedures, and any steps taken to deal with such issues when required by applicable law; and</w:t>
      </w:r>
    </w:p>
    <w:p>
      <w:pPr>
        <w:spacing w:after="0" w:line="54"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During the fiscal year ended December 31, 2020, FSDC’s audit committee met one time. The report of our Audit Committee is included in this proxy statement under “Report of the Audit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Jean George, Dr. Tuyen Ong, Dr. Georges Gemayel, and Dr. Jim Tananbaum serve on our Compensation Committee, which is chaired by Dr. Ong. The Board has determined each member is a “non-employee director” as defined in Rule 16b-3 promulgated under the Exchange Act. The Board has determined each member of the Compensation Committee, other than Dr.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Tananbaum as a member of the Compensation Committee. In making this election, the Board considered Dr. Tananbaum’s extensive experience in the life sciences industry and the marketplace for life science executives. The primary purpose of the Compensation Committee is to discharge the responsibilities of the Board to oversee its compensation policies, plans and programs and to review and determine the compensation to be paid to its executive officers, directors and other senior management, as appropriate.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the Compensation Committee include:</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fiscal year ended December 31, 2020, FSDC’s compensation committee did not hold any meetings.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Jean George, Dr. Georges Gemayel, Jason Rhodes and Dr. Jim Tananbaum serve on the Nominating and Corporate Governance Committee, which is chaired by Ms. George. The Board has determined each member of the Nominating and Corporate Governance Committee, other than Dr.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w:t>
      </w:r>
    </w:p>
    <w:p>
      <w:pPr>
        <w:spacing w:after="0" w:line="1" w:lineRule="exact"/>
        <w:rPr>
          <w:sz w:val="20"/>
          <w:szCs w:val="20"/>
          <w:color w:val="auto"/>
        </w:rPr>
      </w:pPr>
    </w:p>
    <w:p>
      <w:pPr>
        <w:ind w:left="120" w:right="500" w:hanging="4"/>
        <w:spacing w:after="0" w:line="281"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may serve as a member of nominating and corporate governance committee if such membership is in the best interests of our company and our stockholders and (ii) such member does not serve longer than two years. The Board has elected to rely on this limited exception in appointing</w:t>
      </w:r>
    </w:p>
    <w:p>
      <w:pPr>
        <w:spacing w:after="0" w:line="1" w:lineRule="exact"/>
        <w:rPr>
          <w:rFonts w:ascii="Arial" w:cs="Arial" w:eastAsia="Arial" w:hAnsi="Arial"/>
          <w:sz w:val="16"/>
          <w:szCs w:val="16"/>
          <w:color w:val="auto"/>
        </w:rPr>
      </w:pPr>
    </w:p>
    <w:p>
      <w:pPr>
        <w:ind w:left="120" w:right="120"/>
        <w:spacing w:after="0" w:line="260" w:lineRule="auto"/>
        <w:rPr>
          <w:rFonts w:ascii="Arial" w:cs="Arial" w:eastAsia="Arial" w:hAnsi="Arial"/>
          <w:sz w:val="16"/>
          <w:szCs w:val="16"/>
          <w:color w:val="auto"/>
        </w:rPr>
      </w:pPr>
      <w:r>
        <w:rPr>
          <w:rFonts w:ascii="Arial" w:cs="Arial" w:eastAsia="Arial" w:hAnsi="Arial"/>
          <w:sz w:val="18"/>
          <w:szCs w:val="18"/>
          <w:color w:val="auto"/>
        </w:rPr>
        <w:t>Dr. Tananbaum as a member of the Nominating and Corporate Governance Committee. In making this election, the Board considered Dr. Tananbaum’s extensive experience in the life sciences industry and in serving on the board of directors of numerous organizations.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for board and committee membership;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candidates, including nominees recommend by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Business Combination, FSDC did not have a nominating and corporate governance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is responsible for periodically evaluating our Company’s corporate governance policies and systems in light of the governance risks that our Company faces and the adequacy of our Company’s policies and procedures designed to address such risks. Our Compensation Committee assesses and monitor whether any of our compensation policies and programs is reasonably likely to have a material adverse effect on our Company.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become members of our Board, and recommending to our Board, such persons to be nominated for election as directors, except where we are legally required by contract, law, or otherwise to provide third parties with the right to nominate.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Nominating and Corporate Governance Committee’s process to identify and evaluate director candidates includes requests to board members and others for recommendations, engaging third party search firms, meetings from time to time to evaluate skills and other biographical materials of potential candidates, and interviews members of the committee, management team members, and our Board. In identifying, assessing and evaluating potential director candidates, the committee will consider and evaluate a wide range of factors, including biographical information, educational background, diversity of professional experience, knowledge of the Company’s business, integrity, professional reputation, independence, wisdom, specific skills that may be helpful to the Company, and the ability to represent the best interests of the Company’s stockholders. Furthermore, qualifications, qualities, and skills that the committee generally believes that are important for all Board members to possess include a long-term reputation for high ethical and moral standards, high accomplishment in such candidate’s field, sufficient time and availability to devote to the affairs of the Company, and skills that are complementary to those of the existing Board. The Nominating and Corporate Governance Committee believes that the personal backgrounds and professional qualifications of our directors, considered as a group, should provide a diverse mix of experience, knowledge, and abilities that will allow our Board to promote the Company’s strategic objectives and fulfill its responsibilities to its stockholders.</w:t>
      </w:r>
    </w:p>
    <w:p>
      <w:pPr>
        <w:spacing w:after="0" w:line="172"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Board will consider director candidates recommended for nomination by the Company’s shareholders during such times as they are seeking proposed nominees to stand for election at the next annual meeting of stockholders (or, if applicable, a special meeting of shareholders). The Company’s stockholders that wish to nominate a director for election to the Board followed the procedures set forth in the Company’s Bylaws.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Compensation Committee currently consists of Jean George, Dr. Tuyen Ong, and Dr. Jim Tananbaum. Other than Dr. Tananbaum, no member of the Compensation Committee has ever been an officer or employee of the Company or had any other relationship requiring disclosure herein. Prior to the closing of the Business Combination, Dr. Tananbaum served as the President and Chief Executive Officer of FSDC from June 2020 until such closing. None of our current executive officers serves, or has served during the last fiscal year, as a member of the board of directors, compensation committee, or other board committee performing equivalent functions of any other entity that has one or more executive officers serving as one of our directors or on our Compensation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Gemini has adopted a Code of Business Conduct and Ethics that applies to all of its employees, officers and directors, including those officers responsible for financial reporting, in accordance with the rules of Nasdaq and the SEC. The Code of Business Conduct and Ethics is available on Gemini’s website at </w:t>
      </w:r>
      <w:r>
        <w:rPr>
          <w:rFonts w:ascii="Arial" w:cs="Arial" w:eastAsia="Arial" w:hAnsi="Arial"/>
          <w:sz w:val="18"/>
          <w:szCs w:val="18"/>
          <w:i w:val="1"/>
          <w:iCs w:val="1"/>
          <w:color w:val="auto"/>
        </w:rPr>
        <w:t>www.geminitherapeutics.com</w:t>
      </w:r>
      <w:r>
        <w:rPr>
          <w:rFonts w:ascii="Arial" w:cs="Arial" w:eastAsia="Arial" w:hAnsi="Arial"/>
          <w:sz w:val="18"/>
          <w:szCs w:val="18"/>
          <w:color w:val="auto"/>
        </w:rPr>
        <w:t>. Information contained on or accessible through such website is not a part of this proxy statement, and the inclusion of the website address in this proxy statement is an inactive textual reference only. Gemini intends to disclose any amendments to the Code of Business Conduct and Ethics, or any waivers of its requirements, on its website to the extent required by the applicable rules and exchange requirements.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Insider Trading, Prohibition Against Pledging, and Anti-Hedging Policies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insider trading policy expressly prohibits short sales and derivative transactions of our stock and purchases or sales of puts, calls, or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by our executive officers, directors, employees and certain designated consultants and contractors.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Our Board</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Board has adopted a formal process by which stockholders may communicate with the Board or any individual director by sending correspondence to c/o Gemini Therapeutics, Inc., 300 One Kendall Square, 3rd Floor, Cambridge, MA 02139, Attn: Brian Piekos.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communication must set forth:</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and address of the stockholder on whose behalf the communication is 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Common Stock that are owned beneficially by such stockholder as of the date of the communication;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reason for the communication, any request being made and rationale supporting such request.</w:t>
      </w:r>
    </w:p>
    <w:p>
      <w:pPr>
        <w:spacing w:after="0" w:line="225"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Each communication will be reviewed to determine whether it is appropriate for presentation to the Board or such individual director to which the communication is addressed. Examples of inappropriate communications include advertisements, solicitations, hostile communications or communications that do not relate to appropriate company business.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Communications determined to be appropriate for presentation to the Board or such individual director will be submitted prior to the next meeting of the Board.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stock awards and stock options. Our named executive officers who are full-time employees, like all other full-time employees, are eligible to participate in our retirement and health and welfare benefit plans. Going forward and in light of becoming a publicly traded company as a result of the Business Combination, we intend to continue to evaluate our compensation values and philosophy and compensation plans and arrangements as circumstances merit. At a minimum, we expect to review executive compensation annually with input from a compensation consultant. As part of this review process, we expect the Board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Company’s named executive officers for the year ended December 31, 2020 are Jason Meyenburg, our President and Chief Executive Officer, Dr. Scott Lauder, our Chief Technology Officer, and Dr. Marc Uknis, our former Chief Medical Officer. The following table presents information regarding the total compensation awarded to, earned by, and paid to our named executive officers for services rendered to us in all capacities for 2020.</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Non-Equity Incentive</w:t>
            </w:r>
          </w:p>
        </w:tc>
        <w:tc>
          <w:tcPr>
            <w:tcW w:w="15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8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Plan Compensation</w:t>
            </w:r>
          </w:p>
        </w:tc>
        <w:tc>
          <w:tcPr>
            <w:tcW w:w="15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7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440" w:type="dxa"/>
            <w:vAlign w:val="bottom"/>
            <w:gridSpan w:val="2"/>
          </w:tcPr>
          <w:p>
            <w:pPr>
              <w:jc w:val="center"/>
              <w:ind w:left="48"/>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5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7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Jason Meyenburg Chief Executive Officer and</w:t>
            </w: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437,800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1,541,002</w:t>
            </w: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49,992</w:t>
            </w:r>
            <w:r>
              <w:rPr>
                <w:rFonts w:ascii="Arial" w:cs="Arial" w:eastAsia="Arial" w:hAnsi="Arial"/>
                <w:sz w:val="15"/>
                <w:szCs w:val="15"/>
                <w:color w:val="auto"/>
              </w:rPr>
              <w:t>(3)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2,071,294</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 xml:space="preserve">Dr. Marc Uknis Chief Medical Officer </w:t>
            </w:r>
            <w:r>
              <w:rPr>
                <w:rFonts w:ascii="Arial" w:cs="Arial" w:eastAsia="Arial" w:hAnsi="Arial"/>
                <w:sz w:val="15"/>
                <w:szCs w:val="15"/>
                <w:color w:val="auto"/>
              </w:rPr>
              <w:t>(5)</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328,542</w:t>
            </w: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1,225,039</w:t>
            </w:r>
          </w:p>
        </w:tc>
        <w:tc>
          <w:tcPr>
            <w:tcW w:w="120" w:type="dxa"/>
            <w:vAlign w:val="bottom"/>
          </w:tcPr>
          <w:p>
            <w:pPr>
              <w:spacing w:after="0"/>
              <w:rPr>
                <w:sz w:val="18"/>
                <w:szCs w:val="18"/>
                <w:color w:val="auto"/>
              </w:rPr>
            </w:pP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3,144</w:t>
            </w:r>
            <w:r>
              <w:rPr>
                <w:rFonts w:ascii="Arial" w:cs="Arial" w:eastAsia="Arial" w:hAnsi="Arial"/>
                <w:sz w:val="15"/>
                <w:szCs w:val="15"/>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1,556,725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Scott Lauder Chief Technology Officer</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355,000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117,800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136,517</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616,817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reported in this column represent annual cash bonus payments made to our named executive officers in March 2020 for performance in 2019.</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our financial statements included in Item 9.01 of our Current Report on Form 8-K dated February 5, 2021 regarding assumptions underlying the valuation of equity awards.</w:t>
      </w:r>
    </w:p>
    <w:p>
      <w:pPr>
        <w:spacing w:after="0" w:line="1"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payment for a living expense allowance of $4,166 per month to facilitate Mr. Meyenburg’s relocation to Cambridge, Massachusetts pursuant to the terms of his offer letter agreement with the Company.</w:t>
      </w: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Company’s portion of the executive’s 401(k) plan contribution.</w:t>
      </w:r>
    </w:p>
    <w:p>
      <w:pPr>
        <w:spacing w:after="0" w:line="9" w:lineRule="exact"/>
        <w:rPr>
          <w:rFonts w:ascii="Arial" w:cs="Arial" w:eastAsia="Arial" w:hAnsi="Arial"/>
          <w:sz w:val="18"/>
          <w:szCs w:val="18"/>
          <w:color w:val="auto"/>
        </w:rPr>
      </w:pPr>
    </w:p>
    <w:p>
      <w:pPr>
        <w:ind w:left="540" w:right="64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Uknis’ employment with the Company commenced in March 2020 and, effective as of April 11, 2021, Dr. Uknis departed as the Chief Medical Officer and Samuel Barone, M.D. was appointed to serve as his successor.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Each named executive officer’s base salary is a fixed component of annual compensation for performing specific duties and functions, and has been established by our Compensation Committee taking into account each individual’s role, responsibilities, skills, and experience. Base salaries are reviewed annually, typically in connection with our annual performance review process, and adjusted from time to time to realign salaries with market levels after taking into account individual responsibilities, performance and experience. For the year ended December 31, 2020, the annual base salary for each of Mr. Meyenburg, Dr. Uknis and Dr. Lauder was $437,800, $415,000 and $355,000, respectively.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Bonuses</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pay cash bonuses to reward our executives for their performance over the fiscal year, based on goals established by our Board or Compensation Committee. Annual performance bonus awards are determined based on the achievement of certain predetermined annual corporate and individual performance milestones. For the year ended December 31, 2020, the target bonus for Mr. Meyenburg was equal to 40% percent of his base salary (100% based on achievement of annual corporate milestones) and the target bonus for each of Dr. Uknis and Dr. Lauder was equal to 35% of the executive’s base salary (in each case, 80% based on achievement of annual corporate milestones and 20% based on achievement of individual performance milestones). For fiscal year 2020, 90% of the Company’s corporate milestones related to research and development targets and 10% related to financing and organizational targets. Following review and determination of corporate and individual performance for 2020, the Board determined, upon recommendation from the Compensation Committee, that Mr. Meyenburg’s annual bonus was earned at 115% of his target bonus, Dr. Lauder’s annual bonus was earned at 114% of his target bonus, and Dr. Uknis’s annual bonus was earned at 92% of his target bonus.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 below.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 December 31, 2020. Unless otherwise noted, all equity awards set forth in the table below were granted under our 2017 Stock Option and Grant Plan, as amended (the “2017 Plan”).</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8"/>
              </w:rPr>
              <w:t>Option awards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10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shares</w:t>
            </w: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or units of</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vMerge w:val="restart"/>
          </w:tcPr>
          <w:p>
            <w:pPr>
              <w:jc w:val="center"/>
              <w:ind w:right="364"/>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8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securities</w:t>
            </w:r>
          </w:p>
        </w:tc>
        <w:tc>
          <w:tcPr>
            <w:tcW w:w="72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stock that</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or 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gridSpan w:val="2"/>
            <w:vMerge w:val="continue"/>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have not</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 that have</w:t>
            </w:r>
          </w:p>
        </w:tc>
        <w:tc>
          <w:tcPr>
            <w:tcW w:w="0" w:type="dxa"/>
            <w:vAlign w:val="bottom"/>
          </w:tcPr>
          <w:p>
            <w:pPr>
              <w:spacing w:after="0"/>
              <w:rPr>
                <w:sz w:val="1"/>
                <w:szCs w:val="1"/>
                <w:color w:val="auto"/>
              </w:rPr>
            </w:pPr>
          </w:p>
        </w:tc>
      </w:tr>
      <w:tr>
        <w:trPr>
          <w:trHeight w:val="16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6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304"/>
              <w:spacing w:after="0"/>
              <w:rPr>
                <w:sz w:val="20"/>
                <w:szCs w:val="20"/>
                <w:color w:val="auto"/>
              </w:rPr>
            </w:pPr>
            <w:r>
              <w:rPr>
                <w:rFonts w:ascii="Arial" w:cs="Arial" w:eastAsia="Arial" w:hAnsi="Arial"/>
                <w:sz w:val="14"/>
                <w:szCs w:val="14"/>
                <w:b w:val="1"/>
                <w:bCs w:val="1"/>
                <w:color w:val="auto"/>
                <w:w w:val="90"/>
              </w:rPr>
              <w:t>commencement</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options (#)</w:t>
            </w:r>
          </w:p>
        </w:tc>
        <w:tc>
          <w:tcPr>
            <w:tcW w:w="18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unexercised options</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price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expiration</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vested</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center"/>
              <w:ind w:right="384"/>
              <w:spacing w:after="0" w:line="158" w:lineRule="exact"/>
              <w:rPr>
                <w:sz w:val="20"/>
                <w:szCs w:val="20"/>
                <w:color w:val="auto"/>
              </w:rPr>
            </w:pPr>
            <w:r>
              <w:rPr>
                <w:rFonts w:ascii="Arial" w:cs="Arial" w:eastAsia="Arial" w:hAnsi="Arial"/>
                <w:sz w:val="14"/>
                <w:szCs w:val="14"/>
                <w:b w:val="1"/>
                <w:bCs w:val="1"/>
                <w:color w:val="auto"/>
                <w:w w:val="90"/>
              </w:rPr>
              <w:t>date</w:t>
            </w:r>
          </w:p>
        </w:tc>
        <w:tc>
          <w:tcPr>
            <w:tcW w:w="7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5"/>
                <w:szCs w:val="15"/>
                <w:color w:val="auto"/>
              </w:rPr>
            </w:pPr>
          </w:p>
        </w:tc>
        <w:tc>
          <w:tcPr>
            <w:tcW w:w="14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 unexercisable</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date</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Meyenburg</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9/23/2019</w:t>
            </w:r>
          </w:p>
        </w:tc>
        <w:tc>
          <w:tcPr>
            <w:tcW w:w="400" w:type="dxa"/>
            <w:vAlign w:val="bottom"/>
            <w:tcBorders>
              <w:top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w w:val="87"/>
              </w:rPr>
              <w:t>(2)</w:t>
            </w:r>
          </w:p>
        </w:tc>
        <w:tc>
          <w:tcPr>
            <w:tcW w:w="720" w:type="dxa"/>
            <w:vAlign w:val="bottom"/>
            <w:tcBorders>
              <w:top w:val="single" w:sz="8" w:color="auto"/>
            </w:tcBorders>
            <w:shd w:val="clear" w:color="auto" w:fill="CCEEFF"/>
          </w:tcPr>
          <w:p>
            <w:pPr>
              <w:ind w:left="140"/>
              <w:spacing w:after="0" w:line="189" w:lineRule="exact"/>
              <w:rPr>
                <w:sz w:val="20"/>
                <w:szCs w:val="20"/>
                <w:color w:val="auto"/>
              </w:rPr>
            </w:pPr>
            <w:r>
              <w:rPr>
                <w:rFonts w:ascii="Arial" w:cs="Arial" w:eastAsia="Arial" w:hAnsi="Arial"/>
                <w:sz w:val="18"/>
                <w:szCs w:val="18"/>
                <w:color w:val="auto"/>
                <w:w w:val="86"/>
              </w:rPr>
              <w:t>840,698</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1,849,541</w:t>
            </w: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0.47</w:t>
            </w: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11/12/2029</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center"/>
              <w:ind w:left="241"/>
              <w:spacing w:after="0" w:line="189"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78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3/11/2020</w:t>
            </w:r>
            <w:r>
              <w:rPr>
                <w:rFonts w:ascii="Arial" w:cs="Arial" w:eastAsia="Arial" w:hAnsi="Arial"/>
                <w:sz w:val="15"/>
                <w:szCs w:val="15"/>
                <w:color w:val="auto"/>
              </w:rPr>
              <w:t>(2)</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595,700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3/11/2030</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10/16/2020</w:t>
            </w:r>
            <w:r>
              <w:rPr>
                <w:rFonts w:ascii="Arial" w:cs="Arial" w:eastAsia="Arial" w:hAnsi="Arial"/>
                <w:sz w:val="15"/>
                <w:szCs w:val="15"/>
                <w:color w:val="auto"/>
              </w:rPr>
              <w:t>(2)</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1,178,043</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10/16/2030</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Dr. Marc Uknis</w:t>
            </w:r>
          </w:p>
        </w:tc>
        <w:tc>
          <w:tcPr>
            <w:tcW w:w="160" w:type="dxa"/>
            <w:vAlign w:val="bottom"/>
          </w:tcPr>
          <w:p>
            <w:pPr>
              <w:spacing w:after="0"/>
              <w:rPr>
                <w:sz w:val="18"/>
                <w:szCs w:val="18"/>
                <w:color w:val="auto"/>
              </w:rPr>
            </w:pP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3/16/2020</w:t>
            </w:r>
            <w:r>
              <w:rPr>
                <w:rFonts w:ascii="Arial" w:cs="Arial" w:eastAsia="Arial" w:hAnsi="Arial"/>
                <w:sz w:val="15"/>
                <w:szCs w:val="15"/>
                <w:color w:val="auto"/>
              </w:rPr>
              <w:t>(2)</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1,093,980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10/16/2030</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 Scott Lauder</w:t>
            </w: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44"/>
              <w:spacing w:after="0" w:line="201" w:lineRule="exact"/>
              <w:rPr>
                <w:sz w:val="20"/>
                <w:szCs w:val="20"/>
                <w:color w:val="auto"/>
              </w:rPr>
            </w:pPr>
            <w:r>
              <w:rPr>
                <w:rFonts w:ascii="Arial" w:cs="Arial" w:eastAsia="Arial" w:hAnsi="Arial"/>
                <w:sz w:val="18"/>
                <w:szCs w:val="18"/>
                <w:color w:val="auto"/>
              </w:rPr>
              <w:t>11/5/2017</w:t>
            </w:r>
            <w:r>
              <w:rPr>
                <w:rFonts w:ascii="Arial" w:cs="Arial" w:eastAsia="Arial" w:hAnsi="Arial"/>
                <w:sz w:val="15"/>
                <w:szCs w:val="15"/>
                <w:color w:val="auto"/>
              </w:rPr>
              <w:t>(3)</w:t>
            </w:r>
          </w:p>
        </w:tc>
        <w:tc>
          <w:tcPr>
            <w:tcW w:w="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235,206</w:t>
            </w:r>
          </w:p>
        </w:tc>
        <w:tc>
          <w:tcPr>
            <w:tcW w:w="162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78,400</w:t>
            </w:r>
          </w:p>
        </w:tc>
        <w:tc>
          <w:tcPr>
            <w:tcW w:w="7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0.28</w:t>
            </w:r>
          </w:p>
        </w:tc>
        <w:tc>
          <w:tcPr>
            <w:tcW w:w="112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8/28/2028</w:t>
            </w:r>
          </w:p>
        </w:tc>
        <w:tc>
          <w:tcPr>
            <w:tcW w:w="10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3/11/2020</w:t>
            </w:r>
            <w:r>
              <w:rPr>
                <w:rFonts w:ascii="Arial" w:cs="Arial" w:eastAsia="Arial" w:hAnsi="Arial"/>
                <w:sz w:val="15"/>
                <w:szCs w:val="15"/>
                <w:color w:val="auto"/>
              </w:rPr>
              <w:t>(2)</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3/11/2030</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10/16/2020</w:t>
            </w:r>
          </w:p>
        </w:tc>
        <w:tc>
          <w:tcPr>
            <w:tcW w:w="4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87"/>
              </w:rPr>
              <w:t>(2)</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96,971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10/16/2030</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 xml:space="preserve">46,250 </w:t>
            </w:r>
            <w:r>
              <w:rPr>
                <w:rFonts w:ascii="Arial" w:cs="Arial" w:eastAsia="Arial" w:hAnsi="Arial"/>
                <w:sz w:val="15"/>
                <w:szCs w:val="15"/>
                <w:color w:val="auto"/>
                <w:w w:val="91"/>
              </w:rPr>
              <w:t>(4)</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8"/>
              </w:rPr>
              <w:t>76,775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as of December 31, 2020 of $1.66 as determined by the Board, after consideration of relevant factors, including third-party valuation report.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86"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(as each such term is defined in the 2017 Plan) within 12 months following a Sale Event (as such term is defined in the 2017 Plan), the vesting of this stock option will fully accelerate.</w:t>
      </w:r>
    </w:p>
    <w:p>
      <w:pPr>
        <w:spacing w:after="0" w:line="1" w:lineRule="exact"/>
        <w:rPr>
          <w:rFonts w:ascii="Arial" w:cs="Arial" w:eastAsia="Arial" w:hAnsi="Arial"/>
          <w:sz w:val="16"/>
          <w:szCs w:val="16"/>
          <w:color w:val="auto"/>
        </w:rPr>
      </w:pPr>
    </w:p>
    <w:p>
      <w:pPr>
        <w:ind w:left="540" w:right="80" w:hanging="424"/>
        <w:spacing w:after="0" w:line="265"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shares underlying this stock option vest in 16 equal quarterly installments over the four years following vesting commencement date, subject to Dr. Lauder’s continued service. This stock option will vest in full upon a Sale Event (as such term is defined in the 2017 Plan).</w:t>
      </w:r>
    </w:p>
    <w:p>
      <w:pPr>
        <w:ind w:left="540" w:right="80" w:hanging="424"/>
        <w:spacing w:after="0" w:line="290"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a restricted stock award granted on October 26, 2016 for a total of 480,000 shares under our 2015 Employee, Director and Consultant Stock Option Plan. The remaining unvested shares vested in two quarterly installments of 23,125 shares through May 16,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maintain a tax-qualified retirement plan that provides eligible U.S. employees, including our named executive officers, with an opportunity to save for retirement on a tax advantaged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and Severance Agreements with our Named Executive Officers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connection with the Business Combination, we entered into new employment agreements with each of our named executive officers, the material terms of which summarized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Jason Meyenburg</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entered into an employment agreement with Mr. Meyenburg on January 21, 2021, which became effective as of February 5, 2021 (the “Meyenburg Employment Agreement”) and replaced Mr. Meyenburg’s earlier employment agreement. Pursuant to the Meyenburg Employment Agreement, we employ Mr. Meyenburg as our President and Chief Executive Officer. The Meyenburg Employment Agreement also provides for Mr. Meyenburg to serve as a member of our Board for as long as he is employed as our Chief Executive Officer. The employment of Mr. Meyenburg is “at will” and the Meyenburg Employment Agreement endures until terminated by either party.</w:t>
      </w:r>
    </w:p>
    <w:p>
      <w:pPr>
        <w:spacing w:after="0" w:line="17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Mr. Meyenburg’s current annual base salary is $515,000, which is subject to periodic review and adjustment. Pursuant to the Meyenburg Employment Agreement, Mr. Meyenburg is eligible to receive an annual incentive bonus targeted 50% of his annual base salary. The actual amount of the bonus is determined by the Board or the Compensation Committee based on its assessment of the performance of Mr. Meyenburg and that of the Company against pre-established goals determined by our Board or Compensation Committee. Mr. Meyenburg is entitled to a living expense allowance of $4,166 per month and is also eligible to participate in the employee benefit plans available to our employees, subject to the terms of those plans.</w:t>
      </w:r>
    </w:p>
    <w:p>
      <w:pPr>
        <w:spacing w:after="0" w:line="16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in the event Mr. Meyenburg’s employment is terminated without Cause or he resigns for Good Reason (as each such term is defined in the Meyenburg Employment Agreement), subject to his execution and non- revocation of a separation agreement, including a general release of claims in our favor (and, in the Company’s sole discretion, a one-year post-employment noncompetition agreement) (a “Separation Agreement and Release”), Mr. Meyenburg is entitled to the following severance payments and benefits: (a) continuation of his then-current Base Salary (as such term is defined in the Meyenburg Employment Agreement) for 12 months; (b) a pro rata portion of his Target Bonus (as such term is defined in the Meyenburg Employment Agreement); and (c) if Mr. Meyenburg elects to continue his health benefits through COBRA, monthly COBRA premiums paid by us until the earliest of: (i) the 12-month anniversary of the date of termination, (ii) the date Mr. Meyenburg becomes eligible for health insurance through another employer, or (iii) the cessation of Mr. Meyenburg’s continuation rights under COBRA.</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In lieu of the payments and benefits described above, in the event Mr. Meyenburg’s employment is terminated without Cause or he resigns for Good Reason, in either event within the 12-month period immediately following a Change in Control (as such term is defined in the Meyenburg Employment Agreement), subject to his execution and non-revocation of a Separation Agreement and Release, Mr. Meyenburg is entitled to (a) a lump sum in cash equal to one and half times the sum of (i) Mr. Meyenburg’s then current Base Salary (or his Base Salary in effect immediately prior to the Change in Control, if higher) plus (ii) Mr. Meyenburg’s Target Bonus for the then-current year; (b) full accelerated vesting of any then-outstanding equity awards as of the later of (i) the date of termination or (ii) the effective date of the Separation Agreement and Release; and (c) if Mr. Meyenburg elects to continue his health benefits through COBRA, monthly COBRA premiums paid by us until the earliest of: (i) the 18-month anniversary of the date of termination, (ii) the date Mr. Meyenburg becomes eligible for health insurance through another employer, or (iii) the cessation of Mr. Meyenburg’s continuation rights under COBRA.</w:t>
      </w:r>
    </w:p>
    <w:p>
      <w:pPr>
        <w:spacing w:after="0" w:line="1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the event that Mr. Meyenburg is entitled to any payments pursuant to his Employee Confidentiality, Assignment and Noncompetition Agreement with us, cash severance amounts payable to him pursuant to the Meyenburg Employment Agreement will be reduced by the amount that Mr. Meyenburg is paid in the same calendar year pursuant to the Employee Confidentiality, Assignment and Noncompetition Agreement. Severance payments under the Meyenburg Employment Agreement shall cease in the event that Mr. Meyenburg breaches his obligations under the Employee Confidentiality, Assignment and Noncompetition Agreement.</w:t>
      </w:r>
    </w:p>
    <w:p>
      <w:pPr>
        <w:spacing w:after="0" w:line="18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Mr. Meyenburg has also agreed to refrain from disclosing our confidential information during or at any time following his employment with us and from competing with us or soliciting our employees or customers during his employment and for 12 months following termination of his employment.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 Uknis</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We entered into an employment agreement with Dr. Uknis dated December 24, 2020, which became effective as of February 5, 2021 (the “Uknis Employment Agreement”), and replaced Dr. Uknis’ earlier employment agreement. Pursuant to the Uknis Employment Agreement, Dr. Uknis served as our Chief Medical Officer. Effective as of April 11, 2021, Dr. Uknis departed as the Chief Medical Officer of the Company and received severance benefits consistent with those described below and further detailed in the Uknis Employment Agreement.</w:t>
      </w:r>
    </w:p>
    <w:p>
      <w:pPr>
        <w:spacing w:after="0" w:line="171"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Dr. Uknis’s annual base salary prior to his termination was $415,000, which was subject to periodic review and adjustment. Under the terms of the Uknis Employment Agreement, Dr. Uknis was eligible to receive an annual incentive bonus targeted at 40% of his annual base salary. Dr. Uknis was also eligible to participate in the employee benefit plans available to our employees, subject to the terms of those plans.</w:t>
      </w:r>
    </w:p>
    <w:p>
      <w:pPr>
        <w:spacing w:after="0" w:line="165"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 the event Dr. Uknis’s employment was terminated without Cause or he resigned for Good Reason (as each such term is defined in the Uknis Employment Agreement), subject to his execution and non-revocation of a Separation Agreement and Release, Dr. Uknis was entitled to the following:</w:t>
      </w:r>
    </w:p>
    <w:p>
      <w:pPr>
        <w:ind w:left="120" w:right="360" w:hanging="4"/>
        <w:spacing w:after="0" w:line="295" w:lineRule="auto"/>
        <w:tabs>
          <w:tab w:leader="none" w:pos="3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continuation of Base Salary (as such term is defined in the Uknis Employment Agreement) for nine months, (b) a pro rata portion of his Target Bonus (as such term is defined in the Uknis Employment Agreement); and (c) if Dr. Uknis elected to continue his health benefits through COBRA, monthly COBRA premiums paid by us until the earlier of: (i) the nine-month anniversary of the date of termination, (ii) the date Dr. Uknis becomes eligible for health insurance through another employer, or (iii) the cessation of Dr. Uknis’s continuation rights under COBRA.</w:t>
      </w:r>
    </w:p>
    <w:p>
      <w:pPr>
        <w:spacing w:after="0" w:line="16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lieu of the payments and benefits described above, in the event Dr. Uknis’s employment was terminated without Cause or he resigned for Good Reason, in either event within the 12 month period immediately following a Change in Control (as such term is defined in the Uknis Employment Agreement), subject to his execution and non- revocation of a Separation Agreement and Release, Dr. Uknis was entitled to (a) a lump sum in cash equal to one times the sum of (i) Dr. Uknis’s then current Base Salary plus (ii) Dr. Uknis’s Target Bonus for the then-current year; (b) full accelerated vesting of any then-outstanding equity awards as of the later of (i) the date of termination or (ii) the effective date of the Separation Agreement and Release; and</w:t>
      </w:r>
    </w:p>
    <w:p>
      <w:pPr>
        <w:spacing w:after="0" w:line="2" w:lineRule="exact"/>
        <w:rPr>
          <w:sz w:val="20"/>
          <w:szCs w:val="20"/>
          <w:color w:val="auto"/>
        </w:rPr>
      </w:pPr>
    </w:p>
    <w:p>
      <w:pPr>
        <w:jc w:val="both"/>
        <w:ind w:left="120" w:right="260" w:hanging="4"/>
        <w:spacing w:after="0" w:line="255" w:lineRule="auto"/>
        <w:tabs>
          <w:tab w:leader="none" w:pos="3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Dr. Uknis elected to continue his health benefits through COBRA, monthly COBRA premiums paid by us until the earliest of: (i) the 12-month anniversary of the date of termination, (ii) the date Dr. Uknis becomes eligible for health insurance through another employer, or (iii) the cessation of Dr. Uknis’s continuation rights under COBRA.</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event that Dr. Uknis is entitled to any payments pursuant to his Employee Confidentiality, Assignment and Noncompetition Agreement with us, cash severance amounts payable to him pursuant to the Uknis Employment Agreement will be reduced by the amount that Dr. Uknis is paid in the same calendar year pursuant to the Employee Confidentiality, Assignment and Noncompetition Agreement. Severance payments under the Uknis Employment Agreement shall cease in the event that Dr. Uknis breaches his obligations under the Employee Confidentiality, Assignment and Noncompetition Agreement.</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Dr. Uknis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Scott Lauder, Ph.D.</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entered into an employment agreement with Dr. Lauder dated January 22, 2021, which became effective as of February 5, 2021 (the “Lauder Employment Agreement”), and replaces Dr. Lauder’s prior employment agreement. Pursuant to the Lauder Employment Agreement, Dr. Lauder serves as our Chief Technology Officer. The employment of Dr. Lauder is “at will” and the Lauder Employment Agreement endures until terminated by either party.</w:t>
      </w:r>
    </w:p>
    <w:p>
      <w:pPr>
        <w:spacing w:after="0" w:line="18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Dr. Lauder’s current annual base salary is $411,650, which is subject to periodic review and adjustment. Under the terms of the Lauder Employment Agreement, Dr. Lauder is eligible to receive an annual bonus targeted at 40% of his annual base salary. Dr Lauder is also eligible to participate in the employee benefit plans available to our employees, subject to the terms of those plans.</w:t>
      </w:r>
    </w:p>
    <w:p>
      <w:pPr>
        <w:spacing w:after="0" w:line="184"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the event Dr. Lauder’s employment is terminated without Cause or he resigns for Good Reason (as each such term is defined in Lauder Employment Agreement), subject to his execution and non-revocation of a Separation Agreement and Release, Dr. Lauder is entitled to the following:</w:t>
      </w:r>
    </w:p>
    <w:p>
      <w:pPr>
        <w:ind w:left="120" w:right="100" w:hanging="4"/>
        <w:spacing w:after="0" w:line="273" w:lineRule="auto"/>
        <w:tabs>
          <w:tab w:leader="none" w:pos="36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continuation of his then-current Base Salary (as defined in the Lauder Employment Agreement) for nine months, (b) a pro rata portion of his Target Bonus (as such term is defined in the Lauder Employment Agreement); and (c) if Dr. Lauder elects to continue his health benefits through COBRA, monthly COBRA premiums paid by us until the earlier of: (i) the 12-month anniversary of the date of termination, (ii) the date Dr. Lauder becomes eligible for health insurance through another employer, or (iii) the cessation of Dr. Lauder’s continuation rights under COBRA.</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lieu of the payments and benefits described above, in the event Dr. Lauder’s employment is terminated without Cause or he resigns for Good Reason, in either event within the 12-month period immediately following a Change in Control (as such term is defined in the Lauder Employment Agreement), subject to his execution and non-revocation of a Separation Agreement and Release, Dr. Lauder is entitled to (a) a lump sum in cash equal to one times the sum of (i) Dr. Lauder’s then-current Base Salary plus (ii) Dr. Lauder’s Target Bonus for the then-current year; (b) full accelerated vesting of any then-outstanding equity awards as of the later of (i) the date of termination or (ii) the effective date of the Separation Agreement and Release; and (c) if Dr. Lauder elects to continue his health benefits through COBRA, monthly COBRA premiums paid by us until the earliest of: (i) the 12-month anniversary of the date of termination, (ii) the date Dr. Lauder becomes eligible for health insurance through another employer, or (iii) the cessation of Dr. Lauder’s continuation rights under COBRA.</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the event that Dr. Lauder is entitled to any payments pursuant to his Employee Confidentiality, Assignment and Noncompetition Agreement with us, cash severance amounts payable to him pursuant to the Lauder Employment Agreement will be reduced by the amount that Dr. Lauder is paid in the same calendar year pursuant to the Employee Confidentiality, Assignment and Noncompetition Agreement. Severance payments under the Lauder Employment Agreement shall cease in the event that Dr. Lauder breaches his obligations under the Employee Confidentiality, Assignment and Noncompetition Agreement.</w:t>
      </w:r>
    </w:p>
    <w:p>
      <w:pPr>
        <w:spacing w:after="0" w:line="18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following table presents the total compensation for each person (i) who served as a non-employee member of our Board during 2020, (ii) who continued to serve as a director of the Company following the closing of the Business Combination,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Directors who serve as employees receive no additional compensation for their service as directors. Accordingly, Jason Meyenburg, our President and Chief Executive Officer, did not receive any compensation for his service as a member of our Board during 2020. Mr. Meyenburg’s compensation for service as an employee for fiscal year 2020 is presented in the “2020 Summary Compensation Table” above.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Director Compensation Table</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8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Fees earned or</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3480" w:type="dxa"/>
            <w:vAlign w:val="bottom"/>
            <w:gridSpan w:val="2"/>
          </w:tcPr>
          <w:p>
            <w:pPr>
              <w:jc w:val="right"/>
              <w:ind w:right="299"/>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5"/>
                <w:szCs w:val="15"/>
                <w:color w:val="auto"/>
              </w:rPr>
            </w:pPr>
          </w:p>
        </w:tc>
        <w:tc>
          <w:tcPr>
            <w:tcW w:w="64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Lubner</w:t>
            </w:r>
          </w:p>
        </w:tc>
        <w:tc>
          <w:tcPr>
            <w:tcW w:w="2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24,375</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258,619</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282,994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Dr. Tuyen Ong</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11,358</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258,619</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269,977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40" w:hanging="424"/>
        <w:spacing w:after="0" w:line="25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grant date fair value of stock options awarded during the year computed in accordance with the provisions of Financial Accounting Standards Board Accounting Standards Codification Topic 718. See Note 10 to the Company’s financial statements included in Item 9.01 of our Current Report on Form 8-K dated February 5, 2021 regarding assumptions underlying the valuation of equity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the Business Combination, our Board adopted a non-employee director compensation policy, which is designed to enable us to attract and retain, on a long-term basis, highly qualified non-employee directors. Employee directors do not receive additional compensation for their services as directors. Each director who is not an employee is paid cash compensation as set forth below for serving on the Board, with such compensation paid on a quarterly basis in arrears: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Annual</w:t>
            </w:r>
          </w:p>
        </w:tc>
      </w:tr>
      <w:tr>
        <w:trPr>
          <w:trHeight w:val="171"/>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Retainer</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Board of Directors Chair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65,000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15,000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addition, each non-employee elected or appointed to the Board following the closing of the Business Combination is granted a one-time stock option award to purchase a number of shares of Common Stock equal to 0.08% of the total shares outstanding on the date of such director’s election or appointment to the Board, which vests in equal monthly installments over three years, subject to continued service through such vesting dates. On the date of each annual meeting of stockholders of our Company, each non-employee director will be granted an annual stock option award to purchase a number of shares of Common Stock equal to 0.04% of the total shares outstanding, which vests in full of the earlier to occur of the first anniversary of the date of grant or the next annual meeting, subject to continued service as a director through such vesting date.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believe that although a portion of the compensation provided to our executive officers is performance-based, our executive compensation program does not encourage excessive or unnecessary risk taking. This is primarily because its compensation programs are designed to create a greater focus on long-term value creation while balancing the need to meet shorter-term goals. The framework and goals of its annual performance-based incentive plan are consistent for all employees. Further all compensation decisions for our officers are approved by the Compensation Committee, while the chief executive officer’s compensation requires further approval by its Board.</w:t>
      </w:r>
    </w:p>
    <w:p>
      <w:pPr>
        <w:spacing w:after="0" w:line="17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the Compensation Committee is responsible for reviewing and approving the design, goals and payouts under our annual bonus plan and equity incentive program for our named executive officers. The Compensation Committee directly engages an independent compensation consultant who advises on market competitive and best practices, as well as any potential risks related to its compensation programs. This includes pay mix, compensation vehicles, pay for performance alignment, performance measures and goals, payout maximums, vesting periods and compensation committee oversight and independence. Based on all the factors mentioned, we believe our compensation policies, programs and practices do not create risks that are reasonably likely to have a material adverse effect on us.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Regarding Transactions with Related Parties</w:t>
      </w:r>
    </w:p>
    <w:p>
      <w:pPr>
        <w:spacing w:after="0" w:line="121"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We have a written related person transaction policy that sets forth the following policies and procedures for the review and approval or ratification of related person transactions. Our policy requires us to avoid, wherever possible, all Related Person Transactions (as defined below) that could result in actual or potential conflicts of interests, except under guidelines approved by the Board (or the Audit Committee).</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spacing w:after="0" w:line="8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the Company’s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who is known by the Company to be the beneficial owner of more than five percent (5%) of its voting stock;</w:t>
      </w:r>
    </w:p>
    <w:p>
      <w:pPr>
        <w:spacing w:after="0" w:line="13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70"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The Audit Committee of the Board has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Company than terms generally available in a transaction with an unaffiliated third-party under the same or similar circumstances and the extent of the Related Person’s interest in the related person transaction. We will not enter into any such transaction unless the Audit Committee and a majority of our disinterested “ independent” directors determine that the terms of such transaction are no less favorable to us than those that would be available to us with respect to such a transaction from unaffiliated third parties. Additionally, we require each of our directors and officers to complete a directors’ and officers’ questionnaire that elicits information about related party transactions.</w:t>
      </w:r>
    </w:p>
    <w:p>
      <w:pPr>
        <w:spacing w:after="0" w:line="16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Related-Party Transactions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Below are our related party transactions since January 1, 2020, to which we have been a party, other than compensation, termination, change in control and other arrangements, which are described in the sections titled “Executive Officer and Director Compensation.”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 party to a Registration Rights Agreement pursuant to which, among other things, certain holders of our capital stock, including certain investors of FSDC (the “FSDC Investors”), certain entities affiliated with Atlas Ventures, entities affiliated with Lightstone Ventures, OrbiMed Private Investments VI, LP, and Wu Capital Investment LLC (collectively, the “Major Gemini Investors” and together with the FSDC Investors, the “Investors”) are granted certain registration rights with respect to Registrable Securities (as defined in the Registration Rights Agreement) held by them, subject to certain conditions and limitations.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131" w:lineRule="exact"/>
        <w:rPr>
          <w:sz w:val="20"/>
          <w:szCs w:val="20"/>
          <w:color w:val="auto"/>
        </w:rPr>
      </w:pPr>
    </w:p>
    <w:p>
      <w:pPr>
        <w:ind w:left="1080" w:right="40" w:hanging="424"/>
        <w:spacing w:after="0" w:line="273"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February 5, 2021, and following the expiration of any lock- up to which an Investor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the Company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“Securities Act”) on Form S- 1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3" w:lineRule="exact"/>
        <w:rPr>
          <w:rFonts w:ascii="Arial" w:cs="Arial" w:eastAsia="Arial" w:hAnsi="Arial"/>
          <w:sz w:val="17"/>
          <w:szCs w:val="17"/>
          <w:color w:val="auto"/>
        </w:rPr>
      </w:pPr>
    </w:p>
    <w:p>
      <w:pPr>
        <w:ind w:left="1080" w:right="22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Shelf registration rights</w:t>
      </w:r>
      <w:r>
        <w:rPr>
          <w:rFonts w:ascii="Arial" w:cs="Arial" w:eastAsia="Arial" w:hAnsi="Arial"/>
          <w:sz w:val="18"/>
          <w:szCs w:val="18"/>
          <w:color w:val="auto"/>
        </w:rPr>
        <w:t>. The Company was required, to file a shelf registration statement pursuant to Rule 415 of Securities Act,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filed on February 17, 2021 and became effective on April 28, 2021. At any time the Company has an effective shelf registration statement, if the Company shall receive a request from Investors holding registrable securities with an estimated market value of at least $5,000,000, to effect an underwritten shelf takedown, the Company shall use its reasonable best efforts to as expeditiously as possible to effect the underwritten shelf takedown.</w:t>
      </w:r>
    </w:p>
    <w:p>
      <w:pPr>
        <w:sectPr>
          <w:pgSz w:w="11900" w:h="16838" w:orient="portrait"/>
          <w:cols w:equalWidth="0" w:num="1">
            <w:col w:w="11120"/>
          </w:cols>
          <w:pgMar w:left="320" w:top="459" w:right="459" w:bottom="1440" w:gutter="0" w:footer="0" w:header="0"/>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Gemini shall not be obligated to effect: (a) more than one (1)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98" w:lineRule="exact"/>
        <w:rPr>
          <w:sz w:val="20"/>
          <w:szCs w:val="20"/>
          <w:color w:val="auto"/>
        </w:rPr>
      </w:pPr>
    </w:p>
    <w:p>
      <w:pPr>
        <w:sectPr>
          <w:pgSz w:w="11900" w:h="16838" w:orient="portrait"/>
          <w:cols w:equalWidth="0" w:num="2">
            <w:col w:w="720" w:space="360"/>
            <w:col w:w="10040"/>
          </w:cols>
          <w:pgMar w:left="320" w:top="459" w:right="459" w:bottom="1440" w:gutter="0" w:footer="0" w:header="0"/>
          <w:type w:val="continuous"/>
        </w:sectPr>
      </w:pPr>
    </w:p>
    <w:p>
      <w:pPr>
        <w:ind w:left="108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Gemini proposes to file a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92"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Expenses and indemnification</w:t>
      </w:r>
      <w:r>
        <w:rPr>
          <w:rFonts w:ascii="Arial" w:cs="Arial" w:eastAsia="Arial" w:hAnsi="Arial"/>
          <w:sz w:val="16"/>
          <w:szCs w:val="16"/>
          <w:color w:val="auto"/>
        </w:rPr>
        <w:t>. All fees, costs and expenses of underwritten registrations will be borne by the Company and underwriting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and selling commissions will be borne by the holders of the shares being registered. The Registration Rights Agreement contains customary cross-indemnification provisions, under which the Company is obligated to indemnify holders of registrable securities in the event of material misstatements or omissions in the registration statement attributable to the Company, and holders of registrable securities are obligated to indemnify the Company for material misstatements or omissions attributable to them.</w:t>
      </w:r>
    </w:p>
    <w:p>
      <w:pPr>
        <w:spacing w:after="0" w:line="66" w:lineRule="exact"/>
        <w:rPr>
          <w:rFonts w:ascii="Arial" w:cs="Arial" w:eastAsia="Arial" w:hAnsi="Arial"/>
          <w:sz w:val="16"/>
          <w:szCs w:val="16"/>
          <w:color w:val="auto"/>
        </w:rPr>
      </w:pPr>
    </w:p>
    <w:p>
      <w:pPr>
        <w:ind w:left="1080" w:right="400" w:hanging="424"/>
        <w:spacing w:after="0" w:line="287"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the Company shall cease to be registrable securities upon the earlier of (i) tenth anniversary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5, 2021 and (ii) the date as of which (1) a registration statement with respect to the sale of such securities shall have become effective under the Securities Act and such securities shall have been disposed of in accordance with such registration statement, or</w:t>
      </w:r>
    </w:p>
    <w:p>
      <w:pPr>
        <w:spacing w:after="0" w:line="2" w:lineRule="exact"/>
        <w:rPr>
          <w:rFonts w:ascii="Arial" w:cs="Arial" w:eastAsia="Arial" w:hAnsi="Arial"/>
          <w:sz w:val="16"/>
          <w:szCs w:val="16"/>
          <w:color w:val="auto"/>
        </w:rPr>
      </w:pPr>
    </w:p>
    <w:p>
      <w:pPr>
        <w:ind w:left="1080" w:right="60"/>
        <w:spacing w:after="0" w:line="252" w:lineRule="auto"/>
        <w:rPr>
          <w:rFonts w:ascii="Arial" w:cs="Arial" w:eastAsia="Arial" w:hAnsi="Arial"/>
          <w:sz w:val="16"/>
          <w:szCs w:val="16"/>
          <w:color w:val="auto"/>
        </w:rPr>
      </w:pPr>
      <w:r>
        <w:rPr>
          <w:rFonts w:ascii="Arial" w:cs="Arial" w:eastAsia="Arial" w:hAnsi="Arial"/>
          <w:sz w:val="18"/>
          <w:szCs w:val="18"/>
          <w:color w:val="auto"/>
        </w:rPr>
        <w:t>(2)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the Company or FSDC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99" w:lineRule="exact"/>
        <w:rPr>
          <w:rFonts w:ascii="Arial" w:cs="Arial" w:eastAsia="Arial" w:hAnsi="Arial"/>
          <w:sz w:val="16"/>
          <w:szCs w:val="16"/>
          <w:color w:val="auto"/>
        </w:rPr>
      </w:pPr>
    </w:p>
    <w:p>
      <w:pPr>
        <w:ind w:left="1080" w:right="60" w:hanging="424"/>
        <w:spacing w:after="0" w:line="293"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Lockup</w:t>
      </w:r>
      <w:r>
        <w:rPr>
          <w:rFonts w:ascii="Arial" w:cs="Arial" w:eastAsia="Arial" w:hAnsi="Arial"/>
          <w:sz w:val="16"/>
          <w:szCs w:val="16"/>
          <w:color w:val="auto"/>
        </w:rPr>
        <w:t>. Under the Registration Rights Agreement, each Investor was required to enter into a customary lockup agreement restricting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of the Company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is a party to the Voting Agreement, pursuant to which certain stockholders of the Company agree to vote all voting securities of the Company that it owns from time to time and that it may vote in accordance with the provisions of the Voting Agreement, whether at a regular or special meeting of stockholders. Pursuant to the Voting Agreement, until the earlier of (i) the fifth (5th) anniversary of February 5, 2021 or (ii) the date on which FS owns less than 1,217,563 shares of Common Stock, at each annual or special meeting of stockholders of the Company, FS shall have the right to designate for election as a member of the Board, and the Board (including any committee thereof) shall nominate (and recommend for election and include such recommendation in a timely manner in any proxy statement or other applicable announcement to its stockholders), one individual to serve as a Class III Director. If FS ceases to be entitled to nominate any directors, then such directors shall be nominated by the Board and approved by the holders of the outstanding shares of Common Stock.</w:t>
      </w:r>
    </w:p>
    <w:p>
      <w:pPr>
        <w:spacing w:after="0" w:line="178"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Relationships and Related Person Transactions – FS Development Corp.</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On June 30, 2020, FS purchased an aggregate of 2,875,000 shares (the “Founder Shares”) of FSDC’s Class B Common Stock, par value $0.0001 per share (the “Class B Shares”) for a total purchase price of $25,000, or approximately $0.009 per share. In July 2020, FS transferred 30,000 Class B Shares to each of Robert Carey, Dan Dubin and Deepa Pakianathan. On August 11, 2020, FSDC effected a 1:1.05 stock split of FSDC Class B Common Stock, resulting in FS holding 2,928,750 Class B Shares and there being an aggregate of 3,018,750 Class B Shares outstanding. The number of Class B Shares outstanding was determined based on the expectation that the total size of the initial public offering of FSDC would be a maximum of 12,075,000 shares of FSDC’s Class A Common Stock, par value $0.000 per share (the “Class A Shares”), if the underwriters’ over-allotment option would be exercised in full, and therefore that such Class B Shares would represent 20% of the issued and outstanding shares of common stock (excluding the Private Placement Shares (as defined below)) after such offering.</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FS purchased 441,500 Class A Shares (collectively, the “Private Placement Shares”) at a price of $10.00 per share, or $4,415,000 in the aggregate, in a private placement that closed simultaneously with FSDC’s initial public offering (the “FSDC IPO”).</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Until the Closing, FSDC utilized office space at 600 Montgomery Street, Suite 4500, San Francisco, California 94111 from FS. Following the closing of the FSDC IPO, FSDC paid FS $10,000 per month for office space, secretarial and administrative services provided to members of its management team pursuant to the terms of an administrative services agreement between FSDC and FS.</w:t>
      </w:r>
    </w:p>
    <w:p>
      <w:pPr>
        <w:spacing w:after="0" w:line="184" w:lineRule="exact"/>
        <w:rPr>
          <w:sz w:val="20"/>
          <w:szCs w:val="20"/>
          <w:color w:val="auto"/>
        </w:rPr>
      </w:pPr>
    </w:p>
    <w:p>
      <w:pPr>
        <w:ind w:left="120" w:right="500"/>
        <w:spacing w:after="0" w:line="259" w:lineRule="auto"/>
        <w:rPr>
          <w:sz w:val="20"/>
          <w:szCs w:val="20"/>
          <w:color w:val="auto"/>
        </w:rPr>
      </w:pPr>
      <w:r>
        <w:rPr>
          <w:rFonts w:ascii="Arial" w:cs="Arial" w:eastAsia="Arial" w:hAnsi="Arial"/>
          <w:sz w:val="18"/>
          <w:szCs w:val="18"/>
          <w:color w:val="auto"/>
        </w:rPr>
        <w:t>FS and FSDC’s executive officers and directors were reimbursed for any out-of-pocket expenses incurred in connection with activities on FSDC’s behalf, in connection with the completion of an initial business combination, such as identifying potential target businesses and performing due diligence on suitable business combinations. FSDC’s audit committee reviewed on a quarterly basis all payments that were made to FS, officers, directors or its or their affiliates.</w:t>
      </w:r>
    </w:p>
    <w:p>
      <w:pPr>
        <w:spacing w:after="0" w:line="18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FS loaned FSDC $200,000 to be used for a portion of the expenses of the FSDC IPO. These loans were non-interest bearing, unsecured and were due at the earlier of December 31, 2020 or the closing of the FSDC IPO. These loans were fully repaid by FSDC on August 14, 2020.</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the Business Combination, as part of the sale of 9,506,000 newly issued shares of Common Stock, an affiliate of FS had entered into a subscription agreement to purchase 1,500,000 shares of Common Stock at a purchase price of $10 per share in a private placement concurrent with the Business Combination. In connection with the closing of the Business Combination, the affiliate of FS assigned to FS its obligation to purchase its shares under the subscription agreement so that FS purchased such shares.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August 11, 2020, FSDC entered into a registration rights agreement (the “prior registration rights agreement”) with respect to the Founders Shares and Private Placement Shares. The holders of these securities were entitled to make up to three demands, excluding short form demands, that FSDC register such securities. In addition, the holders had certain “piggy-back” registration rights with respect to registration statements filed subsequent to the completion of FSDC’s initial business combination. FSDC bears the expenses incurred in connection with the filing of any such registration statements. As part of the prior registration rights agreement, certain holders of registrable securities agreed to a lock-up period of one year from the closing of the Business Combination.</w:t>
      </w:r>
    </w:p>
    <w:p>
      <w:pPr>
        <w:spacing w:after="0" w:line="1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connection with the closing of the Business Combination, the FSDC Investors and certain other stockholders entered into the Registration Rights Agreement with the Company that replaced the prior registration rights agreement.</w:t>
      </w:r>
    </w:p>
    <w:p>
      <w:pPr>
        <w:spacing w:after="0" w:line="170"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connection with the Agreement and Plan of Merger, dated as of October 15, 2020, by and among FSDC, Gemini Sub and the other parties named therein (the “Merger Agreement”) related to the Business Combination, the FSDC Investors entered into support agreements with FSDC, Gemini Sub and FS. Under such support agreements, each such stockholder agreed to vote, at any meeting of the stockholders of FSDC, and in any action by written consent of the stockholders of FSDC, all of such stockholder’s Class B Common Stock of FSDC (i) in favor of (A) the Merger Agreement, (B) certain proposals requiring approval by the stockholders of the Company in connection with Business Combination, and (C) the transactions contemplated by the Merger Agreement and such support agreements,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FSDC held by such stockholder or taking any action that would prevent or disable such stockholder from performing its obligations under the support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 Financing</w:t>
      </w:r>
    </w:p>
    <w:p>
      <w:pPr>
        <w:spacing w:after="0" w:line="12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On August 21, 2020, Gemini Sub issued convertible promissory notes for aggregate gross proceeds of $14,000,000 (the “Notes”), at a closing held pursuant to a convertible note purchase agreement among Gemini Sub and certain investors. The following holders of more than 5% of Gemini Sub’s capital stock participated in the note financing. The Notes accrue simple interest at 8% per annum and matured on February 21, 2021. Prior to the closing of the Business Combination with FSDC, all principal and accrued interest under the Notes converted into shares of Gemini Sub’s Series B Preferred Stock.</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Gemini Stockholder</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Amount of Note</w:t>
            </w:r>
          </w:p>
        </w:tc>
        <w:tc>
          <w:tcPr>
            <w:tcW w:w="0" w:type="dxa"/>
            <w:vAlign w:val="bottom"/>
          </w:tcPr>
          <w:p>
            <w:pPr>
              <w:spacing w:after="0"/>
              <w:rPr>
                <w:sz w:val="1"/>
                <w:szCs w:val="1"/>
                <w:color w:val="auto"/>
              </w:rPr>
            </w:pPr>
          </w:p>
        </w:tc>
      </w:tr>
      <w:tr>
        <w:trPr>
          <w:trHeight w:val="178"/>
        </w:trPr>
        <w:tc>
          <w:tcPr>
            <w:tcW w:w="6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2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Lightstone Singapore L.P.</w:t>
            </w:r>
          </w:p>
        </w:tc>
        <w:tc>
          <w:tcPr>
            <w:tcW w:w="4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3,000,000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w w:val="94"/>
              </w:rPr>
              <w:t>4,887,000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Opportunity Fund I, L.P.</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4,361,000</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Wu Capital Investment LLC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w w:val="94"/>
              </w:rPr>
              <w:t>1,752,000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Gemini Accounting Services</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On April 17, 2020, Gemini Sub engaged Danforth Advisors, an accounting and finance advisory company managed by Gregg Beloff, the Company’s former Interim Chief Financial Officer. Through February 28, 2021, the Company paid $768,658 to Danforth Advisors in exchange for professional services related to accounting, finance and other administrative functions.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RELATED STOCKHOLDER MATTERS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August 10, 2021:</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greater than 5.0% of our outstanding Common Stock;</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Shares of our Common Stock subject to options that are currently exercisable or exercisable within 60 days of August 10, 2021 are considered outstanding and beneficially owned by the person holding the options for the purpose of calculating the percentage ownership of that person but not for the purpose of calculating the percentage ownership of any other person or entity. Unless otherwise indicated, Gemini believes that all persons named in the table have sole voting and investment power with respect to all Common Stock beneficially owned by them. Unless otherwise noted, the business address of each of the executive officers and directors of Gemini is 300 One Kendall Square, 3rd Floor, Cambridge, MA 02139. The percentage of shares beneficially owned is based on 43,109,472 shares of Common Stock as of August 10, 2021.</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74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r>
      <w:tr>
        <w:trPr>
          <w:trHeight w:val="189"/>
        </w:trPr>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and Officers:</w:t>
            </w:r>
          </w:p>
        </w:tc>
        <w:tc>
          <w:tcPr>
            <w:tcW w:w="1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Jason Meyenburg</w:t>
            </w:r>
            <w:r>
              <w:rPr>
                <w:rFonts w:ascii="Arial" w:cs="Arial" w:eastAsia="Arial" w:hAnsi="Arial"/>
                <w:sz w:val="15"/>
                <w:szCs w:val="15"/>
                <w:color w:val="auto"/>
              </w:rPr>
              <w:t>(1)</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433,987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Piekos</w:t>
            </w:r>
            <w:r>
              <w:rPr>
                <w:rFonts w:ascii="Arial" w:cs="Arial" w:eastAsia="Arial" w:hAnsi="Arial"/>
                <w:sz w:val="15"/>
                <w:szCs w:val="15"/>
                <w:color w:val="auto"/>
              </w:rPr>
              <w:t>(2)</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7,655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Sam Barone</w:t>
            </w:r>
          </w:p>
        </w:tc>
        <w:tc>
          <w:tcPr>
            <w:tcW w:w="15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Georges Gemeyal</w:t>
            </w:r>
          </w:p>
        </w:tc>
        <w:tc>
          <w:tcPr>
            <w:tcW w:w="15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Jean George</w:t>
            </w:r>
          </w:p>
        </w:tc>
        <w:tc>
          <w:tcPr>
            <w:tcW w:w="15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Gordon</w:t>
            </w:r>
          </w:p>
        </w:tc>
        <w:tc>
          <w:tcPr>
            <w:tcW w:w="15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David Lubner</w:t>
            </w:r>
            <w:r>
              <w:rPr>
                <w:rFonts w:ascii="Arial" w:cs="Arial" w:eastAsia="Arial" w:hAnsi="Arial"/>
                <w:sz w:val="15"/>
                <w:szCs w:val="15"/>
                <w:color w:val="auto"/>
              </w:rPr>
              <w:t>(3)</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36,815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Tuyen Ong</w:t>
            </w:r>
            <w:r>
              <w:rPr>
                <w:rFonts w:ascii="Arial" w:cs="Arial" w:eastAsia="Arial" w:hAnsi="Arial"/>
                <w:sz w:val="15"/>
                <w:szCs w:val="15"/>
                <w:color w:val="auto"/>
              </w:rPr>
              <w:t>(4)</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30,675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15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15"/>
                <w:szCs w:val="15"/>
                <w:color w:val="auto"/>
              </w:rPr>
              <w:t>(5)</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4,870,250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(11 individuals)</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5,555,585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12.9</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FS Development Holdings, LLC</w:t>
            </w:r>
            <w:r>
              <w:rPr>
                <w:rFonts w:ascii="Arial" w:cs="Arial" w:eastAsia="Arial" w:hAnsi="Arial"/>
                <w:sz w:val="15"/>
                <w:szCs w:val="15"/>
                <w:color w:val="auto"/>
              </w:rPr>
              <w:t>(5)</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4,870,250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r>
              <w:rPr>
                <w:rFonts w:ascii="Arial" w:cs="Arial" w:eastAsia="Arial" w:hAnsi="Arial"/>
                <w:sz w:val="15"/>
                <w:szCs w:val="15"/>
                <w:color w:val="auto"/>
              </w:rPr>
              <w:t>(6)</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5,826,224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Entities affiliated with Atlas Ventures</w:t>
            </w:r>
            <w:r>
              <w:rPr>
                <w:rFonts w:ascii="Arial" w:cs="Arial" w:eastAsia="Arial" w:hAnsi="Arial"/>
                <w:sz w:val="15"/>
                <w:szCs w:val="15"/>
                <w:color w:val="auto"/>
              </w:rPr>
              <w:t>(7)</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5,254,365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15"/>
                <w:szCs w:val="15"/>
                <w:color w:val="auto"/>
              </w:rPr>
              <w:t>(8)</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4,836,106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15"/>
                <w:szCs w:val="15"/>
                <w:color w:val="auto"/>
              </w:rPr>
              <w:t>(9)</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2,789,500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bl>
    <w:p>
      <w:pPr>
        <w:spacing w:after="0" w:line="214"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shares currently held and shares of Common Stock that are currently exercisable or exercisable within 60 days of August 10, 2021.</w:t>
      </w:r>
    </w:p>
    <w:p>
      <w:pPr>
        <w:spacing w:after="0" w:line="16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shares currently held and shares of Common Stock that are currently exercisable or exercisable within 60 days of August 10, 2021.</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of Common Stock that are currently exercisable or exercisable within 60 days of August 10,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shares of Common Stock that are currently exercisable or exercisable within 60 days of August 10, 2021.</w:t>
      </w:r>
    </w:p>
    <w:p>
      <w:pPr>
        <w:spacing w:after="0" w:line="9"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FS Development Holdings, LLC is the record holder of 4,870,250 shares reported herein. Foresite Capital Management V, LLC (“FCM V”), is the general partner of Foresite Capital Fund V LP (“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1" w:lineRule="exact"/>
        <w:rPr>
          <w:rFonts w:ascii="Arial" w:cs="Arial" w:eastAsia="Arial" w:hAnsi="Arial"/>
          <w:sz w:val="17"/>
          <w:szCs w:val="17"/>
          <w:color w:val="auto"/>
        </w:rPr>
      </w:pPr>
    </w:p>
    <w:p>
      <w:pPr>
        <w:ind w:left="540" w:right="12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5,826,224 shares held by OrbiMed Private Investments VI, LP.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w:t>
      </w:r>
    </w:p>
    <w:p>
      <w:pPr>
        <w:spacing w:after="0" w:line="2"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4,015,045 shares held by Atlas Venture Fund X, L.P. (“Atlas Fund X”), 729,320 shares held by Atlas Venture Opportunity Fund I, L.P. (“Atlas Fund I”), and 510,000 shares held by Atlas Venture Fund XII, L.P.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2" w:lineRule="exact"/>
        <w:rPr>
          <w:rFonts w:ascii="Arial" w:cs="Arial" w:eastAsia="Arial" w:hAnsi="Arial"/>
          <w:sz w:val="17"/>
          <w:szCs w:val="17"/>
          <w:color w:val="auto"/>
        </w:rPr>
      </w:pPr>
    </w:p>
    <w:p>
      <w:pPr>
        <w:ind w:left="540" w:hanging="424"/>
        <w:spacing w:after="0" w:line="273"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shares are owned as follows: (i) 2,796,868 by Lightstone Ventures, L.P. (“LV LP”), (ii) 381,040 by Lightstone Ventures (A), L.P. (“LV(A) LP”), and (iii) 1,658,198 by Lighstone Singapore, L.P. (“LV Singapore”).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8"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Section 16(a) of the Exchange Act, requires our officers, directors and persons who beneficially own more than ten percent of our Common Stock to file reports of ownership and changes in ownership with the SEC. These reporting persons are also required to furnish us with copies of all Section 16(a) forms they file.</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not aware of any late or delinquent filings required under Section 16(a) of the Exchange Act in respect of the Company’s equity securities other than the following reports filed late due to administrative error, as previously disclosed in our quarterly report on Form 10-Q for the period ended March 31, 2021: a Form 3 which inadvertently omitted Foresite Capital Fund V, L.P and Foresite Capital Management V LLC as beneficial owners of 3,018,750 shares of Class B Common Stock of FSDC; a Form 3 for James (Jim) Tananbaum, which inadvertently omitted 3,018,750 shares of Class B Common Stock of FSDC; and a Form 4 of fs, Foresite Capital Fund V, L.P, Foresite Capital Management V LLC and James (Jim) Tananbaum which inadvertently omitted 441,500 shares of Class A Common Stock of FSDC.</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4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year, several brokers with account holders who are our stockholders will be “householding” our Proxy Materials. A single Notice of Internet Availability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please notify your broker or the Company. Direct your written request to: Gemini Therapeutics, Inc., 300 One Kendall Square, 3rd Floor, Cambridge, MA 02139, Attention: Brian Piekos.</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Stockholders who currently receive multiple copies of the Notice of Internet Availability at their addresses and would like to request “householding” of their communications should contact their brokers.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Board knows of no business to be brought before the Annual Meeting which is not referred to in the accompanying Notice of Annual Meeting. Should any such matters be presented, the persons named in the proxy shall have the authority to take such action regarding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153" w:lineRule="exact"/>
        <w:rPr>
          <w:sz w:val="20"/>
          <w:szCs w:val="20"/>
          <w:color w:val="auto"/>
        </w:rPr>
      </w:pPr>
    </w:p>
    <w:p>
      <w:pPr>
        <w:ind w:left="120" w:right="180"/>
        <w:spacing w:after="0" w:line="312" w:lineRule="auto"/>
        <w:rPr>
          <w:sz w:val="20"/>
          <w:szCs w:val="20"/>
          <w:color w:val="auto"/>
        </w:rPr>
      </w:pPr>
      <w:r>
        <w:rPr>
          <w:rFonts w:ascii="Arial" w:cs="Arial" w:eastAsia="Arial" w:hAnsi="Arial"/>
          <w:sz w:val="17"/>
          <w:szCs w:val="17"/>
          <w:b w:val="1"/>
          <w:bCs w:val="1"/>
          <w:color w:val="auto"/>
        </w:rPr>
        <w:t>A copy of the Company’s Annual Report on Form 10-K for the fiscal year ended December 31, 2020 is available without charge upon written request to: Gemini Therapeutics, Inc., 300 One Kendall Square, 3rd Floor, Cambridge, MA 02139, Attention: Brian Piekos.</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1</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GEMINI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EMPLOYEE STOCK PURCHASE PLAN</w:t>
      </w:r>
    </w:p>
    <w:p>
      <w:pPr>
        <w:spacing w:after="0" w:line="225"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The purpose of the Gemini Therapeutics, Inc. 2021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is to provide eligible employees of Gemini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and each Designated Subsidiary (as defined in Section 11) with opportunities to purchase shares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 aggregate of 430,551 shares of Common Stock have been approved and reserved for this purpose, plus on January 1, 2023 and each January 1 thereafter through January 1, 2031, the number of shares of Common Stock reserved and available for issuance under the Plan shall be automatically and cumulatively increased by an amount equal to the least of (i) one percent (1%) of the number of shares of Common Stock issued and outstanding on the immediately preceding December 31st, (ii) 430,551 shares of Common Stock and (iii) such number of shares of Common Stock as determined by the Administrator. Notwithstanding the foregoing, the Administrator may act prior to the first day of any calendar year to provide that there will be no January 1st increase in the share reserve for such calendar year.</w:t>
      </w:r>
    </w:p>
    <w:p>
      <w:pPr>
        <w:spacing w:after="0" w:line="159"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The Plan includes two components: a Code Section 423 Component (the “</w:t>
      </w:r>
      <w:r>
        <w:rPr>
          <w:rFonts w:ascii="Arial" w:cs="Arial" w:eastAsia="Arial" w:hAnsi="Arial"/>
          <w:sz w:val="18"/>
          <w:szCs w:val="18"/>
          <w:b w:val="1"/>
          <w:bCs w:val="1"/>
          <w:color w:val="auto"/>
        </w:rPr>
        <w:t>423 Component</w:t>
      </w:r>
      <w:r>
        <w:rPr>
          <w:rFonts w:ascii="Arial" w:cs="Arial" w:eastAsia="Arial" w:hAnsi="Arial"/>
          <w:sz w:val="18"/>
          <w:szCs w:val="18"/>
          <w:color w:val="auto"/>
        </w:rPr>
        <w:t>”) and a non-Code Section 423 Component (the “</w:t>
      </w:r>
      <w:r>
        <w:rPr>
          <w:rFonts w:ascii="Arial" w:cs="Arial" w:eastAsia="Arial" w:hAnsi="Arial"/>
          <w:sz w:val="18"/>
          <w:szCs w:val="18"/>
          <w:b w:val="1"/>
          <w:bCs w:val="1"/>
          <w:color w:val="auto"/>
        </w:rPr>
        <w:t>Non- 423 Component</w:t>
      </w:r>
      <w:r>
        <w:rPr>
          <w:rFonts w:ascii="Arial" w:cs="Arial" w:eastAsia="Arial" w:hAnsi="Arial"/>
          <w:sz w:val="18"/>
          <w:szCs w:val="18"/>
          <w:color w:val="auto"/>
        </w:rPr>
        <w:t>”). It is intended for the 423 Component to constitute an “employee stock purchase plan” within the meaning of Section 423(b)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achieve tax, securities laws or other objectives for eligible employees. Except as otherwise provided herein, the Non-423 Component will operate and be administered in the same manner as the 423 Component.</w:t>
      </w:r>
    </w:p>
    <w:p>
      <w:pPr>
        <w:spacing w:after="0" w:line="19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Unless otherwise defined herein, capitalized terms in this Plan shall have the meanings ascribed to them in Section 11.</w:t>
      </w:r>
    </w:p>
    <w:p>
      <w:pPr>
        <w:spacing w:after="0" w:line="113" w:lineRule="exact"/>
        <w:rPr>
          <w:sz w:val="20"/>
          <w:szCs w:val="20"/>
          <w:color w:val="auto"/>
        </w:rPr>
      </w:pPr>
    </w:p>
    <w:p>
      <w:pPr>
        <w:ind w:left="120" w:right="60" w:firstLine="436"/>
        <w:spacing w:after="0" w:line="27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w:t>
      </w:r>
      <w:r>
        <w:rPr>
          <w:rFonts w:ascii="Arial" w:cs="Arial" w:eastAsia="Arial" w:hAnsi="Arial"/>
          <w:sz w:val="17"/>
          <w:szCs w:val="17"/>
          <w:b w:val="1"/>
          <w:bCs w:val="1"/>
          <w:color w:val="auto"/>
        </w:rPr>
        <w:t>Administrator</w:t>
      </w:r>
      <w:r>
        <w:rPr>
          <w:rFonts w:ascii="Arial" w:cs="Arial" w:eastAsia="Arial" w:hAnsi="Arial"/>
          <w:sz w:val="17"/>
          <w:szCs w:val="17"/>
          <w:color w:val="auto"/>
        </w:rPr>
        <w:t>”) appointed by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63" w:lineRule="exact"/>
        <w:rPr>
          <w:rFonts w:ascii="Arial" w:cs="Arial" w:eastAsia="Arial" w:hAnsi="Arial"/>
          <w:sz w:val="17"/>
          <w:szCs w:val="17"/>
          <w:color w:val="auto"/>
        </w:rPr>
      </w:pPr>
    </w:p>
    <w:p>
      <w:pPr>
        <w:ind w:left="120" w:right="80" w:firstLine="436"/>
        <w:spacing w:after="0" w:line="277"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Offerings</w:t>
      </w:r>
      <w:r>
        <w:rPr>
          <w:rFonts w:ascii="Arial" w:cs="Arial" w:eastAsia="Arial" w:hAnsi="Arial"/>
          <w:sz w:val="17"/>
          <w:szCs w:val="17"/>
          <w:color w:val="auto"/>
        </w:rPr>
        <w:t>. The Company may make one or more offerings to eligible employees to purchase Common Stock under the Plan (“</w:t>
      </w:r>
      <w:r>
        <w:rPr>
          <w:rFonts w:ascii="Arial" w:cs="Arial" w:eastAsia="Arial" w:hAnsi="Arial"/>
          <w:sz w:val="17"/>
          <w:szCs w:val="17"/>
          <w:b w:val="1"/>
          <w:bCs w:val="1"/>
          <w:color w:val="auto"/>
        </w:rPr>
        <w:t>Offerings</w:t>
      </w:r>
      <w:r>
        <w:rPr>
          <w:rFonts w:ascii="Arial" w:cs="Arial" w:eastAsia="Arial" w:hAnsi="Arial"/>
          <w:sz w:val="17"/>
          <w:szCs w:val="17"/>
          <w:color w:val="auto"/>
        </w:rPr>
        <w:t>”). The initial Offering will begin and end on dates to be determined by the Administrator. Thereafter, unless otherwise determined by the Administrator, an Offering will begin on the first business day occurring on or after each June 1 and December 1 and will end on the last business day occurring on or before the following May 31 and November 30, respectively. The Administrator may, in its discretion, designate a different period for any Offering, provided that no Offering shall exceed twenty-seven (27) months in duration or overlap any other Offering.</w:t>
      </w:r>
    </w:p>
    <w:p>
      <w:pPr>
        <w:spacing w:after="0" w:line="63" w:lineRule="exact"/>
        <w:rPr>
          <w:rFonts w:ascii="Arial" w:cs="Arial" w:eastAsia="Arial" w:hAnsi="Arial"/>
          <w:sz w:val="17"/>
          <w:szCs w:val="17"/>
          <w:color w:val="auto"/>
        </w:rPr>
      </w:pPr>
    </w:p>
    <w:p>
      <w:pPr>
        <w:ind w:left="120" w:right="60" w:firstLine="436"/>
        <w:spacing w:after="0" w:line="25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All individuals classified as employees on the payroll records of the Company and each Designated Subsidiary are eligible to participate in any one or more of the Offerings under the Plan, provided that as of the first day of the applicable Offering (the “</w:t>
      </w:r>
      <w:r>
        <w:rPr>
          <w:rFonts w:ascii="Arial" w:cs="Arial" w:eastAsia="Arial" w:hAnsi="Arial"/>
          <w:sz w:val="18"/>
          <w:szCs w:val="18"/>
          <w:b w:val="1"/>
          <w:bCs w:val="1"/>
          <w:color w:val="auto"/>
        </w:rPr>
        <w:t>Offering Date</w:t>
      </w:r>
      <w:r>
        <w:rPr>
          <w:rFonts w:ascii="Arial" w:cs="Arial" w:eastAsia="Arial" w:hAnsi="Arial"/>
          <w:sz w:val="18"/>
          <w:szCs w:val="18"/>
          <w:color w:val="auto"/>
        </w:rPr>
        <w:t>”) they are customarily employed by the Company or a Designated Subsidiary.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Annex 1</w:t>
      </w:r>
    </w:p>
    <w:p>
      <w:pPr>
        <w:spacing w:after="0" w:line="18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68" w:lineRule="exact"/>
        <w:rPr>
          <w:sz w:val="20"/>
          <w:szCs w:val="20"/>
          <w:color w:val="auto"/>
        </w:rPr>
      </w:pPr>
    </w:p>
    <w:p>
      <w:pPr>
        <w:ind w:left="740" w:hanging="184"/>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17" w:lineRule="exact"/>
        <w:rPr>
          <w:sz w:val="20"/>
          <w:szCs w:val="20"/>
          <w:color w:val="auto"/>
        </w:rPr>
      </w:pPr>
    </w:p>
    <w:p>
      <w:pPr>
        <w:ind w:left="120" w:right="140" w:firstLine="436"/>
        <w:spacing w:after="0" w:line="263" w:lineRule="auto"/>
        <w:tabs>
          <w:tab w:leader="none" w:pos="80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fifteen (15) business days before the Offering Date (or by such other deadline as shall be established by the Administrator for the Offering).</w:t>
      </w:r>
    </w:p>
    <w:p>
      <w:pPr>
        <w:spacing w:after="0" w:line="75" w:lineRule="exact"/>
        <w:rPr>
          <w:rFonts w:ascii="Arial" w:cs="Arial" w:eastAsia="Arial" w:hAnsi="Arial"/>
          <w:sz w:val="18"/>
          <w:szCs w:val="18"/>
          <w:color w:val="auto"/>
        </w:rPr>
      </w:pPr>
    </w:p>
    <w:p>
      <w:pPr>
        <w:ind w:left="120" w:right="280" w:firstLine="436"/>
        <w:spacing w:after="0" w:line="291"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The enrollment form will (a) state a whole percentage or amount to be deducted from an eligible employee’s Compensation (as defined in Section 11) per pay period, (b) authorize the purchase of Common Stock in each Offering in accordance with the terms of the Plan and</w:t>
      </w:r>
    </w:p>
    <w:p>
      <w:pPr>
        <w:ind w:left="120" w:right="280" w:hanging="4"/>
        <w:spacing w:after="0" w:line="253" w:lineRule="auto"/>
        <w:tabs>
          <w:tab w:leader="none" w:pos="3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or amount of Compensation for future Offerings, provided he or she remains eligible.</w:t>
      </w:r>
    </w:p>
    <w:p>
      <w:pPr>
        <w:spacing w:after="0" w:line="84" w:lineRule="exact"/>
        <w:rPr>
          <w:rFonts w:ascii="Arial" w:cs="Arial" w:eastAsia="Arial" w:hAnsi="Arial"/>
          <w:sz w:val="18"/>
          <w:szCs w:val="18"/>
          <w:color w:val="auto"/>
        </w:rPr>
      </w:pPr>
    </w:p>
    <w:p>
      <w:pPr>
        <w:ind w:left="800" w:hanging="244"/>
        <w:spacing w:after="0"/>
        <w:tabs>
          <w:tab w:leader="none" w:pos="8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Notwithstanding the foregoing, participation in the Plan will neither be permitted nor be denied contrary to the requirements of the Code.</w:t>
      </w:r>
    </w:p>
    <w:p>
      <w:pPr>
        <w:spacing w:after="0" w:line="129" w:lineRule="exact"/>
        <w:rPr>
          <w:sz w:val="20"/>
          <w:szCs w:val="20"/>
          <w:color w:val="auto"/>
        </w:rPr>
      </w:pPr>
    </w:p>
    <w:p>
      <w:pPr>
        <w:ind w:left="120" w:right="80" w:firstLine="436"/>
        <w:spacing w:after="0" w:line="286"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one percent (1%) up to a maximum of fifteen percent (15%) of such employee’s Compensation for each pay period. The Company will maintain book accounts showing the amount of payroll deductions made by each Participant for each Offering. No interest will accrue or be paid on payroll deductions.</w:t>
      </w:r>
    </w:p>
    <w:p>
      <w:pPr>
        <w:spacing w:after="0" w:line="57" w:lineRule="exact"/>
        <w:rPr>
          <w:rFonts w:ascii="Arial" w:cs="Arial" w:eastAsia="Arial" w:hAnsi="Arial"/>
          <w:sz w:val="17"/>
          <w:szCs w:val="17"/>
          <w:color w:val="auto"/>
        </w:rPr>
      </w:pPr>
    </w:p>
    <w:p>
      <w:pPr>
        <w:ind w:left="120" w:right="140" w:firstLine="436"/>
        <w:spacing w:after="0" w:line="275"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Deduction Changes</w:t>
      </w:r>
      <w:r>
        <w:rPr>
          <w:rFonts w:ascii="Arial" w:cs="Arial" w:eastAsia="Arial" w:hAnsi="Arial"/>
          <w:sz w:val="17"/>
          <w:szCs w:val="17"/>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68" w:lineRule="exact"/>
        <w:rPr>
          <w:rFonts w:ascii="Arial" w:cs="Arial" w:eastAsia="Arial" w:hAnsi="Arial"/>
          <w:sz w:val="17"/>
          <w:szCs w:val="17"/>
          <w:color w:val="auto"/>
        </w:rPr>
      </w:pPr>
    </w:p>
    <w:p>
      <w:pPr>
        <w:ind w:left="120" w:right="280" w:firstLine="436"/>
        <w:spacing w:after="0" w:line="275"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68" w:lineRule="exact"/>
        <w:rPr>
          <w:rFonts w:ascii="Arial" w:cs="Arial" w:eastAsia="Arial" w:hAnsi="Arial"/>
          <w:sz w:val="17"/>
          <w:szCs w:val="17"/>
          <w:color w:val="auto"/>
        </w:rPr>
      </w:pPr>
    </w:p>
    <w:p>
      <w:pPr>
        <w:ind w:left="740" w:hanging="184"/>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Grant of Options</w:t>
      </w:r>
      <w:r>
        <w:rPr>
          <w:rFonts w:ascii="Arial" w:cs="Arial" w:eastAsia="Arial" w:hAnsi="Arial"/>
          <w:sz w:val="17"/>
          <w:szCs w:val="17"/>
          <w:color w:val="auto"/>
        </w:rPr>
        <w:t>. On each Offering Date, the Company will grant to each eligible employee who is then a Participant in the Plan an option</w:t>
      </w:r>
    </w:p>
    <w:p>
      <w:pPr>
        <w:spacing w:after="0" w:line="35"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to purchase on the last day of such Offering (the “</w:t>
      </w:r>
      <w:r>
        <w:rPr>
          <w:rFonts w:ascii="Arial" w:cs="Arial" w:eastAsia="Arial" w:hAnsi="Arial"/>
          <w:sz w:val="16"/>
          <w:szCs w:val="16"/>
          <w:b w:val="1"/>
          <w:bCs w:val="1"/>
          <w:color w:val="auto"/>
        </w:rPr>
        <w:t>Exercise Date</w:t>
      </w:r>
      <w:r>
        <w:rPr>
          <w:rFonts w:ascii="Arial" w:cs="Arial" w:eastAsia="Arial" w:hAnsi="Arial"/>
          <w:sz w:val="16"/>
          <w:szCs w:val="16"/>
          <w:color w:val="auto"/>
        </w:rPr>
        <w:t>”),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eighty-five percent (85%) of the Fair Market Value of the Common Stock on the Offering Date or the Exercise Date, whichever is less.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Annex 1</w:t>
      </w:r>
    </w:p>
    <w:p>
      <w:pPr>
        <w:spacing w:after="0" w:line="185"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Notwithstanding the foregoing, no Participant may be granted an Option hereunder if such Participant, immediately after the Option was granted, would be treated as owning stock possessing five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such Participant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73" w:lineRule="exact"/>
        <w:rPr>
          <w:sz w:val="20"/>
          <w:szCs w:val="20"/>
          <w:color w:val="auto"/>
        </w:rPr>
      </w:pPr>
    </w:p>
    <w:p>
      <w:pPr>
        <w:ind w:left="120" w:right="20" w:firstLine="436"/>
        <w:spacing w:after="0" w:line="255"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84" w:lineRule="exact"/>
        <w:rPr>
          <w:rFonts w:ascii="Arial" w:cs="Arial" w:eastAsia="Arial" w:hAnsi="Arial"/>
          <w:sz w:val="18"/>
          <w:szCs w:val="18"/>
          <w:color w:val="auto"/>
        </w:rPr>
      </w:pPr>
    </w:p>
    <w:p>
      <w:pPr>
        <w:ind w:left="120" w:right="220" w:firstLine="436"/>
        <w:spacing w:after="0" w:line="286" w:lineRule="auto"/>
        <w:tabs>
          <w:tab w:leader="none" w:pos="83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Issuance of Certificates</w:t>
      </w:r>
      <w:r>
        <w:rPr>
          <w:rFonts w:ascii="Arial" w:cs="Arial" w:eastAsia="Arial" w:hAnsi="Arial"/>
          <w:sz w:val="17"/>
          <w:szCs w:val="17"/>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57" w:lineRule="exact"/>
        <w:rPr>
          <w:rFonts w:ascii="Arial" w:cs="Arial" w:eastAsia="Arial" w:hAnsi="Arial"/>
          <w:sz w:val="17"/>
          <w:szCs w:val="17"/>
          <w:color w:val="auto"/>
        </w:rPr>
      </w:pPr>
    </w:p>
    <w:p>
      <w:pPr>
        <w:ind w:left="820" w:hanging="26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Compensation</w:t>
      </w:r>
      <w:r>
        <w:rPr>
          <w:rFonts w:ascii="Arial" w:cs="Arial" w:eastAsia="Arial" w:hAnsi="Arial"/>
          <w:sz w:val="18"/>
          <w:szCs w:val="18"/>
          <w:color w:val="auto"/>
        </w:rPr>
        <w:t>” means the regular or basic rate of compensation.</w:t>
      </w:r>
    </w:p>
    <w:p>
      <w:pPr>
        <w:spacing w:after="0" w:line="117" w:lineRule="exact"/>
        <w:rPr>
          <w:sz w:val="20"/>
          <w:szCs w:val="20"/>
          <w:color w:val="auto"/>
        </w:rPr>
      </w:pPr>
    </w:p>
    <w:p>
      <w:pPr>
        <w:ind w:left="120" w:right="120" w:firstLine="991"/>
        <w:spacing w:after="0" w:line="271"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Designated Subsidiary</w:t>
      </w:r>
      <w:r>
        <w:rPr>
          <w:rFonts w:ascii="Arial" w:cs="Arial" w:eastAsia="Arial" w:hAnsi="Arial"/>
          <w:sz w:val="17"/>
          <w:szCs w:val="17"/>
          <w:color w:val="auto"/>
        </w:rPr>
        <w:t xml:space="preserve">” means any present or future Subsidiary (as defined below) that has been designated by the Administrator to participate in the Plan. The Administrator may so designate any Subsidiary,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Subsidiaries or eligible employees may be excluded from participation in the Plan, to the extent consistent with Section 423 of the Code or as implemented under the Non-423 Component, and determine which Designated Subsidiary or Subsidiaries will participate in separate Offerings (to the extent that the Company makes separate Offerings). For purposes of the 423 Component, only the Company and its Subsidiaries may be Designated Subsidiaries; provided, however, that at any given time, a Subsidiary that is a Designated Subsidiary under the 423 Component will not be a Designated Subsidiary under the Non-423 Component. The current list of Designated Subsidiaries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74"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Fair Market Value of the Common Stock</w:t>
      </w:r>
      <w:r>
        <w:rPr>
          <w:rFonts w:ascii="Arial" w:cs="Arial" w:eastAsia="Arial" w:hAnsi="Arial"/>
          <w:sz w:val="17"/>
          <w:szCs w:val="17"/>
          <w:color w:val="auto"/>
        </w:rPr>
        <w:t>” on any given date means the fair market value of the Common Stock determined in good faith by the Administrator; provided, however, that if the Common Stock is admitted to quotation on the National Association of Securities Dealers Automated Quotation System (“</w:t>
      </w:r>
      <w:r>
        <w:rPr>
          <w:rFonts w:ascii="Arial" w:cs="Arial" w:eastAsia="Arial" w:hAnsi="Arial"/>
          <w:sz w:val="17"/>
          <w:szCs w:val="17"/>
          <w:b w:val="1"/>
          <w:bCs w:val="1"/>
          <w:color w:val="auto"/>
        </w:rPr>
        <w:t>NASDAQ</w:t>
      </w:r>
      <w:r>
        <w:rPr>
          <w:rFonts w:ascii="Arial" w:cs="Arial" w:eastAsia="Arial" w:hAnsi="Arial"/>
          <w:sz w:val="17"/>
          <w:szCs w:val="17"/>
          <w:color w:val="auto"/>
        </w:rPr>
        <w:t>”),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6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Parent</w:t>
      </w:r>
      <w:r>
        <w:rPr>
          <w:rFonts w:ascii="Arial" w:cs="Arial" w:eastAsia="Arial" w:hAnsi="Arial"/>
          <w:sz w:val="18"/>
          <w:szCs w:val="18"/>
          <w:color w:val="auto"/>
        </w:rPr>
        <w:t>” means a “parent corporation” with respect to the Company, as defined in Section 424(e) of the Code.</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Annex 1</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Participant</w:t>
      </w:r>
      <w:r>
        <w:rPr>
          <w:rFonts w:ascii="Arial" w:cs="Arial" w:eastAsia="Arial" w:hAnsi="Arial"/>
          <w:sz w:val="17"/>
          <w:szCs w:val="17"/>
          <w:color w:val="auto"/>
        </w:rPr>
        <w:t>” means an individual who is eligible as determined in Section 3 and who has complied with the provisions of</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4.</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corporation” with respect to the Company, as defined in Section 424(f) of the Code.</w:t>
      </w:r>
    </w:p>
    <w:p>
      <w:pPr>
        <w:spacing w:after="0" w:line="133" w:lineRule="exact"/>
        <w:rPr>
          <w:sz w:val="20"/>
          <w:szCs w:val="20"/>
          <w:color w:val="auto"/>
        </w:rPr>
      </w:pPr>
    </w:p>
    <w:p>
      <w:pPr>
        <w:ind w:left="120" w:firstLine="436"/>
        <w:spacing w:after="0" w:line="269" w:lineRule="auto"/>
        <w:tabs>
          <w:tab w:leader="none" w:pos="83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Rights on Termination of Employment</w:t>
      </w:r>
      <w:r>
        <w:rPr>
          <w:rFonts w:ascii="Arial" w:cs="Arial" w:eastAsia="Arial" w:hAnsi="Arial"/>
          <w:sz w:val="17"/>
          <w:szCs w:val="17"/>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the Participant, having been a Designated Subsidiary, ceases to be a Subsidiary, or if the employee is transferred to any corporation other than the Company or a Designated Subsidiary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70" w:lineRule="exact"/>
        <w:rPr>
          <w:rFonts w:ascii="Arial" w:cs="Arial" w:eastAsia="Arial" w:hAnsi="Arial"/>
          <w:sz w:val="17"/>
          <w:szCs w:val="17"/>
          <w:color w:val="auto"/>
        </w:rPr>
      </w:pPr>
    </w:p>
    <w:p>
      <w:pPr>
        <w:ind w:left="120" w:right="220" w:firstLine="436"/>
        <w:spacing w:after="0" w:line="273" w:lineRule="auto"/>
        <w:tabs>
          <w:tab w:leader="none" w:pos="83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Special Rules and Sub-Plans</w:t>
      </w:r>
      <w:r>
        <w:rPr>
          <w:rFonts w:ascii="Arial" w:cs="Arial" w:eastAsia="Arial" w:hAnsi="Arial"/>
          <w:sz w:val="17"/>
          <w:szCs w:val="17"/>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if such special rules are inconsistent with the requirements of Section 423(b) of the Code, the employees subject to such special rules or sub-plans will participate in the Non- 423 Component. Any special rules or sub-plans established pursuant to this Section 13 shall, to the extent possible, result in the employees subject to such rules having substantially the same rights as other Participants in the Plan.</w:t>
      </w:r>
    </w:p>
    <w:p>
      <w:pPr>
        <w:spacing w:after="0" w:line="69" w:lineRule="exact"/>
        <w:rPr>
          <w:rFonts w:ascii="Arial" w:cs="Arial" w:eastAsia="Arial" w:hAnsi="Arial"/>
          <w:sz w:val="17"/>
          <w:szCs w:val="17"/>
          <w:color w:val="auto"/>
        </w:rPr>
      </w:pPr>
    </w:p>
    <w:p>
      <w:pPr>
        <w:jc w:val="both"/>
        <w:ind w:left="120" w:right="360" w:firstLine="436"/>
        <w:spacing w:after="0" w:line="263"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Optionees Not Stockholders</w:t>
      </w:r>
      <w:r>
        <w:rPr>
          <w:rFonts w:ascii="Arial" w:cs="Arial" w:eastAsia="Arial" w:hAnsi="Arial"/>
          <w:sz w:val="18"/>
          <w:szCs w:val="18"/>
          <w:color w:val="auto"/>
        </w:rPr>
        <w:t>. Neither the granting of an Option to a Participant nor the deductions from his or her pay shall constitute such Participant a holder of the shares of Common Stock covered by an Option under the Plan until such shares have been purchased by and issued to the Participant.</w:t>
      </w:r>
    </w:p>
    <w:p>
      <w:pPr>
        <w:spacing w:after="0" w:line="75" w:lineRule="exact"/>
        <w:rPr>
          <w:rFonts w:ascii="Arial" w:cs="Arial" w:eastAsia="Arial" w:hAnsi="Arial"/>
          <w:sz w:val="18"/>
          <w:szCs w:val="18"/>
          <w:color w:val="auto"/>
        </w:rPr>
      </w:pPr>
    </w:p>
    <w:p>
      <w:pPr>
        <w:ind w:left="120" w:right="180" w:firstLine="436"/>
        <w:spacing w:after="0" w:line="277"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62" w:lineRule="exact"/>
        <w:rPr>
          <w:rFonts w:ascii="Arial" w:cs="Arial" w:eastAsia="Arial" w:hAnsi="Arial"/>
          <w:sz w:val="18"/>
          <w:szCs w:val="18"/>
          <w:color w:val="auto"/>
        </w:rPr>
      </w:pPr>
    </w:p>
    <w:p>
      <w:pPr>
        <w:ind w:left="120" w:right="340" w:firstLine="436"/>
        <w:spacing w:after="0" w:line="277"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62" w:lineRule="exact"/>
        <w:rPr>
          <w:rFonts w:ascii="Arial" w:cs="Arial" w:eastAsia="Arial" w:hAnsi="Arial"/>
          <w:sz w:val="18"/>
          <w:szCs w:val="18"/>
          <w:color w:val="auto"/>
        </w:rPr>
      </w:pPr>
    </w:p>
    <w:p>
      <w:pPr>
        <w:ind w:left="120" w:right="80" w:firstLine="436"/>
        <w:spacing w:after="0" w:line="263"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Adjustment in Case of Changes Affecting Common Stock</w:t>
      </w:r>
      <w:r>
        <w:rPr>
          <w:rFonts w:ascii="Arial" w:cs="Arial" w:eastAsia="Arial" w:hAnsi="Arial"/>
          <w:sz w:val="18"/>
          <w:szCs w:val="18"/>
          <w:color w:val="auto"/>
        </w:rPr>
        <w:t>. In the event of a subdivision of outstanding shares of Common Stock, the payment of a dividend in Common Stock or any other change affecting the Common Stock, the number of shares approved for the Plan and any other share limitations in the Plan shall be equitably or proportionately adjusted to give proper effect to such event.</w:t>
      </w:r>
    </w:p>
    <w:p>
      <w:pPr>
        <w:spacing w:after="0" w:line="75" w:lineRule="exact"/>
        <w:rPr>
          <w:rFonts w:ascii="Arial" w:cs="Arial" w:eastAsia="Arial" w:hAnsi="Arial"/>
          <w:sz w:val="18"/>
          <w:szCs w:val="18"/>
          <w:color w:val="auto"/>
        </w:rPr>
      </w:pPr>
    </w:p>
    <w:p>
      <w:pPr>
        <w:ind w:left="120" w:right="20" w:firstLine="436"/>
        <w:spacing w:after="0" w:line="259"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twelve (12) months of such Board action by the stockholders, no amendment shall be made increasing the number of shares approved for the Plan or making any other change that would require stockholder approval in order for the 423 Component of the Plan, as amended, to qualify as an “ employee stock purchase plan” under Section 423(b) of the Code.</w:t>
      </w:r>
    </w:p>
    <w:p>
      <w:pPr>
        <w:spacing w:after="0" w:line="78" w:lineRule="exact"/>
        <w:rPr>
          <w:rFonts w:ascii="Arial" w:cs="Arial" w:eastAsia="Arial" w:hAnsi="Arial"/>
          <w:sz w:val="18"/>
          <w:szCs w:val="18"/>
          <w:color w:val="auto"/>
        </w:rPr>
      </w:pPr>
    </w:p>
    <w:p>
      <w:pPr>
        <w:jc w:val="both"/>
        <w:ind w:left="120" w:right="140" w:firstLine="436"/>
        <w:spacing w:after="0" w:line="259"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1</w:t>
      </w:r>
    </w:p>
    <w:p>
      <w:pPr>
        <w:spacing w:after="0" w:line="162" w:lineRule="exact"/>
        <w:rPr>
          <w:sz w:val="20"/>
          <w:szCs w:val="20"/>
          <w:color w:val="auto"/>
        </w:rPr>
      </w:pPr>
    </w:p>
    <w:p>
      <w:pPr>
        <w:ind w:left="120" w:right="240" w:firstLine="436"/>
        <w:spacing w:after="0" w:line="277"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62" w:lineRule="exact"/>
        <w:rPr>
          <w:rFonts w:ascii="Arial" w:cs="Arial" w:eastAsia="Arial" w:hAnsi="Arial"/>
          <w:sz w:val="18"/>
          <w:szCs w:val="18"/>
          <w:color w:val="auto"/>
        </w:rPr>
      </w:pPr>
    </w:p>
    <w:p>
      <w:pPr>
        <w:ind w:left="120" w:right="940" w:firstLine="436"/>
        <w:spacing w:after="0" w:line="277"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62" w:lineRule="exact"/>
        <w:rPr>
          <w:rFonts w:ascii="Arial" w:cs="Arial" w:eastAsia="Arial" w:hAnsi="Arial"/>
          <w:sz w:val="18"/>
          <w:szCs w:val="18"/>
          <w:color w:val="auto"/>
        </w:rPr>
      </w:pPr>
    </w:p>
    <w:p>
      <w:pPr>
        <w:ind w:left="120" w:right="240" w:firstLine="436"/>
        <w:spacing w:after="0" w:line="286" w:lineRule="auto"/>
        <w:tabs>
          <w:tab w:leader="none" w:pos="83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57" w:lineRule="exact"/>
        <w:rPr>
          <w:rFonts w:ascii="Arial" w:cs="Arial" w:eastAsia="Arial" w:hAnsi="Arial"/>
          <w:sz w:val="17"/>
          <w:szCs w:val="17"/>
          <w:color w:val="auto"/>
        </w:rPr>
      </w:pPr>
    </w:p>
    <w:p>
      <w:pPr>
        <w:ind w:left="120" w:right="280" w:firstLine="436"/>
        <w:spacing w:after="0" w:line="277"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62" w:lineRule="exact"/>
        <w:rPr>
          <w:rFonts w:ascii="Arial" w:cs="Arial" w:eastAsia="Arial" w:hAnsi="Arial"/>
          <w:sz w:val="18"/>
          <w:szCs w:val="18"/>
          <w:color w:val="auto"/>
        </w:rPr>
      </w:pPr>
    </w:p>
    <w:p>
      <w:pPr>
        <w:ind w:left="120" w:right="100" w:firstLine="436"/>
        <w:spacing w:after="0" w:line="263"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Participation in the Plan is subject to any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75" w:lineRule="exact"/>
        <w:rPr>
          <w:rFonts w:ascii="Arial" w:cs="Arial" w:eastAsia="Arial" w:hAnsi="Arial"/>
          <w:sz w:val="18"/>
          <w:szCs w:val="18"/>
          <w:color w:val="auto"/>
        </w:rPr>
      </w:pPr>
    </w:p>
    <w:p>
      <w:pPr>
        <w:jc w:val="both"/>
        <w:ind w:left="120" w:right="100" w:firstLine="436"/>
        <w:spacing w:after="0" w:line="286" w:lineRule="auto"/>
        <w:tabs>
          <w:tab w:leader="none" w:pos="83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Notification Upon Sale of Shares Under the 423 Component</w:t>
      </w:r>
      <w:r>
        <w:rPr>
          <w:rFonts w:ascii="Arial" w:cs="Arial" w:eastAsia="Arial" w:hAnsi="Arial"/>
          <w:sz w:val="17"/>
          <w:szCs w:val="17"/>
          <w:color w:val="auto"/>
        </w:rPr>
        <w:t>. Each Participant agrees, by entering the 423 Component of the Plan, to give the Company prompt notice of any disposition of shares purchased under the Plan where such disposition occurs within two (2) years after the date of grant of the Option pursuant to which such shares were purchased or within one (1) year after the date such shares were purchased.</w:t>
      </w:r>
    </w:p>
    <w:p>
      <w:pPr>
        <w:spacing w:after="0" w:line="57" w:lineRule="exact"/>
        <w:rPr>
          <w:rFonts w:ascii="Arial" w:cs="Arial" w:eastAsia="Arial" w:hAnsi="Arial"/>
          <w:sz w:val="17"/>
          <w:szCs w:val="17"/>
          <w:color w:val="auto"/>
        </w:rPr>
      </w:pPr>
    </w:p>
    <w:p>
      <w:pPr>
        <w:ind w:left="120" w:right="360" w:firstLine="436"/>
        <w:spacing w:after="0" w:line="277" w:lineRule="auto"/>
        <w:tabs>
          <w:tab w:leader="none" w:pos="83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Effective Date and Approval of Stockholders</w:t>
      </w:r>
      <w:r>
        <w:rPr>
          <w:rFonts w:ascii="Arial" w:cs="Arial" w:eastAsia="Arial" w:hAnsi="Arial"/>
          <w:sz w:val="18"/>
          <w:szCs w:val="18"/>
          <w:color w:val="auto"/>
        </w:rPr>
        <w:t>. The Plan shall take effect on the later of the date it is adopted by the Board and the date it is approved by the holders of a majority of the votes cast at a meeting of stockholders at which a quorum is present.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1</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Designated Subsidiaries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Gemini Therapeutics Sub, Inc.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2"/>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2"/>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Roman"/>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3"/>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2"/>
    </w:lvl>
  </w:abstractNum>
  <w:abstractNum w:abstractNumId="36">
    <w:nsid w:val="153EA438"/>
    <w:multiLevelType w:val="hybridMultilevel"/>
    <w:lvl w:ilvl="0">
      <w:lvlJc w:val="left"/>
      <w:lvlText w:val="(%1)"/>
      <w:numFmt w:val="decimal"/>
      <w:start w:val="9"/>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4"/>
    </w:lvl>
  </w:abstractNum>
  <w:abstractNum w:abstractNumId="39">
    <w:nsid w:val="6A2342EC"/>
    <w:multiLevelType w:val="hybridMultilevel"/>
    <w:lvl w:ilvl="0">
      <w:lvlJc w:val="left"/>
      <w:lvlText w:val="%1"/>
      <w:numFmt w:val="lowerLetter"/>
      <w:start w:val="1"/>
    </w:lvl>
    <w:lvl w:ilvl="1">
      <w:lvlJc w:val="left"/>
      <w:lvlText w:val="(%2)"/>
      <w:numFmt w:val="lowerLetter"/>
      <w:start w:val="1"/>
    </w:lvl>
  </w:abstractNum>
  <w:abstractNum w:abstractNumId="40">
    <w:nsid w:val="2A487CB0"/>
    <w:multiLevelType w:val="hybridMultilevel"/>
    <w:lvl w:ilvl="0">
      <w:lvlJc w:val="left"/>
      <w:lvlText w:val="(%1)"/>
      <w:numFmt w:val="lowerLetter"/>
      <w:start w:val="3"/>
    </w:lvl>
    <w:lvl w:ilvl="1">
      <w:lvlJc w:val="left"/>
      <w:lvlText w:val="(%2)"/>
      <w:numFmt w:val="lowerLetter"/>
      <w:start w:val="3"/>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decimal"/>
      <w:start w:val="9"/>
    </w:lvl>
  </w:abstractNum>
  <w:abstractNum w:abstractNumId="43">
    <w:nsid w:val="2CD89A32"/>
    <w:multiLevelType w:val="hybridMultilevel"/>
    <w:lvl w:ilvl="0">
      <w:lvlJc w:val="left"/>
      <w:lvlText w:val="%1."/>
      <w:numFmt w:val="decimal"/>
      <w:start w:val="12"/>
    </w:lvl>
  </w:abstractNum>
  <w:abstractNum w:abstractNumId="44">
    <w:nsid w:val="57E4CCAF"/>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2021-08-17T06:12:57Z</dcterms:created>
  <dcterms:modified xsi:type="dcterms:W3CDTF">2021-08-17T06:12:57Z</dcterms:modified>
</cp:coreProperties>
</file>