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19" w:lineRule="exact"/>
        <w:rPr>
          <w:sz w:val="24"/>
          <w:szCs w:val="24"/>
          <w:color w:val="auto"/>
        </w:rPr>
      </w:pPr>
    </w:p>
    <w:p>
      <w:pPr>
        <w:ind w:left="1864"/>
        <w:spacing w:after="0"/>
        <w:rPr>
          <w:sz w:val="20"/>
          <w:szCs w:val="20"/>
          <w:color w:val="auto"/>
        </w:rPr>
      </w:pPr>
      <w:r>
        <w:rPr>
          <w:rFonts w:ascii="Arial" w:cs="Arial" w:eastAsia="Arial" w:hAnsi="Arial"/>
          <w:sz w:val="16"/>
          <w:szCs w:val="16"/>
          <w:b w:val="1"/>
          <w:bCs w:val="1"/>
          <w:color w:val="auto"/>
        </w:rPr>
        <w:t>Address 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Address Not Applicable</w:t>
      </w:r>
    </w:p>
    <w:p>
      <w:pPr>
        <w:spacing w:after="0" w:line="50" w:lineRule="exact"/>
        <w:rPr>
          <w:sz w:val="24"/>
          <w:szCs w:val="24"/>
          <w:color w:val="auto"/>
        </w:rPr>
      </w:pPr>
    </w:p>
    <w:p>
      <w:pPr>
        <w:sectPr>
          <w:pgSz w:w="11900" w:h="16838" w:orient="portrait"/>
          <w:cols w:equalWidth="0" w:num="2">
            <w:col w:w="6704" w:space="720"/>
            <w:col w:w="36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210" w:lineRule="exact"/>
        <w:rPr>
          <w:sz w:val="24"/>
          <w:szCs w:val="24"/>
          <w:color w:val="auto"/>
        </w:rPr>
      </w:pPr>
    </w:p>
    <w:p>
      <w:pPr>
        <w:ind w:left="424" w:right="180" w:hanging="424"/>
        <w:spacing w:after="0" w:line="277" w:lineRule="auto"/>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7" w:lineRule="exact"/>
        <w:rPr>
          <w:sz w:val="24"/>
          <w:szCs w:val="24"/>
          <w:color w:val="auto"/>
        </w:rPr>
      </w:pPr>
    </w:p>
    <w:p>
      <w:pPr>
        <w:ind w:left="424" w:right="180" w:hanging="424"/>
        <w:spacing w:after="0" w:line="277" w:lineRule="auto"/>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left="4" w:right="140"/>
        <w:spacing w:after="0" w:line="308" w:lineRule="auto"/>
        <w:rPr>
          <w:sz w:val="20"/>
          <w:szCs w:val="20"/>
          <w:color w:val="auto"/>
        </w:rPr>
      </w:pPr>
      <w:r>
        <w:rPr>
          <w:rFonts w:ascii="Arial" w:cs="Arial" w:eastAsia="Arial" w:hAnsi="Arial"/>
          <w:sz w:val="17"/>
          <w:szCs w:val="17"/>
          <w:color w:val="auto"/>
        </w:rPr>
        <w:t>On March 10, 2022, Gemini Therapeutics, Inc. (the “Company”) announced its financial results for the year ended December 31, 2021. The full text of the press release issued in connection with the announcement is attached as Exhibit 99.1 to this Current Report on Form 8-K.</w:t>
      </w:r>
    </w:p>
    <w:p>
      <w:pPr>
        <w:spacing w:after="0" w:line="146" w:lineRule="exact"/>
        <w:rPr>
          <w:sz w:val="20"/>
          <w:szCs w:val="20"/>
          <w:color w:val="auto"/>
        </w:rPr>
      </w:pPr>
    </w:p>
    <w:p>
      <w:pPr>
        <w:ind w:left="4" w:right="200"/>
        <w:spacing w:after="0" w:line="286" w:lineRule="auto"/>
        <w:rPr>
          <w:sz w:val="20"/>
          <w:szCs w:val="20"/>
          <w:color w:val="auto"/>
        </w:rPr>
      </w:pPr>
      <w:r>
        <w:rPr>
          <w:rFonts w:ascii="Arial" w:cs="Arial" w:eastAsia="Arial" w:hAnsi="Arial"/>
          <w:sz w:val="17"/>
          <w:szCs w:val="17"/>
          <w:color w:val="auto"/>
        </w:rPr>
        <w:t>The information in this Current Report on Form 8-K and the exhibit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4" w:hanging="264"/>
        <w:spacing w:after="0"/>
        <w:tabs>
          <w:tab w:leader="none" w:pos="26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2"/>
                <w:szCs w:val="22"/>
                <w:color w:val="auto"/>
              </w:rPr>
            </w:pPr>
          </w:p>
        </w:tc>
        <w:tc>
          <w:tcPr>
            <w:tcW w:w="4800" w:type="dxa"/>
            <w:vAlign w:val="bottom"/>
            <w:tcBorders>
              <w:top w:val="single" w:sz="8" w:color="auto"/>
              <w:bottom w:val="single" w:sz="8" w:color="0000EE"/>
            </w:tcBorders>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by Gemini Therapeutics, Inc., dated March 10, 2022</w:t>
              </w:r>
            </w:hyperlink>
          </w:p>
        </w:tc>
        <w:tc>
          <w:tcPr>
            <w:tcW w:w="5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297" w:right="43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10, 2022</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171450</wp:posOffset>
            </wp:positionV>
            <wp:extent cx="1457325" cy="969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732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Reports 2021 Financial Results</w:t>
      </w:r>
    </w:p>
    <w:p>
      <w:pPr>
        <w:spacing w:after="0" w:line="225"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Remote-First-Company/Mass. – March 10, 2022 </w:t>
      </w:r>
      <w:r>
        <w:rPr>
          <w:rFonts w:ascii="Arial" w:cs="Arial" w:eastAsia="Arial" w:hAnsi="Arial"/>
          <w:sz w:val="18"/>
          <w:szCs w:val="18"/>
          <w:color w:val="auto"/>
        </w:rPr>
        <w:t>– Gemini Therapeutics, Inc. (Nasdaq: GMTX) today reported financial results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2021.</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previously announced this year, Gemini Therapeutics has initiated a process to evaluate strategic options to maximize shareholder value that may potentially result in changes to our business strategy. While we have not set a timetable for completion of this strategic review process, we look forward to providing an update in the future if and when appropriate,” said Georges Gemayel, Ph.D. Executive Chair and interim President and Chief Executive Officer.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2021 Financial Results</w:t>
      </w:r>
    </w:p>
    <w:p>
      <w:pPr>
        <w:spacing w:after="0" w:line="12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Gemini reported a net loss of $71.9 million for the full year 2021 compared to $40.8 million for the same period in 2020. Research and development expenses were $48.7 million and $28.2 million for the twelve months ended December 31, 2021 and 2020, respectively. The full year increase was primarily due to an increase in external research and development costs related to clinical trial activities of GEM103.</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General and administrative expenses were $20.3 million and $5.9 million for the twelve months ended December 31, 2021 and 2020, respectively. The full year increase was primarily due to higher personnel-related costs and higher legal, insurance and other professional fees incurred in connection with operating as a public company.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cash and cash equivalents totaled $136.6 million, with approximately 43.2 million shares of common stock outstanding.</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Gemini Therapeutics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Gemini Therapeutics is a clinical stage precision medicine company developing novel therapeutic compounds to treat genetically defined age-related macular degeneration (AMD). Gemini’s candidate, GEM103, is a recombinant form of human complement factor H protein (CFH) and is designed to address both complement hyperactivity and restore retinal health in patients with AMD. GEM103 has been evaluated in a Phase 2a trial in dry AMD patients with a CFH risk variant and a Phase 1/2a study in patients with neovascular age-related macular degeneration with or at risk for macular atrophy. Gemini is also working to advance a potentiating antibody for CFH, GEM307, towards clinical development for treatment of systemic diseases. For more information, visit </w:t>
      </w:r>
      <w:r>
        <w:rPr>
          <w:rFonts w:ascii="Arial" w:cs="Arial" w:eastAsia="Arial" w:hAnsi="Arial"/>
          <w:sz w:val="18"/>
          <w:szCs w:val="18"/>
          <w:u w:val="single" w:color="auto"/>
          <w:color w:val="auto"/>
        </w:rPr>
        <w:t>www.geminitherapeutics.com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Other Information About Gemini Therapeutics</w:t>
      </w:r>
    </w:p>
    <w:p>
      <w:pPr>
        <w:spacing w:after="0" w:line="12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Investors and others should note that we communicate with our investors and the public using our website (</w:t>
      </w:r>
      <w:r>
        <w:rPr>
          <w:rFonts w:ascii="Arial" w:cs="Arial" w:eastAsia="Arial" w:hAnsi="Arial"/>
          <w:sz w:val="16"/>
          <w:szCs w:val="16"/>
          <w:u w:val="single" w:color="auto"/>
          <w:color w:val="auto"/>
        </w:rPr>
        <w:t>www.geminitherapeutics.com</w:t>
      </w:r>
      <w:r>
        <w:rPr>
          <w:rFonts w:ascii="Arial" w:cs="Arial" w:eastAsia="Arial" w:hAnsi="Arial"/>
          <w:sz w:val="16"/>
          <w:szCs w:val="16"/>
          <w:color w:val="auto"/>
        </w:rPr>
        <w:t>), the investor relations website (</w:t>
      </w:r>
      <w:r>
        <w:rPr>
          <w:rFonts w:ascii="Arial" w:cs="Arial" w:eastAsia="Arial" w:hAnsi="Arial"/>
          <w:sz w:val="16"/>
          <w:szCs w:val="16"/>
          <w:u w:val="single" w:color="auto"/>
          <w:color w:val="auto"/>
        </w:rPr>
        <w:t>https://investors.geminitherapeutics.com/</w:t>
      </w:r>
      <w:r>
        <w:rPr>
          <w:rFonts w:ascii="Arial" w:cs="Arial" w:eastAsia="Arial" w:hAnsi="Arial"/>
          <w:sz w:val="16"/>
          <w:szCs w:val="16"/>
          <w:color w:val="auto"/>
        </w:rPr>
        <w:t>), including but not limited to investor presentations and investor fact sheets, U.S. Securities and Exchange Commission filings, press releases, public conference calls and webcasts. The information that Gemini posts on these channels and websites could be deemed to be material information. As a result, Gemini encourages investors, the media, and others interested in</w:t>
      </w:r>
    </w:p>
    <w:p>
      <w:pPr>
        <w:sectPr>
          <w:pgSz w:w="11900" w:h="16838" w:orient="portrait"/>
          <w:cols w:equalWidth="0" w:num="1">
            <w:col w:w="11020"/>
          </w:cols>
          <w:pgMar w:left="440" w:top="121" w:right="4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62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1062990"/>
                    </a:xfrm>
                    <a:prstGeom prst="rect">
                      <a:avLst/>
                    </a:prstGeom>
                    <a:noFill/>
                  </pic:spPr>
                </pic:pic>
              </a:graphicData>
            </a:graphic>
          </wp:anchor>
        </w:drawing>
      </w:r>
    </w:p>
    <w:p>
      <w:pPr>
        <w:spacing w:after="0" w:line="3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Gemini to review the information that is posted on these channels, including the investor relations website, on a regular basis. This list of channels may be updated from time to time on Gemini’s investor relations website and may include additional social media channels. The contents of Gemini’s website or these channels, or any other website that may be accessed from its website or these channels, shall not be deemed incorporated by reference in any filing under the Securities Act of 1933, as amended.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Gemini’s 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Certain statements in this press release and the information incorporated herein by reference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benefits we expect to receive from the restructuring, the timing and success of the strategic alternative review process or the ability to complete a potential strategic transaction.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the Gemini’s most recent Annual Report on Form 10-K filed with the SEC, as well as discussions of potential risks, uncertainties, and other important factors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ectPr>
          <w:pgSz w:w="11900" w:h="16838" w:orient="portrait"/>
          <w:cols w:equalWidth="0" w:num="1">
            <w:col w:w="11000"/>
          </w:cols>
          <w:pgMar w:left="440" w:top="1440" w:right="4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62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10629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r>
        <w:rPr>
          <w:rFonts w:ascii="Arial" w:cs="Arial" w:eastAsia="Arial" w:hAnsi="Arial"/>
          <w:sz w:val="18"/>
          <w:szCs w:val="18"/>
          <w:b w:val="1"/>
          <w:bCs w:val="1"/>
          <w:color w:val="auto"/>
        </w:rPr>
        <w:t>, except share and per share amounts</w:t>
      </w:r>
      <w:r>
        <w:rPr>
          <w:rFonts w:ascii="Arial" w:cs="Arial" w:eastAsia="Arial" w:hAnsi="Arial"/>
          <w:sz w:val="18"/>
          <w:szCs w:val="18"/>
          <w:b w:val="1"/>
          <w:bCs w:val="1"/>
          <w:i w:val="1"/>
          <w:iCs w:val="1"/>
          <w:color w:val="auto"/>
        </w:rPr>
        <w:t>)</w:t>
      </w:r>
    </w:p>
    <w:p>
      <w:pPr>
        <w:spacing w:after="0" w:line="229"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Year Ended</w:t>
      </w:r>
    </w:p>
    <w:p>
      <w:pPr>
        <w:jc w:val="center"/>
        <w:ind w:left="84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1"/>
              <w:spacing w:after="0"/>
              <w:rPr>
                <w:sz w:val="20"/>
                <w:szCs w:val="20"/>
                <w:color w:val="auto"/>
              </w:rPr>
            </w:pPr>
            <w:r>
              <w:rPr>
                <w:rFonts w:ascii="Arial" w:cs="Arial" w:eastAsia="Arial" w:hAnsi="Arial"/>
                <w:sz w:val="18"/>
                <w:szCs w:val="18"/>
                <w:color w:val="auto"/>
              </w:rPr>
              <w:t>48,717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28,170</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20,285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5,870</w:t>
            </w: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69,002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34,040</w:t>
            </w:r>
          </w:p>
        </w:tc>
        <w:tc>
          <w:tcPr>
            <w:tcW w:w="120" w:type="dxa"/>
            <w:vAlign w:val="bottom"/>
          </w:tcPr>
          <w:p>
            <w:pPr>
              <w:spacing w:after="0"/>
              <w:rPr>
                <w:sz w:val="20"/>
                <w:szCs w:val="20"/>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(69,002)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(34,040)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(2,158)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(6,826)</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00" w:type="dxa"/>
            <w:vAlign w:val="bottom"/>
            <w:gridSpan w:val="2"/>
          </w:tcPr>
          <w:p>
            <w:pPr>
              <w:jc w:val="right"/>
              <w:ind w:right="221"/>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37</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conversion of convertible notes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tcPr>
          <w:p>
            <w:pPr>
              <w:spacing w:after="0"/>
              <w:rPr>
                <w:sz w:val="18"/>
                <w:szCs w:val="18"/>
                <w:color w:val="auto"/>
              </w:rPr>
            </w:pPr>
          </w:p>
        </w:tc>
        <w:tc>
          <w:tcPr>
            <w:tcW w:w="110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(71,869</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(40,837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00" w:type="dxa"/>
            <w:vAlign w:val="bottom"/>
          </w:tcPr>
          <w:p>
            <w:pPr>
              <w:spacing w:after="0"/>
              <w:rPr>
                <w:sz w:val="20"/>
                <w:szCs w:val="20"/>
                <w:color w:val="auto"/>
              </w:rPr>
            </w:pPr>
          </w:p>
        </w:tc>
        <w:tc>
          <w:tcPr>
            <w:tcW w:w="1100" w:type="dxa"/>
            <w:vAlign w:val="bottom"/>
            <w:gridSpan w:val="2"/>
          </w:tcPr>
          <w:p>
            <w:pPr>
              <w:jc w:val="right"/>
              <w:ind w:right="221"/>
              <w:spacing w:after="0"/>
              <w:rPr>
                <w:sz w:val="20"/>
                <w:szCs w:val="20"/>
                <w:color w:val="auto"/>
              </w:rPr>
            </w:pPr>
            <w:r>
              <w:rPr>
                <w:rFonts w:ascii="Arial" w:cs="Arial" w:eastAsia="Arial" w:hAnsi="Arial"/>
                <w:sz w:val="18"/>
                <w:szCs w:val="18"/>
                <w:color w:val="auto"/>
                <w:w w:val="86"/>
              </w:rPr>
              <w:t>40,362,303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15,115,129</w:t>
            </w:r>
          </w:p>
        </w:tc>
      </w:tr>
    </w:tbl>
    <w:p>
      <w:pPr>
        <w:sectPr>
          <w:pgSz w:w="11900" w:h="16838" w:orient="portrait"/>
          <w:cols w:equalWidth="0" w:num="1">
            <w:col w:w="11020"/>
          </w:cols>
          <w:pgMar w:left="440" w:top="1440" w:right="4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62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10629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196"/>
        </w:trPr>
        <w:tc>
          <w:tcPr>
            <w:tcW w:w="9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136,627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4,503</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w:t>
            </w:r>
          </w:p>
        </w:tc>
      </w:tr>
      <w:tr>
        <w:trPr>
          <w:trHeight w:val="223"/>
        </w:trPr>
        <w:tc>
          <w:tcPr>
            <w:tcW w:w="94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140,100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120" w:type="dxa"/>
            <w:vAlign w:val="bottom"/>
          </w:tcPr>
          <w:p>
            <w:pPr>
              <w:spacing w:after="0"/>
              <w:rPr>
                <w:sz w:val="19"/>
                <w:szCs w:val="19"/>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3,254</w:t>
            </w:r>
          </w:p>
        </w:tc>
      </w:tr>
      <w:tr>
        <w:trPr>
          <w:trHeight w:val="223"/>
        </w:trPr>
        <w:tc>
          <w:tcPr>
            <w:tcW w:w="94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140,437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14,834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24,876</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5,304</w:t>
            </w:r>
          </w:p>
        </w:tc>
      </w:tr>
      <w:tr>
        <w:trPr>
          <w:trHeight w:val="230"/>
        </w:trPr>
        <w:tc>
          <w:tcPr>
            <w:tcW w:w="94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30,180</w:t>
            </w:r>
          </w:p>
        </w:tc>
        <w:tc>
          <w:tcPr>
            <w:tcW w:w="120" w:type="dxa"/>
            <w:vAlign w:val="bottom"/>
          </w:tcPr>
          <w:p>
            <w:pPr>
              <w:spacing w:after="0"/>
              <w:rPr>
                <w:sz w:val="20"/>
                <w:szCs w:val="20"/>
                <w:color w:val="auto"/>
              </w:rPr>
            </w:pPr>
          </w:p>
        </w:tc>
      </w:tr>
      <w:tr>
        <w:trPr>
          <w:trHeight w:val="216"/>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 (deficit)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124,841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(21,861)</w:t>
            </w:r>
          </w:p>
        </w:tc>
      </w:tr>
      <w:tr>
        <w:trPr>
          <w:trHeight w:val="223"/>
        </w:trPr>
        <w:tc>
          <w:tcPr>
            <w:tcW w:w="9400" w:type="dxa"/>
            <w:vAlign w:val="bottom"/>
          </w:tcPr>
          <w:p>
            <w:pPr>
              <w:spacing w:after="0"/>
              <w:rPr>
                <w:sz w:val="20"/>
                <w:szCs w:val="20"/>
                <w:color w:val="auto"/>
              </w:rPr>
            </w:pPr>
            <w:r>
              <w:rPr>
                <w:rFonts w:ascii="Arial" w:cs="Arial" w:eastAsia="Arial" w:hAnsi="Arial"/>
                <w:sz w:val="18"/>
                <w:szCs w:val="18"/>
                <w:color w:val="auto"/>
              </w:rPr>
              <w:t>Total liabilities and stockholders’ equity (deficit)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140,437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Brian Piekos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(617) 401-4400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IR@geminitherapeutics.com</w:t>
      </w:r>
    </w:p>
    <w:sectPr>
      <w:pgSz w:w="11900" w:h="16838" w:orient="portrait"/>
      <w:cols w:equalWidth="0" w:num="1">
        <w:col w:w="11020"/>
      </w:cols>
      <w:pgMar w:left="44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2022-03-10T06:07:07Z</dcterms:created>
  <dcterms:modified xsi:type="dcterms:W3CDTF">2022-03-10T06:07:07Z</dcterms:modified>
</cp:coreProperties>
</file>