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95299d424b5.htm"/>
        <w:bookmarkStart w:id="1" w:name="ksd495299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333-269272 </w:t>
      </w:r>
    </w:p>
    <w:p>
      <w:pPr>
        <w:pStyle w:val="TextBody"/>
        <w:bidi w:val="0"/>
        <w:spacing w:before="0" w:after="0"/>
        <w:jc w:val="left"/>
        <w:rPr/>
      </w:pPr>
      <w:r>
        <w:rPr/>
        <w:t> </w:t>
      </w:r>
    </w:p>
    <w:p>
      <w:pPr>
        <w:pStyle w:val="TextBody"/>
        <w:bidi w:val="0"/>
        <w:spacing w:before="0" w:after="0"/>
        <w:jc w:val="both"/>
        <w:rPr>
          <w:rFonts w:ascii="Arial Narrow" w:hAnsi="Arial Narrow"/>
          <w:b/>
          <w:color w:val="DE1A1E"/>
          <w:sz w:val="17"/>
        </w:rPr>
      </w:pPr>
      <w:r>
        <w:rPr>
          <w:rFonts w:ascii="Arial Narrow" w:hAnsi="Arial Narrow"/>
          <w:b/>
          <w:color w:val="DE1A1E"/>
          <w:sz w:val="17"/>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left"/>
        <w:rPr>
          <w:rFonts w:ascii="Times New Roman" w:hAnsi="Times New Roman"/>
          <w:i/>
          <w:color w:val="DE1A1E"/>
          <w:sz w:val="22"/>
        </w:rPr>
      </w:pPr>
      <w:r>
        <w:rPr>
          <w:rFonts w:ascii="Times New Roman" w:hAnsi="Times New Roman"/>
          <w:i/>
          <w:color w:val="DE1A1E"/>
          <w:sz w:val="22"/>
        </w:rPr>
        <w:t xml:space="preserve">SUBJECT TO COMPLETION, DATED JUNE 12, 2023 </w:t>
      </w:r>
    </w:p>
    <w:p>
      <w:pPr>
        <w:pStyle w:val="TextBody"/>
        <w:bidi w:val="0"/>
        <w:spacing w:before="120" w:after="0"/>
        <w:jc w:val="left"/>
        <w:rPr>
          <w:rFonts w:ascii="Times New Roman" w:hAnsi="Times New Roman"/>
          <w:i/>
          <w:sz w:val="22"/>
        </w:rPr>
      </w:pPr>
      <w:r>
        <w:rPr>
          <w:rFonts w:ascii="Times New Roman" w:hAnsi="Times New Roman"/>
          <w:i/>
          <w:sz w:val="22"/>
        </w:rPr>
        <w:t xml:space="preserve">PROSPECTUS SUPPLEMENT </w:t>
      </w:r>
    </w:p>
    <w:p>
      <w:pPr>
        <w:pStyle w:val="TextBody"/>
        <w:bidi w:val="0"/>
        <w:spacing w:before="0" w:after="0"/>
        <w:jc w:val="left"/>
        <w:rPr>
          <w:rFonts w:ascii="Times New Roman" w:hAnsi="Times New Roman"/>
          <w:i/>
          <w:sz w:val="22"/>
        </w:rPr>
      </w:pPr>
      <w:r>
        <w:rPr>
          <w:rFonts w:ascii="Times New Roman" w:hAnsi="Times New Roman"/>
          <w:i/>
          <w:sz w:val="22"/>
        </w:rPr>
        <w:t xml:space="preserve">(To prospectus dated January 24, 2023) </w:t>
      </w:r>
    </w:p>
    <w:p>
      <w:pPr>
        <w:pStyle w:val="TextBody"/>
        <w:bidi w:val="0"/>
        <w:spacing w:before="120" w:after="0"/>
        <w:jc w:val="center"/>
        <w:rPr>
          <w:rFonts w:ascii="Times New Roman" w:hAnsi="Times New Roman"/>
          <w:i/>
          <w:sz w:val="34"/>
        </w:rPr>
      </w:pPr>
      <w:r>
        <w:rPr>
          <w:rFonts w:ascii="Times New Roman" w:hAnsi="Times New Roman"/>
          <w:i/>
          <w:sz w:val="34"/>
        </w:rPr>
        <w:t xml:space="preserve">$100,000,000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290" cy="66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5290" cy="6604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2"/>
        </w:rPr>
      </w:pPr>
      <w:r>
        <w:rPr>
          <w:rFonts w:ascii="Times New Roman" w:hAnsi="Times New Roman"/>
          <w:i/>
          <w:sz w:val="22"/>
        </w:rPr>
        <w:t xml:space="preserve">Shares of Common Stock </w:t>
      </w:r>
    </w:p>
    <w:p>
      <w:pPr>
        <w:pStyle w:val="TextBody"/>
        <w:bidi w:val="0"/>
        <w:spacing w:before="0" w:after="0"/>
        <w:jc w:val="center"/>
        <w:rPr>
          <w:rFonts w:ascii="Times New Roman" w:hAnsi="Times New Roman"/>
          <w:i/>
          <w:sz w:val="22"/>
        </w:rPr>
      </w:pPr>
      <w:r>
        <w:rPr>
          <w:rFonts w:ascii="Times New Roman" w:hAnsi="Times New Roman"/>
          <w:i/>
          <w:sz w:val="22"/>
        </w:rPr>
        <w:t xml:space="preserve">Pre-Funded Warrants to Purchase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Bodoni MT" w:hAnsi="Bodoni MT"/>
          <w:b/>
          <w:i/>
          <w:sz w:val="18"/>
        </w:rPr>
      </w:pPr>
      <w:r>
        <w:rPr>
          <w:rFonts w:ascii="Bodoni MT" w:hAnsi="Bodoni MT"/>
          <w:b/>
          <w:i/>
          <w:sz w:val="18"/>
        </w:rPr>
        <w:t xml:space="preserve">We are offering                 shares of our common stock and, in lieu of common stock to certain investors that so choose, pre-funded warrants to purchase                 shares of common stock in this offering. Our common stock is listed on the Nasdaq Global Market under the symbol IRON. On June 9, 2023, the closing sale price of our common stock on the Nasdaq Global Market, was $45.69 per share. </w:t>
      </w:r>
    </w:p>
    <w:p>
      <w:pPr>
        <w:pStyle w:val="TextBody"/>
        <w:bidi w:val="0"/>
        <w:spacing w:before="120" w:after="0"/>
        <w:jc w:val="both"/>
        <w:rPr>
          <w:rFonts w:ascii="Bodoni MT" w:hAnsi="Bodoni MT"/>
          <w:b/>
          <w:i/>
          <w:sz w:val="18"/>
        </w:rPr>
      </w:pPr>
      <w:r>
        <w:rPr>
          <w:rFonts w:ascii="Bodoni MT" w:hAnsi="Bodoni MT"/>
          <w:b/>
          <w:i/>
          <w:sz w:val="18"/>
        </w:rPr>
        <w:t xml:space="preserve">The purchase price of each pre-funded warrant will equal the price per share at which shares of our common stock are being sold to the public in this offering, minus $0.0001, which is the exercise price of each pre-funded warrant. The pre-funded warrants do not expire, and each pre-funded warrant will be exercisable at any time after the date of issuance, subject to an ownership limitation and in some cases clearance under the Hart-Scott-Rodino Antitrust Improvements Act of 1976, as amended, or the HSR Act. This prospectus supplement also relates to the offering of the shares of common stock issuable upon exercise of such pre-funded warrants. </w:t>
      </w:r>
    </w:p>
    <w:p>
      <w:pPr>
        <w:pStyle w:val="TextBody"/>
        <w:bidi w:val="0"/>
        <w:spacing w:before="120" w:after="0"/>
        <w:jc w:val="both"/>
        <w:rPr>
          <w:rFonts w:ascii="Bodoni MT" w:hAnsi="Bodoni MT"/>
          <w:b/>
          <w:i/>
          <w:sz w:val="18"/>
        </w:rPr>
      </w:pPr>
      <w:r>
        <w:rPr>
          <w:rFonts w:ascii="Bodoni MT" w:hAnsi="Bodoni MT"/>
          <w:b/>
          <w:i/>
          <w:sz w:val="18"/>
        </w:rPr>
        <w:t xml:space="preserve">There is no established public trading market for the pre-funded warrants, and we do not expect a market to develop. We do not intend to list the pre-funded warrants on the Nasdaq Global Market or any other national securities exchange or nationally recognized trading system. </w:t>
      </w:r>
    </w:p>
    <w:p>
      <w:pPr>
        <w:pStyle w:val="TextBody"/>
        <w:bidi w:val="0"/>
        <w:spacing w:before="120" w:after="0"/>
        <w:jc w:val="both"/>
        <w:rPr>
          <w:rFonts w:ascii="Bodoni MT" w:hAnsi="Bodoni MT"/>
          <w:b/>
          <w:i/>
          <w:sz w:val="18"/>
        </w:rPr>
      </w:pPr>
      <w:r>
        <w:rPr>
          <w:rFonts w:ascii="Bodoni MT" w:hAnsi="Bodoni MT"/>
          <w:b/>
          <w:i/>
          <w:sz w:val="18"/>
        </w:rPr>
        <w:t xml:space="preserve">We are an emerging growth company as that term is used in the Jumpstart Our Business Startups Act of 2012, or the JOBS Act, and a smaller reporting company as defined under Rule 405 of the Securities Act of 1933, as amended, or the Securities Act, and, as such, are subject to certain reduced public company reporting requirements. See Prospectus Supplement SummaryImplications of Being an Emerging Growth Company and a Smaller Reporting Company on page S-4 of this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pPr>
      <w:r>
        <w:rPr>
          <w:rFonts w:ascii="Times New Roman" w:hAnsi="Times New Roman"/>
          <w:b/>
          <w:i/>
          <w:sz w:val="20"/>
        </w:rPr>
        <w:t>Investing in our common stock involves a high degree of risk. Please read </w:t>
      </w:r>
      <w:hyperlink w:anchor="srom495299_4">
        <w:r>
          <w:rPr>
            <w:rStyle w:val="InternetLink"/>
            <w:rFonts w:ascii="Times New Roman" w:hAnsi="Times New Roman"/>
            <w:b/>
            <w:i/>
            <w:sz w:val="20"/>
          </w:rPr>
          <w:t>Risk Factors</w:t>
        </w:r>
      </w:hyperlink>
      <w:r>
        <w:rPr>
          <w:rFonts w:ascii="Times New Roman" w:hAnsi="Times New Roman"/>
          <w:b/>
          <w:i/>
          <w:sz w:val="20"/>
        </w:rPr>
        <w:t xml:space="preserve"> beginning on page S-7 of this prospectus supplement, page 10 in the accompanying prospectus, and under similar headings in the documents that are incorporated by reference into this prospectus supplement concerning factors you should carefully consider before investing in our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3"/>
        <w:gridCol w:w="579"/>
        <w:gridCol w:w="60"/>
        <w:gridCol w:w="1101"/>
        <w:gridCol w:w="60"/>
        <w:gridCol w:w="579"/>
        <w:gridCol w:w="60"/>
        <w:gridCol w:w="1101"/>
        <w:gridCol w:w="60"/>
        <w:gridCol w:w="579"/>
        <w:gridCol w:w="60"/>
        <w:gridCol w:w="1101"/>
        <w:gridCol w:w="62"/>
      </w:tblGrid>
      <w:tr>
        <w:trPr/>
        <w:tc>
          <w:tcPr>
            <w:tcW w:w="480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80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w:t>
              <w:br/>
              <w:t>Share</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w:t>
              <w:br/>
              <w:t>Pre-Funded</w:t>
              <w:br/>
              <w:t>Warrant</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Total</w:t>
            </w:r>
          </w:p>
        </w:tc>
        <w:tc>
          <w:tcPr>
            <w:tcW w:w="62" w:type="dxa"/>
            <w:tcBorders/>
            <w:vAlign w:val="bottom"/>
          </w:tcPr>
          <w:p>
            <w:pPr>
              <w:pStyle w:val="TableContents"/>
              <w:bidi w:val="0"/>
              <w:spacing w:before="0" w:after="283"/>
              <w:jc w:val="left"/>
              <w:rPr/>
            </w:pPr>
            <w:r>
              <w:rPr/>
              <w:t> </w:t>
            </w:r>
          </w:p>
        </w:tc>
      </w:tr>
      <w:tr>
        <w:trPr/>
        <w:tc>
          <w:tcPr>
            <w:tcW w:w="4803" w:type="dxa"/>
            <w:tcBorders/>
          </w:tcPr>
          <w:p>
            <w:pPr>
              <w:pStyle w:val="TableContents"/>
              <w:bidi w:val="0"/>
              <w:spacing w:before="0" w:after="0"/>
              <w:jc w:val="left"/>
              <w:rPr>
                <w:rFonts w:ascii="Times New Roman" w:hAnsi="Times New Roman"/>
                <w:i/>
                <w:sz w:val="18"/>
              </w:rPr>
            </w:pPr>
            <w:r>
              <w:rPr>
                <w:rFonts w:ascii="Times New Roman" w:hAnsi="Times New Roman"/>
                <w:i/>
                <w:sz w:val="18"/>
              </w:rPr>
              <w:t>Public offering price</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2" w:type="dxa"/>
            <w:tcBorders/>
            <w:vAlign w:val="bottom"/>
          </w:tcPr>
          <w:p>
            <w:pPr>
              <w:pStyle w:val="TableContents"/>
              <w:bidi w:val="0"/>
              <w:spacing w:before="0" w:after="283"/>
              <w:jc w:val="left"/>
              <w:rPr/>
            </w:pPr>
            <w:r>
              <w:rPr/>
              <w:t> </w:t>
            </w:r>
          </w:p>
        </w:tc>
      </w:tr>
      <w:tr>
        <w:trPr/>
        <w:tc>
          <w:tcPr>
            <w:tcW w:w="4803" w:type="dxa"/>
            <w:tcBorders/>
          </w:tcPr>
          <w:p>
            <w:pPr>
              <w:pStyle w:val="TableContents"/>
              <w:bidi w:val="0"/>
              <w:spacing w:before="0" w:after="0"/>
              <w:jc w:val="left"/>
              <w:rPr>
                <w:rFonts w:ascii="Times New Roman" w:hAnsi="Times New Roman"/>
                <w:i/>
                <w:sz w:val="18"/>
              </w:rPr>
            </w:pPr>
            <w:r>
              <w:rPr>
                <w:rFonts w:ascii="Times New Roman" w:hAnsi="Times New Roman"/>
                <w:i/>
                <w:sz w:val="18"/>
              </w:rPr>
              <w:t>Underwriting discounts and commissions (1)</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2" w:type="dxa"/>
            <w:tcBorders/>
            <w:vAlign w:val="bottom"/>
          </w:tcPr>
          <w:p>
            <w:pPr>
              <w:pStyle w:val="TableContents"/>
              <w:bidi w:val="0"/>
              <w:spacing w:before="0" w:after="283"/>
              <w:jc w:val="left"/>
              <w:rPr/>
            </w:pPr>
            <w:r>
              <w:rPr/>
              <w:t> </w:t>
            </w:r>
          </w:p>
        </w:tc>
      </w:tr>
      <w:tr>
        <w:trPr/>
        <w:tc>
          <w:tcPr>
            <w:tcW w:w="4803" w:type="dxa"/>
            <w:tcBorders/>
          </w:tcPr>
          <w:p>
            <w:pPr>
              <w:pStyle w:val="TableContents"/>
              <w:bidi w:val="0"/>
              <w:spacing w:before="0" w:after="0"/>
              <w:jc w:val="left"/>
              <w:rPr>
                <w:rFonts w:ascii="Times New Roman" w:hAnsi="Times New Roman"/>
                <w:i/>
                <w:sz w:val="18"/>
              </w:rPr>
            </w:pPr>
            <w:r>
              <w:rPr>
                <w:rFonts w:ascii="Times New Roman" w:hAnsi="Times New Roman"/>
                <w:i/>
                <w:sz w:val="18"/>
              </w:rPr>
              <w:t>Proceeds, before expenses, to us</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i/>
              </w:rPr>
            </w:pPr>
            <w:r>
              <w:rPr>
                <w:i/>
              </w:rPr>
              <w:t>$                </w:t>
            </w:r>
          </w:p>
        </w:tc>
        <w:tc>
          <w:tcPr>
            <w:tcW w:w="6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both"/>
              <w:rPr>
                <w:rFonts w:ascii="Times New Roman" w:hAnsi="Times New Roman"/>
                <w:i/>
                <w:sz w:val="18"/>
              </w:rPr>
            </w:pPr>
            <w:r>
              <w:rPr>
                <w:rFonts w:ascii="Times New Roman" w:hAnsi="Times New Roman"/>
                <w:i/>
                <w:sz w:val="18"/>
              </w:rPr>
              <w:t xml:space="preserve">See the section titled Underwriters beginning on page S-25 for a description of the compensation payable to the underwriters. </w:t>
            </w:r>
          </w:p>
        </w:tc>
      </w:tr>
    </w:tbl>
    <w:p>
      <w:pPr>
        <w:pStyle w:val="TextBody"/>
        <w:bidi w:val="0"/>
        <w:spacing w:before="120" w:after="0"/>
        <w:jc w:val="both"/>
        <w:rPr>
          <w:rFonts w:ascii="Times New Roman" w:hAnsi="Times New Roman"/>
          <w:i/>
          <w:sz w:val="18"/>
        </w:rPr>
      </w:pPr>
      <w:r>
        <w:rPr>
          <w:rFonts w:ascii="Times New Roman" w:hAnsi="Times New Roman"/>
          <w:i/>
          <w:sz w:val="18"/>
        </w:rPr>
        <w:t xml:space="preserve">We have granted the underwriters an option for a period of 30 days to purchase up to an additional $15 million of shares of our common stock at the public offering price, less the underwriting discounts and commissions. </w:t>
      </w:r>
    </w:p>
    <w:p>
      <w:pPr>
        <w:pStyle w:val="TextBody"/>
        <w:bidi w:val="0"/>
        <w:spacing w:before="120" w:after="0"/>
        <w:jc w:val="both"/>
        <w:rPr>
          <w:rFonts w:ascii="Times New Roman" w:hAnsi="Times New Roman"/>
          <w:i/>
          <w:sz w:val="18"/>
        </w:rPr>
      </w:pPr>
      <w:r>
        <w:rPr>
          <w:rFonts w:ascii="Times New Roman" w:hAnsi="Times New Roman"/>
          <w:i/>
          <w:sz w:val="18"/>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20" w:after="0"/>
        <w:jc w:val="both"/>
        <w:rPr>
          <w:rFonts w:ascii="Times New Roman" w:hAnsi="Times New Roman"/>
          <w:i/>
          <w:sz w:val="18"/>
        </w:rPr>
      </w:pPr>
      <w:r>
        <w:rPr>
          <w:rFonts w:ascii="Times New Roman" w:hAnsi="Times New Roman"/>
          <w:i/>
          <w:sz w:val="18"/>
        </w:rPr>
        <w:t xml:space="preserve">The underwriters expect to deliver the shares of common stock and the pre-funded warrants against payment therefor on or about                ,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i/>
          <w:sz w:val="18"/>
        </w:rPr>
      </w:pPr>
      <w:r>
        <w:rPr>
          <w:rFonts w:ascii="Times New Roman" w:hAnsi="Times New Roman"/>
          <w:i/>
          <w:sz w:val="18"/>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2"/>
        <w:gridCol w:w="2857"/>
        <w:gridCol w:w="102"/>
        <w:gridCol w:w="1531"/>
        <w:gridCol w:w="101"/>
        <w:gridCol w:w="3165"/>
      </w:tblGrid>
      <w:tr>
        <w:trPr/>
        <w:tc>
          <w:tcPr>
            <w:tcW w:w="234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i/>
              </w:rPr>
            </w:pPr>
            <w:r>
              <w:rPr>
                <w:i/>
              </w:rPr>
              <w:t>Morgan Stanley</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center"/>
              <w:rPr>
                <w:i/>
              </w:rPr>
            </w:pPr>
            <w:r>
              <w:rPr>
                <w:i/>
              </w:rPr>
              <w:t>SVB Securities</w:t>
            </w:r>
          </w:p>
        </w:tc>
        <w:tc>
          <w:tcPr>
            <w:tcW w:w="102"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i/>
              </w:rPr>
            </w:pPr>
            <w:r>
              <w:rPr>
                <w:i/>
              </w:rPr>
              <w:t>Stifel</w:t>
            </w:r>
          </w:p>
        </w:tc>
        <w:tc>
          <w:tcPr>
            <w:tcW w:w="101" w:type="dxa"/>
            <w:tcBorders/>
            <w:vAlign w:val="bottom"/>
          </w:tcPr>
          <w:p>
            <w:pPr>
              <w:pStyle w:val="TableContents"/>
              <w:bidi w:val="0"/>
              <w:spacing w:before="0" w:after="283"/>
              <w:jc w:val="left"/>
              <w:rPr/>
            </w:pPr>
            <w:r>
              <w:rPr/>
              <w:t> </w:t>
            </w:r>
          </w:p>
        </w:tc>
        <w:tc>
          <w:tcPr>
            <w:tcW w:w="3165" w:type="dxa"/>
            <w:tcBorders/>
            <w:vAlign w:val="bottom"/>
          </w:tcPr>
          <w:p>
            <w:pPr>
              <w:pStyle w:val="TableContents"/>
              <w:bidi w:val="0"/>
              <w:spacing w:before="0" w:after="283"/>
              <w:jc w:val="right"/>
              <w:rPr>
                <w:i/>
              </w:rPr>
            </w:pPr>
            <w:r>
              <w:rPr>
                <w:i/>
              </w:rPr>
              <w:t>BMO Capital Markets</w:t>
            </w:r>
          </w:p>
        </w:tc>
      </w:tr>
    </w:tbl>
    <w:p>
      <w:pPr>
        <w:pStyle w:val="TextBody"/>
        <w:bidi w:val="0"/>
        <w:spacing w:before="120" w:after="0"/>
        <w:jc w:val="center"/>
        <w:rPr>
          <w:rFonts w:ascii="Times New Roman" w:hAnsi="Times New Roman"/>
          <w:i/>
          <w:sz w:val="18"/>
        </w:rPr>
      </w:pPr>
      <w:r>
        <w:rPr>
          <w:rFonts w:ascii="Times New Roman" w:hAnsi="Times New Roman"/>
          <w:i/>
          <w:sz w:val="18"/>
        </w:rPr>
        <w:t xml:space="preserve">Lead Manager </w:t>
      </w:r>
    </w:p>
    <w:p>
      <w:pPr>
        <w:pStyle w:val="TextBody"/>
        <w:bidi w:val="0"/>
        <w:spacing w:before="120" w:after="0"/>
        <w:jc w:val="center"/>
        <w:rPr>
          <w:rFonts w:ascii="Times New Roman" w:hAnsi="Times New Roman"/>
          <w:i/>
          <w:sz w:val="22"/>
        </w:rPr>
      </w:pPr>
      <w:r>
        <w:rPr>
          <w:rFonts w:ascii="Times New Roman" w:hAnsi="Times New Roman"/>
          <w:i/>
          <w:sz w:val="22"/>
        </w:rPr>
        <w:t xml:space="preserve">Wedbush PacGrow </w:t>
      </w:r>
    </w:p>
    <w:p>
      <w:pPr>
        <w:pStyle w:val="TextBody"/>
        <w:bidi w:val="0"/>
        <w:spacing w:before="120" w:after="0"/>
        <w:jc w:val="both"/>
        <w:rPr/>
      </w:pPr>
      <w:r>
        <w:rPr/>
        <w:t>                </w:t>
      </w:r>
      <w:r>
        <w:rPr>
          <w:rFonts w:ascii="Times New Roman" w:hAnsi="Times New Roman"/>
          <w:i/>
          <w:sz w:val="18"/>
        </w:rPr>
        <w:t xml:space="preserve">,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606298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606298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15"/>
                              <w:gridCol w:w="295"/>
                              <w:gridCol w:w="29"/>
                              <w:gridCol w:w="229"/>
                              <w:gridCol w:w="30"/>
                            </w:tblGrid>
                            <w:tr>
                              <w:trPr/>
                              <w:tc>
                                <w:tcPr>
                                  <w:tcW w:w="431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1">
                                    <w:r>
                                      <w:rPr>
                                        <w:rStyle w:val="InternetLink"/>
                                        <w:rFonts w:ascii="Times New Roman" w:hAnsi="Times New Roman"/>
                                        <w:sz w:val="20"/>
                                      </w:rPr>
                                      <w:t>About this Prospectus Supplement</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S-ii</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2">
                                    <w:r>
                                      <w:rPr>
                                        <w:rStyle w:val="InternetLink"/>
                                        <w:rFonts w:ascii="Times New Roman" w:hAnsi="Times New Roman"/>
                                        <w:sz w:val="20"/>
                                      </w:rPr>
                                      <w:t>Cautionary Statement Regarding Forward-Looking Statements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S-iv</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3">
                                    <w:r>
                                      <w:rPr>
                                        <w:rStyle w:val="InternetLink"/>
                                        <w:rFonts w:ascii="Times New Roman" w:hAnsi="Times New Roman"/>
                                        <w:sz w:val="20"/>
                                      </w:rPr>
                                      <w:t>Prospectus Supplement Summary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4">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5">
                                    <w:r>
                                      <w:rPr>
                                        <w:rStyle w:val="InternetLink"/>
                                        <w:rFonts w:ascii="Times New Roman" w:hAnsi="Times New Roman"/>
                                        <w:sz w:val="20"/>
                                      </w:rPr>
                                      <w:t>Dividend Policy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S-12</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6">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S-13</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7">
                                    <w:r>
                                      <w:rPr>
                                        <w:rStyle w:val="InternetLink"/>
                                        <w:rFonts w:ascii="Times New Roman" w:hAnsi="Times New Roman"/>
                                        <w:sz w:val="20"/>
                                      </w:rPr>
                                      <w:t>Dilution</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S-14</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8">
                                    <w:r>
                                      <w:rPr>
                                        <w:rStyle w:val="InternetLink"/>
                                        <w:rFonts w:ascii="Times New Roman" w:hAnsi="Times New Roman"/>
                                        <w:sz w:val="20"/>
                                      </w:rPr>
                                      <w:t xml:space="preserve">Description of Pre-funded Warrants </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7.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15"/>
                        <w:gridCol w:w="295"/>
                        <w:gridCol w:w="29"/>
                        <w:gridCol w:w="229"/>
                        <w:gridCol w:w="30"/>
                      </w:tblGrid>
                      <w:tr>
                        <w:trPr/>
                        <w:tc>
                          <w:tcPr>
                            <w:tcW w:w="431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1">
                              <w:r>
                                <w:rPr>
                                  <w:rStyle w:val="InternetLink"/>
                                  <w:rFonts w:ascii="Times New Roman" w:hAnsi="Times New Roman"/>
                                  <w:sz w:val="20"/>
                                </w:rPr>
                                <w:t>About this Prospectus Supplement</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S-ii</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2">
                              <w:r>
                                <w:rPr>
                                  <w:rStyle w:val="InternetLink"/>
                                  <w:rFonts w:ascii="Times New Roman" w:hAnsi="Times New Roman"/>
                                  <w:sz w:val="20"/>
                                </w:rPr>
                                <w:t>Cautionary Statement Regarding Forward-Looking Statements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S-iv</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3">
                              <w:r>
                                <w:rPr>
                                  <w:rStyle w:val="InternetLink"/>
                                  <w:rFonts w:ascii="Times New Roman" w:hAnsi="Times New Roman"/>
                                  <w:sz w:val="20"/>
                                </w:rPr>
                                <w:t>Prospectus Supplement Summary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4">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5">
                              <w:r>
                                <w:rPr>
                                  <w:rStyle w:val="InternetLink"/>
                                  <w:rFonts w:ascii="Times New Roman" w:hAnsi="Times New Roman"/>
                                  <w:sz w:val="20"/>
                                </w:rPr>
                                <w:t>Dividend Policy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S-12</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6">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S-13</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7">
                              <w:r>
                                <w:rPr>
                                  <w:rStyle w:val="InternetLink"/>
                                  <w:rFonts w:ascii="Times New Roman" w:hAnsi="Times New Roman"/>
                                  <w:sz w:val="20"/>
                                </w:rPr>
                                <w:t>Dilution</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S-14</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8">
                              <w:r>
                                <w:rPr>
                                  <w:rStyle w:val="InternetLink"/>
                                  <w:rFonts w:ascii="Times New Roman" w:hAnsi="Times New Roman"/>
                                  <w:sz w:val="20"/>
                                </w:rPr>
                                <w:t xml:space="preserve">Description of Pre-funded Warrants </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5353050"/>
                <wp:effectExtent l="0" t="0" r="0" b="0"/>
                <wp:wrapSquare wrapText="right"/>
                <wp:docPr id="3" name="Frame2"/>
                <a:graphic xmlns:a="http://schemas.openxmlformats.org/drawingml/2006/main">
                  <a:graphicData uri="http://schemas.microsoft.com/office/word/2010/wordprocessingShape">
                    <wps:wsp>
                      <wps:cNvSpPr txBox="1"/>
                      <wps:spPr>
                        <a:xfrm>
                          <a:off x="0" y="0"/>
                          <a:ext cx="3175000" cy="535305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05"/>
                              <w:gridCol w:w="302"/>
                              <w:gridCol w:w="30"/>
                              <w:gridCol w:w="232"/>
                              <w:gridCol w:w="31"/>
                            </w:tblGrid>
                            <w:tr>
                              <w:trPr/>
                              <w:tc>
                                <w:tcPr>
                                  <w:tcW w:w="440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9">
                                    <w:r>
                                      <w:rPr>
                                        <w:rStyle w:val="InternetLink"/>
                                        <w:rFonts w:ascii="Times New Roman" w:hAnsi="Times New Roman"/>
                                        <w:sz w:val="20"/>
                                      </w:rPr>
                                      <w:t>Material U.S. Federal Income Tax Consequences for Investors in Common Stock and Pre-funded Warrants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S-19</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0">
                                    <w:r>
                                      <w:rPr>
                                        <w:rStyle w:val="InternetLink"/>
                                        <w:rFonts w:ascii="Times New Roman" w:hAnsi="Times New Roman"/>
                                        <w:sz w:val="20"/>
                                      </w:rPr>
                                      <w:t>Underwriters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S-25</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1">
                                    <w:r>
                                      <w:rPr>
                                        <w:rStyle w:val="InternetLink"/>
                                        <w:rFonts w:ascii="Times New Roman" w:hAnsi="Times New Roman"/>
                                        <w:sz w:val="20"/>
                                      </w:rPr>
                                      <w:t>Legal Matters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S-36</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2">
                                    <w:r>
                                      <w:rPr>
                                        <w:rStyle w:val="InternetLink"/>
                                        <w:rFonts w:ascii="Times New Roman" w:hAnsi="Times New Roman"/>
                                        <w:sz w:val="20"/>
                                      </w:rPr>
                                      <w:t>Experts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S-37</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3">
                                    <w:r>
                                      <w:rPr>
                                        <w:rStyle w:val="InternetLink"/>
                                        <w:rFonts w:ascii="Times New Roman" w:hAnsi="Times New Roman"/>
                                        <w:sz w:val="20"/>
                                      </w:rPr>
                                      <w:t>Where You can Find More Information</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S-38</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4">
                                    <w:r>
                                      <w:rPr>
                                        <w:rStyle w:val="InternetLink"/>
                                        <w:rFonts w:ascii="Times New Roman" w:hAnsi="Times New Roman"/>
                                        <w:sz w:val="20"/>
                                      </w:rPr>
                                      <w:t>Incorporation of Certain Information by Reference</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S-39</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1.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05"/>
                        <w:gridCol w:w="302"/>
                        <w:gridCol w:w="30"/>
                        <w:gridCol w:w="232"/>
                        <w:gridCol w:w="31"/>
                      </w:tblGrid>
                      <w:tr>
                        <w:trPr/>
                        <w:tc>
                          <w:tcPr>
                            <w:tcW w:w="440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9">
                              <w:r>
                                <w:rPr>
                                  <w:rStyle w:val="InternetLink"/>
                                  <w:rFonts w:ascii="Times New Roman" w:hAnsi="Times New Roman"/>
                                  <w:sz w:val="20"/>
                                </w:rPr>
                                <w:t>Material U.S. Federal Income Tax Consequences for Investors in Common Stock and Pre-funded Warrants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S-19</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0">
                              <w:r>
                                <w:rPr>
                                  <w:rStyle w:val="InternetLink"/>
                                  <w:rFonts w:ascii="Times New Roman" w:hAnsi="Times New Roman"/>
                                  <w:sz w:val="20"/>
                                </w:rPr>
                                <w:t>Underwriters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S-25</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1">
                              <w:r>
                                <w:rPr>
                                  <w:rStyle w:val="InternetLink"/>
                                  <w:rFonts w:ascii="Times New Roman" w:hAnsi="Times New Roman"/>
                                  <w:sz w:val="20"/>
                                </w:rPr>
                                <w:t>Legal Matters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S-36</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2">
                              <w:r>
                                <w:rPr>
                                  <w:rStyle w:val="InternetLink"/>
                                  <w:rFonts w:ascii="Times New Roman" w:hAnsi="Times New Roman"/>
                                  <w:sz w:val="20"/>
                                </w:rPr>
                                <w:t>Experts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S-37</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3">
                              <w:r>
                                <w:rPr>
                                  <w:rStyle w:val="InternetLink"/>
                                  <w:rFonts w:ascii="Times New Roman" w:hAnsi="Times New Roman"/>
                                  <w:sz w:val="20"/>
                                </w:rPr>
                                <w:t>Where You can Find More Information</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S-38</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4">
                              <w:r>
                                <w:rPr>
                                  <w:rStyle w:val="InternetLink"/>
                                  <w:rFonts w:ascii="Times New Roman" w:hAnsi="Times New Roman"/>
                                  <w:sz w:val="20"/>
                                </w:rPr>
                                <w:t>Incorporation of Certain Information by Reference</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S-39</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4485640"/>
                <wp:effectExtent l="0" t="0" r="0" b="0"/>
                <wp:wrapSquare wrapText="right"/>
                <wp:docPr id="4" name="Frame3"/>
                <a:graphic xmlns:a="http://schemas.openxmlformats.org/drawingml/2006/main">
                  <a:graphicData uri="http://schemas.microsoft.com/office/word/2010/wordprocessingShape">
                    <wps:wsp>
                      <wps:cNvSpPr txBox="1"/>
                      <wps:spPr>
                        <a:xfrm>
                          <a:off x="0" y="0"/>
                          <a:ext cx="3110230" cy="44856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23"/>
                              <w:gridCol w:w="295"/>
                              <w:gridCol w:w="46"/>
                              <w:gridCol w:w="204"/>
                              <w:gridCol w:w="30"/>
                            </w:tblGrid>
                            <w:tr>
                              <w:trPr/>
                              <w:tc>
                                <w:tcPr>
                                  <w:tcW w:w="4323"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2">
                                    <w:r>
                                      <w:rPr>
                                        <w:rStyle w:val="InternetLink"/>
                                        <w:rFonts w:ascii="Times New Roman" w:hAnsi="Times New Roman"/>
                                        <w:sz w:val="20"/>
                                      </w:rPr>
                                      <w:t>Where You can Find More Information</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3">
                                    <w:r>
                                      <w:rPr>
                                        <w:rStyle w:val="InternetLink"/>
                                        <w:rFonts w:ascii="Times New Roman" w:hAnsi="Times New Roman"/>
                                        <w:sz w:val="20"/>
                                      </w:rPr>
                                      <w:t>Incorporation of Certain Information by Reference</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4">
                                    <w:r>
                                      <w:rPr>
                                        <w:rStyle w:val="InternetLink"/>
                                        <w:rFonts w:ascii="Times New Roman" w:hAnsi="Times New Roman"/>
                                        <w:sz w:val="20"/>
                                      </w:rPr>
                                      <w:t>Special Note Regarding 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5">
                                    <w:r>
                                      <w:rPr>
                                        <w:rStyle w:val="InternetLink"/>
                                        <w:rFonts w:ascii="Times New Roman" w:hAnsi="Times New Roman"/>
                                        <w:sz w:val="20"/>
                                      </w:rPr>
                                      <w:t>About the Company</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6">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7">
                                    <w:r>
                                      <w:rPr>
                                        <w:rStyle w:val="InternetLink"/>
                                        <w:rFonts w:ascii="Times New Roman" w:hAnsi="Times New Roman"/>
                                        <w:sz w:val="20"/>
                                      </w:rPr>
                                      <w:t>Selected Financial Data</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8">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14</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3.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23"/>
                        <w:gridCol w:w="295"/>
                        <w:gridCol w:w="46"/>
                        <w:gridCol w:w="204"/>
                        <w:gridCol w:w="30"/>
                      </w:tblGrid>
                      <w:tr>
                        <w:trPr/>
                        <w:tc>
                          <w:tcPr>
                            <w:tcW w:w="4323"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2">
                              <w:r>
                                <w:rPr>
                                  <w:rStyle w:val="InternetLink"/>
                                  <w:rFonts w:ascii="Times New Roman" w:hAnsi="Times New Roman"/>
                                  <w:sz w:val="20"/>
                                </w:rPr>
                                <w:t>Where You can Find More Information</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3">
                              <w:r>
                                <w:rPr>
                                  <w:rStyle w:val="InternetLink"/>
                                  <w:rFonts w:ascii="Times New Roman" w:hAnsi="Times New Roman"/>
                                  <w:sz w:val="20"/>
                                </w:rPr>
                                <w:t>Incorporation of Certain Information by Reference</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4">
                              <w:r>
                                <w:rPr>
                                  <w:rStyle w:val="InternetLink"/>
                                  <w:rFonts w:ascii="Times New Roman" w:hAnsi="Times New Roman"/>
                                  <w:sz w:val="20"/>
                                </w:rPr>
                                <w:t>Special Note Regarding 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5">
                              <w:r>
                                <w:rPr>
                                  <w:rStyle w:val="InternetLink"/>
                                  <w:rFonts w:ascii="Times New Roman" w:hAnsi="Times New Roman"/>
                                  <w:sz w:val="20"/>
                                </w:rPr>
                                <w:t>About the Company</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6">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7">
                              <w:r>
                                <w:rPr>
                                  <w:rStyle w:val="InternetLink"/>
                                  <w:rFonts w:ascii="Times New Roman" w:hAnsi="Times New Roman"/>
                                  <w:sz w:val="20"/>
                                </w:rPr>
                                <w:t>Selected Financial Data</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8">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14</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75000" cy="5892165"/>
                <wp:effectExtent l="0" t="0" r="0" b="0"/>
                <wp:wrapSquare wrapText="right"/>
                <wp:docPr id="5" name="Frame4"/>
                <a:graphic xmlns:a="http://schemas.openxmlformats.org/drawingml/2006/main">
                  <a:graphicData uri="http://schemas.microsoft.com/office/word/2010/wordprocessingShape">
                    <wps:wsp>
                      <wps:cNvSpPr txBox="1"/>
                      <wps:spPr>
                        <a:xfrm>
                          <a:off x="0" y="0"/>
                          <a:ext cx="3175000" cy="589216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10"/>
                              <w:gridCol w:w="305"/>
                              <w:gridCol w:w="47"/>
                              <w:gridCol w:w="207"/>
                              <w:gridCol w:w="31"/>
                            </w:tblGrid>
                            <w:tr>
                              <w:trPr/>
                              <w:tc>
                                <w:tcPr>
                                  <w:tcW w:w="441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1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9">
                                    <w:r>
                                      <w:rPr>
                                        <w:rStyle w:val="InternetLink"/>
                                        <w:rFonts w:ascii="Times New Roman" w:hAnsi="Times New Roman"/>
                                        <w:sz w:val="20"/>
                                      </w:rPr>
                                      <w:t>Dividend Policy</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0">
                                    <w:r>
                                      <w:rPr>
                                        <w:rStyle w:val="InternetLink"/>
                                        <w:rFonts w:ascii="Times New Roman" w:hAnsi="Times New Roman"/>
                                        <w:sz w:val="20"/>
                                      </w:rPr>
                                      <w:t>General Description of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16</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1">
                                    <w:r>
                                      <w:rPr>
                                        <w:rStyle w:val="InternetLink"/>
                                        <w:rFonts w:ascii="Times New Roman" w:hAnsi="Times New Roman"/>
                                        <w:sz w:val="20"/>
                                      </w:rPr>
                                      <w:t>Description of Capital Stock</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17</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2">
                                    <w:r>
                                      <w:rPr>
                                        <w:rStyle w:val="InternetLink"/>
                                        <w:rFonts w:ascii="Times New Roman" w:hAnsi="Times New Roman"/>
                                        <w:sz w:val="20"/>
                                      </w:rPr>
                                      <w:t>Description of Debt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24</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3">
                                    <w:r>
                                      <w:rPr>
                                        <w:rStyle w:val="InternetLink"/>
                                        <w:rFonts w:ascii="Times New Roman" w:hAnsi="Times New Roman"/>
                                        <w:sz w:val="20"/>
                                      </w:rPr>
                                      <w:t>Description of Warrants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31</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4">
                                    <w:r>
                                      <w:rPr>
                                        <w:rStyle w:val="InternetLink"/>
                                        <w:rFonts w:ascii="Times New Roman" w:hAnsi="Times New Roman"/>
                                        <w:sz w:val="20"/>
                                      </w:rPr>
                                      <w:t>Description of Units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5">
                                    <w:r>
                                      <w:rPr>
                                        <w:rStyle w:val="InternetLink"/>
                                        <w:rFonts w:ascii="Times New Roman" w:hAnsi="Times New Roman"/>
                                        <w:sz w:val="20"/>
                                      </w:rPr>
                                      <w:t>Plan of Distribution</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6">
                                    <w:r>
                                      <w:rPr>
                                        <w:rStyle w:val="InternetLink"/>
                                        <w:rFonts w:ascii="Times New Roman" w:hAnsi="Times New Roman"/>
                                        <w:sz w:val="20"/>
                                      </w:rPr>
                                      <w:t>Legal Matters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7">
                                    <w:r>
                                      <w:rPr>
                                        <w:rStyle w:val="InternetLink"/>
                                        <w:rFonts w:ascii="Times New Roman" w:hAnsi="Times New Roman"/>
                                        <w:sz w:val="20"/>
                                      </w:rPr>
                                      <w:t>Experts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3.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10"/>
                        <w:gridCol w:w="305"/>
                        <w:gridCol w:w="47"/>
                        <w:gridCol w:w="207"/>
                        <w:gridCol w:w="31"/>
                      </w:tblGrid>
                      <w:tr>
                        <w:trPr/>
                        <w:tc>
                          <w:tcPr>
                            <w:tcW w:w="441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1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9">
                              <w:r>
                                <w:rPr>
                                  <w:rStyle w:val="InternetLink"/>
                                  <w:rFonts w:ascii="Times New Roman" w:hAnsi="Times New Roman"/>
                                  <w:sz w:val="20"/>
                                </w:rPr>
                                <w:t>Dividend Policy</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0">
                              <w:r>
                                <w:rPr>
                                  <w:rStyle w:val="InternetLink"/>
                                  <w:rFonts w:ascii="Times New Roman" w:hAnsi="Times New Roman"/>
                                  <w:sz w:val="20"/>
                                </w:rPr>
                                <w:t>General Description of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16</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1">
                              <w:r>
                                <w:rPr>
                                  <w:rStyle w:val="InternetLink"/>
                                  <w:rFonts w:ascii="Times New Roman" w:hAnsi="Times New Roman"/>
                                  <w:sz w:val="20"/>
                                </w:rPr>
                                <w:t>Description of Capital Stock</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17</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2">
                              <w:r>
                                <w:rPr>
                                  <w:rStyle w:val="InternetLink"/>
                                  <w:rFonts w:ascii="Times New Roman" w:hAnsi="Times New Roman"/>
                                  <w:sz w:val="20"/>
                                </w:rPr>
                                <w:t>Description of Debt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24</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3">
                              <w:r>
                                <w:rPr>
                                  <w:rStyle w:val="InternetLink"/>
                                  <w:rFonts w:ascii="Times New Roman" w:hAnsi="Times New Roman"/>
                                  <w:sz w:val="20"/>
                                </w:rPr>
                                <w:t>Description of Warrants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31</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4">
                              <w:r>
                                <w:rPr>
                                  <w:rStyle w:val="InternetLink"/>
                                  <w:rFonts w:ascii="Times New Roman" w:hAnsi="Times New Roman"/>
                                  <w:sz w:val="20"/>
                                </w:rPr>
                                <w:t>Description of Units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5">
                              <w:r>
                                <w:rPr>
                                  <w:rStyle w:val="InternetLink"/>
                                  <w:rFonts w:ascii="Times New Roman" w:hAnsi="Times New Roman"/>
                                  <w:sz w:val="20"/>
                                </w:rPr>
                                <w:t>Plan of Distribution</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6">
                              <w:r>
                                <w:rPr>
                                  <w:rStyle w:val="InternetLink"/>
                                  <w:rFonts w:ascii="Times New Roman" w:hAnsi="Times New Roman"/>
                                  <w:sz w:val="20"/>
                                </w:rPr>
                                <w:t>Legal Matters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7">
                              <w:r>
                                <w:rPr>
                                  <w:rStyle w:val="InternetLink"/>
                                  <w:rFonts w:ascii="Times New Roman" w:hAnsi="Times New Roman"/>
                                  <w:sz w:val="20"/>
                                </w:rPr>
                                <w:t>Experts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rom495299_1"/>
      <w:bookmarkEnd w:id="3"/>
      <w:r>
        <w:rPr>
          <w:rFonts w:ascii="Times New Roman" w:hAnsi="Times New Roman"/>
          <w:b/>
          <w:sz w:val="20"/>
        </w:rPr>
        <w:t xml:space="preserve">ABOUT THIS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is part of a registration statement on Form S-3 (File No. 333-269272) that we filed with the Securities and Exchange Commission, or SEC, using a shelf registration process on January 18, 2023, which was declared effective on January 24, 2023. This document is in two parts. The first part is this prospectus supplement, which describes the specific terms of this offering of common stock and pre-funded warrants.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w:t>
      </w:r>
    </w:p>
    <w:p>
      <w:pPr>
        <w:pStyle w:val="TextBody"/>
        <w:bidi w:val="0"/>
        <w:spacing w:before="240" w:after="0"/>
        <w:jc w:val="both"/>
        <w:rPr>
          <w:rFonts w:ascii="Times New Roman" w:hAnsi="Times New Roman"/>
          <w:sz w:val="20"/>
        </w:rPr>
      </w:pPr>
      <w:r>
        <w:rPr>
          <w:rFonts w:ascii="Times New Roman" w:hAnsi="Times New Roman"/>
          <w:sz w:val="20"/>
        </w:rPr>
        <w:t xml:space="preserve">Before buying any of the shares of common stock or pre-funded warrants offered hereby, we urge you to read carefully this prospectus supplement and the accompanying prospectus, together with the information incorporated herein by reference as described below under the heading Incorporation of Certain Information by Reference, as well as the additional information described in this prospectus supplement under Where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and pre-funded warrants. Our business, financial condition and results of operations may have changed since those dates.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to sell, and seeking offers to buy, shares of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p>
    <w:p>
      <w:pPr>
        <w:pStyle w:val="TextBody"/>
        <w:bidi w:val="0"/>
        <w:spacing w:before="240" w:after="0"/>
        <w:jc w:val="both"/>
        <w:rPr>
          <w:rFonts w:ascii="Times New Roman" w:hAnsi="Times New Roman"/>
          <w:sz w:val="20"/>
        </w:rPr>
      </w:pPr>
      <w:r>
        <w:rPr>
          <w:rFonts w:ascii="Times New Roman" w:hAnsi="Times New Roman"/>
          <w:sz w:val="20"/>
        </w:rPr>
        <w:t xml:space="preserve">All references in this prospectus supplement and the accompanying prospectus to our consolidated financial statements include the related notes thereto. </w:t>
      </w:r>
    </w:p>
    <w:p>
      <w:pPr>
        <w:pStyle w:val="TextBody"/>
        <w:bidi w:val="0"/>
        <w:spacing w:before="240" w:after="0"/>
        <w:jc w:val="both"/>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 and,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srom495299_2"/>
      <w:bookmarkEnd w:id="4"/>
      <w:r>
        <w:rPr>
          <w:rFonts w:ascii="Times New Roman" w:hAnsi="Times New Roman"/>
          <w:b/>
          <w:sz w:val="20"/>
        </w:rPr>
        <w:t xml:space="preserve">CAUTIONARY STATEMENT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the accompanying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risks and uncertainties, including those listed under the caption Risk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use of the proceeds from this offering and any other financing transaction we may undertake.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 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Quarterly Report on Form 10-Q for the quarter ended March 31, 2023 filed with the SEC on May 15, 2023, which is incorporated by reference into this prospectus supplement and the accompanying prospectus, and the section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rom495299_3"/>
      <w:bookmarkEnd w:id="5"/>
      <w:r>
        <w:rPr>
          <w:rFonts w:ascii="Times New Roman" w:hAnsi="Times New Roman"/>
          <w:b/>
          <w:sz w:val="20"/>
          <w:bdr w:val="single" w:sz="8" w:space="1" w:color="000000"/>
        </w:rPr>
        <w:t xml:space="preserve">PROSPECTUS SUPPLEMENT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and pre-funded warrants. You should read this prospectus supplement, the accompanying prospectus and the documents incorporated by reference herein and therein carefully, especially those associated with the risks of investing in our common stock and pre-funded warrants discussed under Risk Factors beginning on page S-7 of this prospectus supplement and in the section entitled Risk Factors of our quarterly report on Form 10-Q for the quarter ended March 31, 2023, filed with the SEC on May 15, 2023,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is to leverage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designed to evaluate safety, tolerability, efficacy, and protoporphyrin IX, or PPIX, concentrations in patients with EPP and XLP, which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designed to evaluate the safety, tolerability, efficacy and PPIX concentrations in patients with EPP, which is being conducted at sites in the United States. On June 9, 2023, we announced interim data from BEACON which is discussed in additional detail below under Recent Developments. We expect to present data for all patients from BEACON by end of year 2023 and to receive topline data from AURORA by end of 2023, which we expect to present in early 2024. We entered into a collaborative research and development agreement with the National Institutes of Health, or NIH, to conduct an NIH-sponsored clinical trial of bitopertin in DBA. The FDA authorized the clinical trial to proceed and we expect the trial to begin by mid-year 2023. We are planning additional trials of bitopertin in other indications.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DISC-0974 is the lead product candidate in our iron homeostasis portfolio. DISC-0974 is designed to suppress hepcidin production and increase serum iron levels. We submitted an IND to the FDA for DISC-0974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designed to evaluate the safety, tolerability, pharmacokinetics, and pharmacodynamics of DISC-0974 in patients with anemia of MF, and initiated a separate Phase 1b/2 clinical trial in February 2023 designed to evaluate the safety, tolerability, pharmacokinetics, and pharmacodynamics of DISC-0974 in patients with non-dialysis dependent CKD and anemia. We expect to report interim data from both of these trials by end of 2023. In addition, we are developing a preclinical anti-hemojuvelin monoclonal antibody, DISC-0998, which also targets hepcidin suppression and was in-licensed from AbbVie Deutschland GmbH &amp; Co. KG. DISC-0998 is designed to increase serum iron levels and has an extended serum half-life as compared to DISC-0974. We believe this pharmacokinetics profile may be desirable in certain subsets of patients with anemia associated with inflammatory diseases.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Lastly, we are developing MWTX-003, a monoclonal antibody against Transmembrane Serine Protease 6 that we licensed from Mabwell Therapeutics, Inc.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On June 9, 2023, we announced initial data from our ongoing Phase 2 open-label BEACON trial evaluating bitopertin, an orally administered investigational GlyT1 inhibitor, in patients with EPP and XLP.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BEACON Initial Data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BEACON trial is a randomized, open-label, parallel-arm trial enrolling up to 22 patients with EPP or XLP at trial sites in Australia. This trial was designed to assess changes in levels of PPIX, as well as measures of photosensitivity, quality of life, and safety and tolerability. Subjects are randomized to receive either 20 mg or 60 mg of bitopertin once-daily for 24 weeks, after which patients have the option of continuing in an open-label extension of the trial for up to an additional 24 weeks. The trial is ongoing and these data reflect initial data from 15 subjects enrolled as of the data cutoff of May 8, 2023, with a range of treatment durations from 18 days to 6 months. The data cutoff for PPIX data was April 7, 2023.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Highlights of the initial data presented: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PPIX levels: Significant, consistent, dose-dependent, and sustained reductions of whole-blood, metal-free PPIX; mean reduction of &gt;40% when compared to baseline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Measures of light tolerance (individual) from two participants with the longest follow-up demonstrated substantial increases in sunlight tolerance as measured by time in sunlight without experiencing a prodrome (initial symptoms that signal a pain attack), or sunlight challenge: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participant on 20 mg bitopertin reported a &gt;80-fold increase in sunlight tolerance on day 88 of treatment, increasing from 4.5 minutes at baseline to over 6 hours; the participant did not report a prodrome during any sunlight challenge after Day 20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participant on 60 mg bitopertin reported a &gt;200-fold increase in sunlight tolerance on day 74 of treatment, increasing from 1.25 minutes at baseline to over 4 hours, and did not report a prodrome during any sunlight challenge after Day 120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Measures of light tolerance (aggregated across participants from whom data was available in the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Average weekly total time spent in sunlight: increased from 344 minutes (approximately 49 minutes per day) to 1,200 minutes at Week 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Time to prodrome during sunlight challenge (averaged over a two-week period): increased &gt;7-fold, from 25 minutes at baseline to 182 minutes at Week 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proportion of days without symptoms: 75% vs. 25% (baseline)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proportion of sunlight challenges without prodromes: 50% vs. 0% (baseline)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Phototoxic reactions: 96% reduction in patient-reported phototoxic reactions while on treatment compared to baseline (n=15)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figure below illustrates our aggregated light tolerance data: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55625" cy="28130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55625" cy="281305"/>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Measures of patient quality of life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 Global Impression of Change (PGIC): All 10 patients that had completed a day 43 visit reported their disease was much better (n=8) or a little better (n=2) in the last 7 days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 Global Impression of Severity (PGIS): Nine out of 10 patients that had completed a day 43 visit reported their EPP was mild (n=3) or not at all severe (n=6)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EPP Impact Questionnaire (EPIQ): For patients whose most recent data was Day 43, 4/8 patients reported an improvement in the impact of EPP on quality of life and 4/8 reported no change in the impact of EPP on quality of life. For patients whose most recent data was after Day 43, 2/2 reported marked improvement in the impact of EPP on quality of life, reporting no impact of EPP on quality of life.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Bitopertin was well-tolerated at both dose levels with no reported serious adverse events, no reported discontinuations or dose reductions, no reported adverse events greater than Grade 1, and no meaningful changes observed in mean hemoglobin levels.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321 Arsenal Street, Suite 101, Watertown, MA 02472, and our telephone number is (617) 674-9274. We maintain an Internet website at the following address: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JOBS Act and may remain an emerging growth company until December 31, 2025, or until such earlier time as we have more than $1.235 billion in annual revenue, we become a large accelerated filer under SEC rules, or we issue more than $1 billion of non-convertible debt over a three-year period. The JOBS Act contains provisions that, among other things, reduce certain reporting requirements for an emerging growth company. For so long as we remain an emerging growth company, we are permitted and plan to rely on exemptions from certain disclosure requirements that are applicable to other public companies that are not emerging growth companies. These exemptions include being permitted to only disclose two years of audited financial statements in addition to any required unaudited interim financial statements with correspondingly reduced Managements Discussion and Analysis of Financial Condition and Results of Operations disclosure. We have taken advantage of certain reduced reporting requirements in this prospectus supplement. Accordingly, the information contained herein may be different than the information you receive from other public companies in which you hold stock.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applicable to a smaller reporting company.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078"/>
        <w:gridCol w:w="120"/>
        <w:gridCol w:w="5007"/>
      </w:tblGrid>
      <w:tr>
        <w:trPr/>
        <w:tc>
          <w:tcPr>
            <w:tcW w:w="50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07" w:type="dxa"/>
            <w:tcBorders/>
            <w:vAlign w:val="center"/>
          </w:tcPr>
          <w:p>
            <w:pPr>
              <w:pStyle w:val="TableContents"/>
              <w:bidi w:val="0"/>
              <w:spacing w:before="0" w:after="283"/>
              <w:jc w:val="left"/>
              <w:rPr>
                <w:sz w:val="4"/>
                <w:szCs w:val="4"/>
              </w:rPr>
            </w:pPr>
            <w:r>
              <w:rPr>
                <w:sz w:val="4"/>
                <w:szCs w:val="4"/>
              </w:rPr>
            </w:r>
          </w:p>
        </w:tc>
      </w:tr>
      <w:tr>
        <w:trPr/>
        <w:tc>
          <w:tcPr>
            <w:tcW w:w="507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offered by us</w:t>
            </w:r>
          </w:p>
        </w:tc>
        <w:tc>
          <w:tcPr>
            <w:tcW w:w="120" w:type="dxa"/>
            <w:tcBorders/>
            <w:vAlign w:val="bottom"/>
          </w:tcPr>
          <w:p>
            <w:pPr>
              <w:pStyle w:val="TableContents"/>
              <w:bidi w:val="0"/>
              <w:spacing w:before="0" w:after="283"/>
              <w:jc w:val="left"/>
              <w:rPr/>
            </w:pPr>
            <w:r>
              <w:rPr/>
              <w:t>  </w:t>
            </w:r>
          </w:p>
        </w:tc>
        <w:tc>
          <w:tcPr>
            <w:tcW w:w="5007" w:type="dxa"/>
            <w:tcBorders/>
          </w:tcPr>
          <w:p>
            <w:pPr>
              <w:pStyle w:val="TableContents"/>
              <w:bidi w:val="0"/>
              <w:spacing w:before="0" w:after="0"/>
              <w:jc w:val="left"/>
              <w:rPr/>
            </w:pPr>
            <w:r>
              <w:rPr/>
              <w:t xml:space="preserve">                 </w:t>
            </w:r>
            <w:r>
              <w:rPr>
                <w:rFonts w:ascii="Times New Roman" w:hAnsi="Times New Roman"/>
                <w:sz w:val="20"/>
              </w:rPr>
              <w:t>shares.</w:t>
            </w:r>
          </w:p>
        </w:tc>
      </w:tr>
      <w:tr>
        <w:trPr>
          <w:trHeight w:val="75" w:hRule="atLeast"/>
        </w:trPr>
        <w:tc>
          <w:tcPr>
            <w:tcW w:w="5078" w:type="dxa"/>
            <w:tcBorders/>
            <w:vAlign w:val="center"/>
          </w:tcPr>
          <w:p>
            <w:pPr>
              <w:pStyle w:val="TableContents"/>
              <w:bidi w:val="0"/>
              <w:spacing w:before="0" w:after="283"/>
              <w:jc w:val="left"/>
              <w:rPr>
                <w:sz w:val="4"/>
                <w:szCs w:val="4"/>
              </w:rPr>
            </w:pPr>
            <w:r>
              <w:rPr>
                <w:sz w:val="4"/>
                <w:szCs w:val="4"/>
              </w:rPr>
            </w:r>
          </w:p>
        </w:tc>
        <w:tc>
          <w:tcPr>
            <w:tcW w:w="5127" w:type="dxa"/>
            <w:gridSpan w:val="2"/>
            <w:tcBorders/>
            <w:vAlign w:val="center"/>
          </w:tcPr>
          <w:p>
            <w:pPr>
              <w:pStyle w:val="TableContents"/>
              <w:bidi w:val="0"/>
              <w:spacing w:before="0" w:after="283"/>
              <w:jc w:val="left"/>
              <w:rPr>
                <w:sz w:val="4"/>
                <w:szCs w:val="4"/>
              </w:rPr>
            </w:pPr>
            <w:r>
              <w:rPr>
                <w:sz w:val="4"/>
                <w:szCs w:val="4"/>
              </w:rPr>
            </w:r>
          </w:p>
        </w:tc>
      </w:tr>
      <w:tr>
        <w:trPr/>
        <w:tc>
          <w:tcPr>
            <w:tcW w:w="5078"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warrants offered by us</w:t>
            </w:r>
          </w:p>
        </w:tc>
        <w:tc>
          <w:tcPr>
            <w:tcW w:w="120" w:type="dxa"/>
            <w:tcBorders/>
            <w:vAlign w:val="bottom"/>
          </w:tcPr>
          <w:p>
            <w:pPr>
              <w:pStyle w:val="TableContents"/>
              <w:bidi w:val="0"/>
              <w:spacing w:before="0" w:after="283"/>
              <w:jc w:val="left"/>
              <w:rPr/>
            </w:pPr>
            <w:r>
              <w:rPr/>
              <w:t>  </w:t>
            </w:r>
          </w:p>
        </w:tc>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We are also offering, in lieu of common stock to certain investors that so choose, pre-funded warrants to purchase                shares of our common stock. Each pre-funded warrant is exercisable for one share of our common stock. The purchase price of each pre-funded warrant will equal the price per share at which shares of common stock are being sold to the public in this offering, less $0.0001, which is the exercise price of each pre-funded warrant. The pre-funded warrants do not expire, and each pre-funded warrant will be exercisable at any time after the date of issuance, subject to an ownership limitation and in some cases clearance under the HSR Act. See Description of Pre-Funded Warrants. This prospectus supplement also relates to the offering of the shares of our common stock issuable upon exercise of the pre-funded warrants.</w:t>
            </w:r>
          </w:p>
        </w:tc>
      </w:tr>
      <w:tr>
        <w:trPr>
          <w:trHeight w:val="75" w:hRule="atLeast"/>
        </w:trPr>
        <w:tc>
          <w:tcPr>
            <w:tcW w:w="5078" w:type="dxa"/>
            <w:tcBorders/>
            <w:vAlign w:val="center"/>
          </w:tcPr>
          <w:p>
            <w:pPr>
              <w:pStyle w:val="TableContents"/>
              <w:bidi w:val="0"/>
              <w:spacing w:before="0" w:after="283"/>
              <w:jc w:val="left"/>
              <w:rPr>
                <w:sz w:val="4"/>
                <w:szCs w:val="4"/>
              </w:rPr>
            </w:pPr>
            <w:r>
              <w:rPr>
                <w:sz w:val="4"/>
                <w:szCs w:val="4"/>
              </w:rPr>
            </w:r>
          </w:p>
        </w:tc>
        <w:tc>
          <w:tcPr>
            <w:tcW w:w="5127" w:type="dxa"/>
            <w:gridSpan w:val="2"/>
            <w:tcBorders/>
            <w:vAlign w:val="center"/>
          </w:tcPr>
          <w:p>
            <w:pPr>
              <w:pStyle w:val="TableContents"/>
              <w:bidi w:val="0"/>
              <w:spacing w:before="0" w:after="283"/>
              <w:jc w:val="left"/>
              <w:rPr>
                <w:sz w:val="4"/>
                <w:szCs w:val="4"/>
              </w:rPr>
            </w:pPr>
            <w:r>
              <w:rPr>
                <w:sz w:val="4"/>
                <w:szCs w:val="4"/>
              </w:rPr>
            </w:r>
          </w:p>
        </w:tc>
      </w:tr>
      <w:tr>
        <w:trPr/>
        <w:tc>
          <w:tcPr>
            <w:tcW w:w="5078" w:type="dxa"/>
            <w:tcBorders/>
          </w:tcPr>
          <w:p>
            <w:pPr>
              <w:pStyle w:val="TableContents"/>
              <w:bidi w:val="0"/>
              <w:spacing w:before="0" w:after="0"/>
              <w:jc w:val="left"/>
              <w:rPr>
                <w:rFonts w:ascii="Times New Roman" w:hAnsi="Times New Roman"/>
                <w:sz w:val="20"/>
              </w:rPr>
            </w:pPr>
            <w:r>
              <w:rPr>
                <w:rFonts w:ascii="Times New Roman" w:hAnsi="Times New Roman"/>
                <w:sz w:val="20"/>
              </w:rPr>
              <w:t>Underwriters option to purchase additional shares</w:t>
            </w:r>
          </w:p>
        </w:tc>
        <w:tc>
          <w:tcPr>
            <w:tcW w:w="120" w:type="dxa"/>
            <w:tcBorders/>
            <w:vAlign w:val="bottom"/>
          </w:tcPr>
          <w:p>
            <w:pPr>
              <w:pStyle w:val="TableContents"/>
              <w:bidi w:val="0"/>
              <w:spacing w:before="0" w:after="283"/>
              <w:jc w:val="left"/>
              <w:rPr/>
            </w:pPr>
            <w:r>
              <w:rPr/>
              <w:t>  </w:t>
            </w:r>
          </w:p>
        </w:tc>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We have granted the underwriters an option to purchase up to an additional                shares of our common stock from us, at the public offering price, less the underwriting discounts and commissions, for a period of 30 days after the date of this prospectus supplement.</w:t>
            </w:r>
          </w:p>
        </w:tc>
      </w:tr>
      <w:tr>
        <w:trPr>
          <w:trHeight w:val="75" w:hRule="atLeast"/>
        </w:trPr>
        <w:tc>
          <w:tcPr>
            <w:tcW w:w="5078" w:type="dxa"/>
            <w:tcBorders/>
            <w:vAlign w:val="center"/>
          </w:tcPr>
          <w:p>
            <w:pPr>
              <w:pStyle w:val="TableContents"/>
              <w:bidi w:val="0"/>
              <w:spacing w:before="0" w:after="283"/>
              <w:jc w:val="left"/>
              <w:rPr>
                <w:sz w:val="4"/>
                <w:szCs w:val="4"/>
              </w:rPr>
            </w:pPr>
            <w:r>
              <w:rPr>
                <w:sz w:val="4"/>
                <w:szCs w:val="4"/>
              </w:rPr>
            </w:r>
          </w:p>
        </w:tc>
        <w:tc>
          <w:tcPr>
            <w:tcW w:w="5127" w:type="dxa"/>
            <w:gridSpan w:val="2"/>
            <w:tcBorders/>
            <w:vAlign w:val="center"/>
          </w:tcPr>
          <w:p>
            <w:pPr>
              <w:pStyle w:val="TableContents"/>
              <w:bidi w:val="0"/>
              <w:spacing w:before="0" w:after="283"/>
              <w:jc w:val="left"/>
              <w:rPr>
                <w:sz w:val="4"/>
                <w:szCs w:val="4"/>
              </w:rPr>
            </w:pPr>
            <w:r>
              <w:rPr>
                <w:sz w:val="4"/>
                <w:szCs w:val="4"/>
              </w:rPr>
            </w:r>
          </w:p>
        </w:tc>
      </w:tr>
      <w:tr>
        <w:trPr/>
        <w:tc>
          <w:tcPr>
            <w:tcW w:w="507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to be outstanding immediately after this offering</w:t>
            </w:r>
          </w:p>
        </w:tc>
        <w:tc>
          <w:tcPr>
            <w:tcW w:w="120" w:type="dxa"/>
            <w:tcBorders/>
            <w:vAlign w:val="bottom"/>
          </w:tcPr>
          <w:p>
            <w:pPr>
              <w:pStyle w:val="TableContents"/>
              <w:bidi w:val="0"/>
              <w:spacing w:before="0" w:after="283"/>
              <w:jc w:val="left"/>
              <w:rPr/>
            </w:pPr>
            <w:r>
              <w:rPr/>
              <w:t>  </w:t>
            </w:r>
          </w:p>
        </w:tc>
        <w:tc>
          <w:tcPr>
            <w:tcW w:w="5007" w:type="dxa"/>
            <w:tcBorders/>
          </w:tcPr>
          <w:p>
            <w:pPr>
              <w:pStyle w:val="TableContents"/>
              <w:bidi w:val="0"/>
              <w:spacing w:before="0" w:after="0"/>
              <w:jc w:val="left"/>
              <w:rPr/>
            </w:pPr>
            <w:r>
              <w:rPr/>
            </w:r>
          </w:p>
          <w:p>
            <w:pPr>
              <w:pStyle w:val="TableContents"/>
              <w:bidi w:val="0"/>
              <w:spacing w:before="0" w:after="0"/>
              <w:jc w:val="left"/>
              <w:rPr/>
            </w:pPr>
            <w:r>
              <w:rPr/>
              <w:t>            </w:t>
            </w:r>
            <w:r>
              <w:rPr>
                <w:rFonts w:ascii="Times New Roman" w:hAnsi="Times New Roman"/>
                <w:sz w:val="20"/>
              </w:rPr>
              <w:t>shares (or                shares, if the underwriters exercise their option in full to purchase additional shares), in each case assuming no exercise of any pre-funded warrants offered and sold by us.</w:t>
            </w:r>
          </w:p>
        </w:tc>
      </w:tr>
      <w:tr>
        <w:trPr>
          <w:trHeight w:val="75" w:hRule="atLeast"/>
        </w:trPr>
        <w:tc>
          <w:tcPr>
            <w:tcW w:w="5078" w:type="dxa"/>
            <w:tcBorders/>
            <w:vAlign w:val="center"/>
          </w:tcPr>
          <w:p>
            <w:pPr>
              <w:pStyle w:val="TableContents"/>
              <w:bidi w:val="0"/>
              <w:spacing w:before="0" w:after="283"/>
              <w:jc w:val="left"/>
              <w:rPr>
                <w:sz w:val="4"/>
                <w:szCs w:val="4"/>
              </w:rPr>
            </w:pPr>
            <w:r>
              <w:rPr>
                <w:sz w:val="4"/>
                <w:szCs w:val="4"/>
              </w:rPr>
            </w:r>
          </w:p>
        </w:tc>
        <w:tc>
          <w:tcPr>
            <w:tcW w:w="5127" w:type="dxa"/>
            <w:gridSpan w:val="2"/>
            <w:tcBorders/>
            <w:vAlign w:val="center"/>
          </w:tcPr>
          <w:p>
            <w:pPr>
              <w:pStyle w:val="TableContents"/>
              <w:bidi w:val="0"/>
              <w:spacing w:before="0" w:after="283"/>
              <w:jc w:val="left"/>
              <w:rPr>
                <w:sz w:val="4"/>
                <w:szCs w:val="4"/>
              </w:rPr>
            </w:pPr>
            <w:r>
              <w:rPr>
                <w:sz w:val="4"/>
                <w:szCs w:val="4"/>
              </w:rPr>
            </w:r>
          </w:p>
        </w:tc>
      </w:tr>
      <w:tr>
        <w:trPr/>
        <w:tc>
          <w:tcPr>
            <w:tcW w:w="5078"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0" w:type="dxa"/>
            <w:tcBorders/>
            <w:vAlign w:val="bottom"/>
          </w:tcPr>
          <w:p>
            <w:pPr>
              <w:pStyle w:val="TableContents"/>
              <w:bidi w:val="0"/>
              <w:spacing w:before="0" w:after="283"/>
              <w:jc w:val="left"/>
              <w:rPr/>
            </w:pPr>
            <w:r>
              <w:rPr/>
              <w:t>  </w:t>
            </w:r>
          </w:p>
        </w:tc>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We currently intend to use the net proceeds from this offering together with our existing cash and cash equivalents,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S-13 of this prospectus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128"/>
        <w:gridCol w:w="121"/>
        <w:gridCol w:w="4956"/>
      </w:tblGrid>
      <w:tr>
        <w:trPr/>
        <w:tc>
          <w:tcPr>
            <w:tcW w:w="51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56" w:type="dxa"/>
            <w:tcBorders/>
            <w:vAlign w:val="center"/>
          </w:tcPr>
          <w:p>
            <w:pPr>
              <w:pStyle w:val="TableContents"/>
              <w:bidi w:val="0"/>
              <w:spacing w:before="0" w:after="283"/>
              <w:jc w:val="left"/>
              <w:rPr>
                <w:sz w:val="4"/>
                <w:szCs w:val="4"/>
              </w:rPr>
            </w:pPr>
            <w:r>
              <w:rPr>
                <w:sz w:val="4"/>
                <w:szCs w:val="4"/>
              </w:rPr>
            </w:r>
          </w:p>
        </w:tc>
      </w:tr>
      <w:tr>
        <w:trPr/>
        <w:tc>
          <w:tcPr>
            <w:tcW w:w="5128"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1" w:type="dxa"/>
            <w:tcBorders/>
            <w:vAlign w:val="bottom"/>
          </w:tcPr>
          <w:p>
            <w:pPr>
              <w:pStyle w:val="TableContents"/>
              <w:bidi w:val="0"/>
              <w:spacing w:before="0" w:after="283"/>
              <w:jc w:val="left"/>
              <w:rPr/>
            </w:pPr>
            <w:r>
              <w:rPr/>
              <w:t>  </w:t>
            </w:r>
          </w:p>
        </w:tc>
        <w:tc>
          <w:tcPr>
            <w:tcW w:w="4956" w:type="dxa"/>
            <w:tcBorders/>
          </w:tcPr>
          <w:p>
            <w:pPr>
              <w:pStyle w:val="TableContents"/>
              <w:bidi w:val="0"/>
              <w:spacing w:before="0" w:after="0"/>
              <w:jc w:val="left"/>
              <w:rPr>
                <w:rFonts w:ascii="Times New Roman" w:hAnsi="Times New Roman"/>
                <w:sz w:val="20"/>
              </w:rPr>
            </w:pPr>
            <w:r>
              <w:rPr>
                <w:rFonts w:ascii="Times New Roman" w:hAnsi="Times New Roman"/>
                <w:sz w:val="20"/>
              </w:rPr>
              <w:t>Your investment involves a high degree of risk. You should read the Risk Factors section of this prospectus supplement beginning on page S-7 and in our Quarterly Report on Form 10-Q for the quarter ended March 31, 2023, as well as the other documents incorporated by reference in this prospectus supplement and the accompanying prospectus for a discussion of factors to consider carefully before deciding to invest in our securities.</w:t>
            </w:r>
          </w:p>
        </w:tc>
      </w:tr>
      <w:tr>
        <w:trPr>
          <w:trHeight w:val="75" w:hRule="atLeast"/>
        </w:trPr>
        <w:tc>
          <w:tcPr>
            <w:tcW w:w="5128" w:type="dxa"/>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5128" w:type="dxa"/>
            <w:tcBorders/>
          </w:tcPr>
          <w:p>
            <w:pPr>
              <w:pStyle w:val="TableContents"/>
              <w:bidi w:val="0"/>
              <w:spacing w:before="0" w:after="0"/>
              <w:jc w:val="left"/>
              <w:rPr>
                <w:rFonts w:ascii="Times New Roman" w:hAnsi="Times New Roman"/>
                <w:sz w:val="20"/>
              </w:rPr>
            </w:pPr>
            <w:r>
              <w:rPr>
                <w:rFonts w:ascii="Times New Roman" w:hAnsi="Times New Roman"/>
                <w:sz w:val="20"/>
              </w:rPr>
              <w:t>Nasdaq Global Market symbol</w:t>
            </w:r>
          </w:p>
        </w:tc>
        <w:tc>
          <w:tcPr>
            <w:tcW w:w="121" w:type="dxa"/>
            <w:tcBorders/>
            <w:vAlign w:val="bottom"/>
          </w:tcPr>
          <w:p>
            <w:pPr>
              <w:pStyle w:val="TableContents"/>
              <w:bidi w:val="0"/>
              <w:spacing w:before="0" w:after="283"/>
              <w:jc w:val="left"/>
              <w:rPr/>
            </w:pPr>
            <w:r>
              <w:rPr/>
              <w:t>  </w:t>
            </w:r>
          </w:p>
        </w:tc>
        <w:tc>
          <w:tcPr>
            <w:tcW w:w="4956" w:type="dxa"/>
            <w:tcBorders/>
          </w:tcPr>
          <w:p>
            <w:pPr>
              <w:pStyle w:val="TableContents"/>
              <w:bidi w:val="0"/>
              <w:spacing w:before="0" w:after="0"/>
              <w:jc w:val="left"/>
              <w:rPr>
                <w:rFonts w:ascii="Times New Roman" w:hAnsi="Times New Roman"/>
                <w:sz w:val="20"/>
              </w:rPr>
            </w:pPr>
            <w:r>
              <w:rPr>
                <w:rFonts w:ascii="Times New Roman" w:hAnsi="Times New Roman"/>
                <w:sz w:val="20"/>
              </w:rPr>
              <w:t>IRON. We do not intend to list the pre-funded warrants on the Nasdaq Global Market or any other national securities exchange or nationally recognized trading system.</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19,575,242 shares outstanding as of March 31, 2023. The number of shares outstanding as of March 31, 2023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2,527,513 shares of common stock issuable upon the exercise of stock options outstanding as of March 31, 2023, at a weighted average exercise price of $14.17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84,297 shares of common stock issuable upon the exercise of stock options granted subsequent to March 31, 2023, at a weighted average exercise price of $37.92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958 shares of common stock issuable upon the vesting of restricted stock awards outstanding at March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1,741,904 shares of common stock available for issuance under our Amended and Restated 2021 Stock Option and Incentive Plan as of March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222,953 shares of common stock available for future issuance under our Amended and Restated 2021 Employee Stock Purchase Plan as of March 31, 2023;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1,229,224 shares of common stock issuable upon the exercise of pre-funded warrants outstanding as of March 31, 2023.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assumes no exercise of the outstanding stock options or pre-funded warrants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assumes no exercise by the underwriters of their option to purchase additional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assumes no exercise of the pre-funded warrants that we are offering in this offering in lieu of common stock to certain investors;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does not reflect the potential issuance of up to approximately $80.0 million of common stock that remain available for sale as of the date of this prospectus supplement under our Sales Agreement with SVB Securities LLC, dated January 25,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rom495299_4"/>
      <w:bookmarkEnd w:id="6"/>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Your investment in our common stock or pre-funded warrants involves a high degree of risk. Before deciding whether to invest in our common stock or pre-funded warrants, you should carefully consider the risks discussed under the section captioned Risk factors contained in our Quarterly Report on Form 10-Q for the quarter ended March 31, 2023 which is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both"/>
        <w:rPr>
          <w:rFonts w:ascii="Times New Roman" w:hAnsi="Times New Roman"/>
          <w:b/>
          <w:i/>
          <w:sz w:val="20"/>
        </w:rPr>
      </w:pPr>
      <w:r>
        <w:rPr>
          <w:rFonts w:ascii="Times New Roman" w:hAnsi="Times New Roman"/>
          <w:b/>
          <w:i/>
          <w:sz w:val="20"/>
        </w:rPr>
        <w:t xml:space="preserve">If you purchase shares of our common stock or pre-funded warrants sold in this offering, you will experience immediate and substantial dilution. In addition, we may issue additional equity or convertible securities in the future, which may result in additional dilution to you. </w:t>
      </w:r>
    </w:p>
    <w:p>
      <w:pPr>
        <w:pStyle w:val="TextBody"/>
        <w:bidi w:val="0"/>
        <w:spacing w:before="120" w:after="0"/>
        <w:jc w:val="both"/>
        <w:rPr>
          <w:rFonts w:ascii="Times New Roman" w:hAnsi="Times New Roman"/>
          <w:sz w:val="20"/>
        </w:rPr>
      </w:pPr>
      <w:r>
        <w:rPr>
          <w:rFonts w:ascii="Times New Roman" w:hAnsi="Times New Roman"/>
          <w:sz w:val="20"/>
        </w:rPr>
        <w:t xml:space="preserve">Since the price per share of our common stock being offered is higher than the net tangible book value per share of our common stock, you will suffer dilution with respect to the net tangible book value of the shares of common stock or pre-funded warrants you purchase in this offering. Based on the public offering price of $         per share of our common stock and $         per pre-funded warrant and our net tangible book value as of March 31, 2023, if you purchase shares of common stock or pre-funded warrants in this offering, you will suffer immediate dilution of $         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SVB Securities LLC or otherwise,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both"/>
        <w:rPr>
          <w:rFonts w:ascii="Times New Roman" w:hAnsi="Times New Roman"/>
          <w:sz w:val="20"/>
        </w:rPr>
      </w:pPr>
      <w:r>
        <w:rPr>
          <w:rFonts w:ascii="Times New Roman" w:hAnsi="Times New Roman"/>
          <w:sz w:val="20"/>
        </w:rPr>
        <w:t xml:space="preserve">We currently expect to use the net proceeds of this offering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 </w:t>
      </w:r>
    </w:p>
    <w:p>
      <w:pPr>
        <w:pStyle w:val="TextBody"/>
        <w:bidi w:val="0"/>
        <w:spacing w:before="360" w:after="0"/>
        <w:jc w:val="both"/>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both"/>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the exercise of pre-funded warrants sold in this offering will result in further dilution to the holders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Sales of a substantial number of shares of our common stock in the public market after this offering could cause our stock price to fall. </w:t>
      </w:r>
    </w:p>
    <w:p>
      <w:pPr>
        <w:pStyle w:val="TextBody"/>
        <w:bidi w:val="0"/>
        <w:spacing w:before="120" w:after="0"/>
        <w:jc w:val="both"/>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19,575,242 shares of common stock outstanding as of March 31, 2023. We filed a registration statement on Form S-3 (Registration No. 333-269272) that was declared effective by the SEC on January 24, 2023, and which registers the offer and sale from time to time of up to $300,000,000 of a variety of securities, including common stock, preferred stock, debt securities, warrants or units pursuant to one or more offerings at prices and terms to be determined at the time of sale. To the extent shares are sold into the market pursuant to this registration statement on Form S-3, under Rule 144 of the Securities Act or otherwise, particularly in substantial quantities, the market price of our common stock could decline.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We may raise money through additional public or private offerings of our equity securities or equity-linked securities. For example, in January 2023, we entered into the Sales Agreement pursuant to which we may offer and sell, from time to time to or through SVB Securities LLC, acting as our sales agent, shares of common stock having an aggregate offering price of up to $100.0 million. As of the date of this prospectus supplement, we may issue and sell shares of our common stock having an aggregate offering price of up to approximately $80.0 million under our at-the-market offering program. Any sales of our equity or equity-linked securities could have a material adverse effect on the market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this offering, we and our directors, executive officers and certain of our stockholders have entered into lock-up agreements covering some or all of their equity ownership for a period of 90 days following this offering. The lock-up agreements are subject to various exceptions, and we and our directors and executive officers may be released from the lock-up agreements prior to the expiration of the lock-up period at the sole discretion of Morgan Stanley &amp; Co. LLC, SVB Securities LLC, Stifel, Nicolaus &amp; Company, Incorporated and BMO Capital Markets Corp. See the section entitled Underwriters. Upon expiration or earlier release of the lock-up agreements, we and our directors and executive officers may sell previously locked-up shares into the market, which could adversely affect the market price of shares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have a significant number of stock options outstanding and our board of directors intends to grant additional stock options, and may also choose to issue additional common stock, or securities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our common stock could be highly volatile, and purchasers of our common stock could incur substantial losses. </w:t>
      </w:r>
    </w:p>
    <w:p>
      <w:pPr>
        <w:pStyle w:val="TextBody"/>
        <w:bidi w:val="0"/>
        <w:spacing w:before="120" w:after="0"/>
        <w:jc w:val="both"/>
        <w:rPr>
          <w:rFonts w:ascii="Times New Roman" w:hAnsi="Times New Roman"/>
          <w:sz w:val="20"/>
        </w:rPr>
      </w:pPr>
      <w:r>
        <w:rPr>
          <w:rFonts w:ascii="Times New Roman" w:hAnsi="Times New Roman"/>
          <w:sz w:val="20"/>
        </w:rPr>
        <w:t xml:space="preserve">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 </w:t>
      </w:r>
    </w:p>
    <w:p>
      <w:pPr>
        <w:pStyle w:val="TextBody"/>
        <w:bidi w:val="0"/>
        <w:spacing w:before="240" w:after="0"/>
        <w:jc w:val="both"/>
        <w:rPr>
          <w:rFonts w:ascii="Times New Roman" w:hAnsi="Times New Roman"/>
          <w:sz w:val="20"/>
        </w:rPr>
      </w:pPr>
      <w:r>
        <w:rPr>
          <w:rFonts w:ascii="Times New Roman" w:hAnsi="Times New Roman"/>
          <w:sz w:val="20"/>
        </w:rPr>
        <w:t xml:space="preserve">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240" w:after="0"/>
        <w:jc w:val="both"/>
        <w:rPr>
          <w:rFonts w:ascii="Times New Roman" w:hAnsi="Times New Roman"/>
          <w:sz w:val="20"/>
        </w:rPr>
      </w:pPr>
      <w:r>
        <w:rPr>
          <w:rFonts w:ascii="Times New Roman" w:hAnsi="Times New Roman"/>
          <w:sz w:val="20"/>
        </w:rPr>
        <w:t xml:space="preserve">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new equity securities pursuant to a future offering, including issuances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competitive developments, including announcements by competitors of new products or services or significant contracts,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variations in quarterly operating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depth and liquidity of the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investor perceptions of our company and the pharmaceutical and biotechnology industries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degree of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results of clinical trials and preclinical studies,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or legal developments in the U.S.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receipt of, or failure to obtain,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our corporate strategy and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level of expenses related to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results of our efforts to discover, develop, acquire, or in-license additional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rumors or announcements regarding transactions involving our company 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industry, and market conditions and other national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both"/>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will not receive a significant amount or any additional funds upon the exercise of the pre-funded warrants. </w:t>
      </w:r>
    </w:p>
    <w:p>
      <w:pPr>
        <w:pStyle w:val="TextBody"/>
        <w:bidi w:val="0"/>
        <w:spacing w:before="120" w:after="0"/>
        <w:jc w:val="both"/>
        <w:rPr>
          <w:rFonts w:ascii="Times New Roman" w:hAnsi="Times New Roman"/>
          <w:sz w:val="20"/>
        </w:rPr>
      </w:pPr>
      <w:r>
        <w:rPr>
          <w:rFonts w:ascii="Times New Roman" w:hAnsi="Times New Roman"/>
          <w:sz w:val="20"/>
        </w:rPr>
        <w:t xml:space="preserve">Each pre-funded warrant is exercisable for $0.0001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Except for the right to participate in certain dividends and distributions, holders of the pre-funded warrants will have no rights as stockholders until such holders exercise their pre-funded warrants and acquire shares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common stock underlying such pre-funded warrants, except that the holder of a pre-funded warrant shall be entitled to participate in certain 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holder of common stock only as to matters for which the record date occurs after the exercise date. See Description of Pre-Funded WarrantsNo Rights as a Stockholder. </w:t>
      </w:r>
    </w:p>
    <w:p>
      <w:pPr>
        <w:pStyle w:val="TextBody"/>
        <w:bidi w:val="0"/>
        <w:spacing w:before="360" w:after="0"/>
        <w:jc w:val="both"/>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pre-funded warrants that they hold. </w:t>
      </w:r>
    </w:p>
    <w:p>
      <w:pPr>
        <w:pStyle w:val="TextBody"/>
        <w:bidi w:val="0"/>
        <w:spacing w:before="120" w:after="0"/>
        <w:jc w:val="both"/>
        <w:rPr>
          <w:rFonts w:ascii="Times New Roman" w:hAnsi="Times New Roman"/>
          <w:sz w:val="20"/>
        </w:rPr>
      </w:pPr>
      <w:r>
        <w:rPr>
          <w:rFonts w:ascii="Times New Roman" w:hAnsi="Times New Roman"/>
          <w:sz w:val="20"/>
        </w:rPr>
        <w:t xml:space="preserve">A holder of a pre-funded warrant will not be entitled to exercise any portion of any pre-funded warrant which, upon giving effect to such exercise, would cause the aggregate number of shares of our common stock beneficially owned by the holder (together with its affiliates and other attribution parties, as defined under Description of Pre-Funded WarrantsExercise Limitations) to exceed 24.99%, or if the purchaser elected prior to the issuance of pre-funded warrants to have the initial exercise limitation set at any of 4.99%, 9.99% or 19.99% of our outstanding common stock, such lower threshold, of the number of shares of our common stock that would be outstanding immediately after giving effect to the exercise. However, subject to certain limitations, any holder may increase or decrease such percentage to any other percentage not in excess of 24.99% upon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rom495299_5"/>
      <w:bookmarkEnd w:id="7"/>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rom495299_6"/>
      <w:bookmarkEnd w:id="8"/>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to us from the sale of the shares of common stock and pre-funded warrants to purchase shares of common stock that we are offering will be approximately $        million, or approximately $        million if the option to purchase additional shares is exercised in full by the underwriters, after deducting underwriting discounts and commissions and estimated offering expenses payable by us. We will receive nominal proceeds, if any, from the exercise of the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As of March 31, 2023, we had cash and cash equivalents of $236.4 million. We currently intend to use the net proceeds from this offering, together with our existing cash and cash equivalents,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t>
      </w:r>
    </w:p>
    <w:p>
      <w:pPr>
        <w:pStyle w:val="TextBody"/>
        <w:bidi w:val="0"/>
        <w:spacing w:before="240" w:after="0"/>
        <w:jc w:val="both"/>
        <w:rPr>
          <w:rFonts w:ascii="Times New Roman" w:hAnsi="Times New Roman"/>
          <w:sz w:val="20"/>
        </w:rPr>
      </w:pPr>
      <w:r>
        <w:rPr>
          <w:rFonts w:ascii="Times New Roman" w:hAnsi="Times New Roman"/>
          <w:sz w:val="20"/>
        </w:rPr>
        <w:t xml:space="preserve">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 </w:t>
      </w:r>
    </w:p>
    <w:p>
      <w:pPr>
        <w:pStyle w:val="TextBody"/>
        <w:bidi w:val="0"/>
        <w:spacing w:before="240" w:after="0"/>
        <w:jc w:val="both"/>
        <w:rPr>
          <w:rFonts w:ascii="Times New Roman" w:hAnsi="Times New Roman"/>
          <w:sz w:val="20"/>
        </w:rPr>
      </w:pPr>
      <w:r>
        <w:rPr>
          <w:rFonts w:ascii="Times New Roman" w:hAnsi="Times New Roman"/>
          <w:sz w:val="20"/>
        </w:rPr>
        <w:t xml:space="preserve">After the completion of this offering, assuming net proceeds to us, after deducting estimated offering expenses payable by us, of approximately $        million, we expect that our cash and cash equivalents, will be sufficient to fund our current operating and capital expenditure plans into                . Without the proceeds of this offering, we anticipate that our existing cash and cash equivalents will be sufficient to fund our operating and capital expenditure plans into 2025. Our future capital requirements will depend on many factors, including those discussed in Liquidity and Capital Resources of our Quarterly Report on Form 10-Q for the quarter ended March 31, 2023. </w:t>
      </w:r>
    </w:p>
    <w:p>
      <w:pPr>
        <w:pStyle w:val="TextBody"/>
        <w:bidi w:val="0"/>
        <w:spacing w:before="240" w:after="0"/>
        <w:jc w:val="both"/>
        <w:rPr>
          <w:rFonts w:ascii="Times New Roman" w:hAnsi="Times New Roman"/>
          <w:sz w:val="20"/>
        </w:rPr>
      </w:pPr>
      <w:r>
        <w:rPr>
          <w:rFonts w:ascii="Times New Roman" w:hAnsi="Times New Roman"/>
          <w:sz w:val="20"/>
        </w:rPr>
        <w:t xml:space="preserve">We do not expect that our existing cash and cash equivalents and anticipated net proceeds from this offering alone will be sufficient to enable us to fund the completion of the development of any of our product candidates. 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 of this prospectus supplement and the documents incorporated by reference for a discussion of the risks affecting our business that could have an adverse effect on our available capital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rom495299_7"/>
      <w:bookmarkEnd w:id="9"/>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purchase shares of our common stock or pre-funded warrants in this offering, your ownership interest will be diluted to the extent of the difference between the price per share of our common stock or pre-funded warrant you pay in this offering and the net tangible book value per share of our common stock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Our net tangible book value as of March 31, 2023 was approximately $228.2 million, or $11.66 per share of common stock, based upon 19,575,242 shares outstanding as of that date. Net tangible book value per share is equal to our total tangible assets, less our total liabilities, divided by the total number of shares outstanding. </w:t>
      </w:r>
    </w:p>
    <w:p>
      <w:pPr>
        <w:pStyle w:val="TextBody"/>
        <w:bidi w:val="0"/>
        <w:spacing w:before="240" w:after="0"/>
        <w:jc w:val="both"/>
        <w:rPr>
          <w:rFonts w:ascii="Times New Roman" w:hAnsi="Times New Roman"/>
          <w:sz w:val="20"/>
        </w:rPr>
      </w:pPr>
      <w:r>
        <w:rPr>
          <w:rFonts w:ascii="Times New Roman" w:hAnsi="Times New Roman"/>
          <w:sz w:val="20"/>
        </w:rPr>
        <w:t xml:space="preserve">After giving effect to our issuance and sale of shares of our common stock and pre-funded warrants at the public offering price of $                per share and $                per pre-funded warrant (which equals the $                per share price at which shares of our common stock are being sold to the public in this offering, less the $0.0001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after deducting underwriting discounts and commissions and estimated offering expenses payable by us, our adjusted net tangible book value as of March 31, 2023 would have been $                million, or $                per share. This represents an immediate increase in net tangible book value of                $                per share to our existing stockholders, and an immediate dilution of $                per share to investors purchasing shares of common stock and pre-funded warrants in the offering. Dilution per share to investors purchasing securities in this offering is determined by subtracting as adjusted net tangible book value per share after this offering from the public offering price per share of common stock (or pre-funded warrant) paid by investors.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illustrates this calculation on a per share basis, assuming the underwriters do not exercise their option to purchase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66"/>
        <w:gridCol w:w="241"/>
        <w:gridCol w:w="140"/>
        <w:gridCol w:w="572"/>
        <w:gridCol w:w="60"/>
        <w:gridCol w:w="241"/>
        <w:gridCol w:w="140"/>
        <w:gridCol w:w="782"/>
        <w:gridCol w:w="63"/>
      </w:tblGrid>
      <w:tr>
        <w:trPr/>
        <w:tc>
          <w:tcPr>
            <w:tcW w:w="796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96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2023</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11.66</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as adjusted net tangible book value per share attributable to investors purchasing shares or pre-funded warrants in this offering</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96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66"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2023 after giving effect to this offering</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6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as adjusted net tangible book value per share to investors in this offering</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96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holders of pre-funded warrants exercise the pre-funded warrants offered hereby, the as adjusted net tangible book value per share of our common stock after giving effect to this offering would be $                per share, and the dilution in net tangible book value per share to investors purchasing common stock in this offering would be $                per share. </w:t>
      </w:r>
    </w:p>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shares of common stock in full, the as adjusted net tangible book value after this offering would be $                per share, representing an increase in net tangible book value of                $                per share to existing stockholders and immediate dilution in net tangible book value of $                per share to investors purchasing our common stock in this offering at the public offering price. </w:t>
      </w:r>
    </w:p>
    <w:p>
      <w:pPr>
        <w:pStyle w:val="TextBody"/>
        <w:bidi w:val="0"/>
        <w:spacing w:before="240" w:after="0"/>
        <w:jc w:val="both"/>
        <w:rPr>
          <w:rFonts w:ascii="Times New Roman" w:hAnsi="Times New Roman"/>
          <w:sz w:val="20"/>
        </w:rPr>
      </w:pPr>
      <w:r>
        <w:rPr>
          <w:rFonts w:ascii="Times New Roman" w:hAnsi="Times New Roman"/>
          <w:sz w:val="20"/>
        </w:rPr>
        <w:t xml:space="preserve">The foregoing tables and calculations are based on 19,575,242 shares of common stock outstanding as of March 31, 2023,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2,527,513 shares of common stock issuable upon the exercise of stock options outstanding as of March 31, 2023, at a weighted average exercise price of $14.17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84,297 shares of common stock issuable upon the exercise of stock options granted subsequent to March 31, 2023, at a weighted average exercise price of $37.92;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958 shares of common stock issuable upon the vesting of restricted stock awards outstanding at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1,741,904 shares of common stock available for issuance under our Amended and Restated 2021 Stock Option and Incentive Plan as of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222,953 shares of common stock available for future issuance under our Amended and Restated 2021 Employee Stock Purchase Plan as of March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1,229,224 shares of common stock issuable upon the exercise of pre-funded warrants outstanding as of March 31, 2023.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rom495299_8"/>
      <w:bookmarkEnd w:id="10"/>
      <w:r>
        <w:rPr>
          <w:rFonts w:ascii="Times New Roman" w:hAnsi="Times New Roman"/>
          <w:b/>
          <w:sz w:val="20"/>
        </w:rPr>
        <w:t xml:space="preserve">DESCRIPTION OF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both"/>
        <w:rPr>
          <w:rFonts w:ascii="Times New Roman" w:hAnsi="Times New Roman"/>
          <w:sz w:val="20"/>
        </w:rPr>
      </w:pPr>
      <w:r>
        <w:rPr>
          <w:rFonts w:ascii="Times New Roman" w:hAnsi="Times New Roman"/>
          <w:sz w:val="20"/>
        </w:rPr>
        <w:t xml:space="preserve">The pre-funded warrants will be issued as individual warrant agreements to the investors. The form of pre-funded warrant will be filed as an exhibit to our Current Report on Form 8-K that we expect to file with the SEC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both"/>
        <w:rPr>
          <w:rFonts w:ascii="Times New Roman" w:hAnsi="Times New Roman"/>
          <w:sz w:val="20"/>
        </w:rPr>
      </w:pPr>
      <w:r>
        <w:rPr>
          <w:rFonts w:ascii="Times New Roman" w:hAnsi="Times New Roman"/>
          <w:sz w:val="20"/>
        </w:rPr>
        <w:t xml:space="preserve">The pre-funded warrants do not expire.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both"/>
        <w:rPr>
          <w:rFonts w:ascii="Times New Roman" w:hAnsi="Times New Roman"/>
          <w:sz w:val="20"/>
        </w:rPr>
      </w:pPr>
      <w:r>
        <w:rPr>
          <w:rFonts w:ascii="Times New Roman" w:hAnsi="Times New Roman"/>
          <w:sz w:val="20"/>
        </w:rPr>
        <w:t xml:space="preserve">Subject to certain limitations described below in Exercise Limitations,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any fractional shares that would otherwise be issuable, we will pay in cash to an exercising holder the fair market value, determined according to the terms of the pre-funded warrant, for any such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both"/>
        <w:rPr>
          <w:rFonts w:ascii="Times New Roman" w:hAnsi="Times New Roman"/>
          <w:sz w:val="20"/>
        </w:rPr>
      </w:pPr>
      <w:r>
        <w:rPr>
          <w:rFonts w:ascii="Times New Roman" w:hAnsi="Times New Roman"/>
          <w:sz w:val="20"/>
        </w:rPr>
        <w:t xml:space="preserve">Under the pre-funded warrants,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(as defined below)) to exceed 24.99% of the number of shares of our common stock that would be outstanding immediately after giving effect to the exercise. Purchasers in this offering may also elect prior to the issuance of pre-funded warrants to have the initial exercise limitation set at any of 4.99%, 9.99% or 19.99% of our outstanding common stock. However, any holder may increase or decrease such percentage to any other percentage not in excess of 24.99%, which increase or decrease shall not become effective until 61 days after notice from the holder to us. Notwithstanding the prior sentence, purchasers in this offering that select an exercise limitation of 19.99% or less will only be allowed to increase the exercise limitation above 19.99% if such increase would not result in a change of control under Nasdaq rules. For purposes of the foregoing, attribution parties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the exercise of a pre-funded warrant would result in a holder of pre-funded warrants (together with its attribution parties)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 Threshold, and no exemption to filing a notice and report form under the HSR Act is applicable, then only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any of the limitations on exercise described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both"/>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Taxes and Expenses </w:t>
      </w:r>
    </w:p>
    <w:p>
      <w:pPr>
        <w:pStyle w:val="TextBody"/>
        <w:bidi w:val="0"/>
        <w:spacing w:before="120" w:after="0"/>
        <w:jc w:val="both"/>
        <w:rPr>
          <w:rFonts w:ascii="Times New Roman" w:hAnsi="Times New Roman"/>
          <w:sz w:val="20"/>
        </w:rPr>
      </w:pPr>
      <w:r>
        <w:rPr>
          <w:rFonts w:ascii="Times New Roman" w:hAnsi="Times New Roman"/>
          <w:sz w:val="20"/>
        </w:rPr>
        <w:t xml:space="preserve">Issuance and delivery of shares of common stock upon exercise of a pre-funded warrant will be made without charge to the holder thereof for any issue or transfer tax, transfer agent fee or other incidental tax or expense (excluding any applicable stamp duties) in respect of the issuance thereof, all of which taxes and expenses shall be paid by us. However, we are not required to pay any tax that may be payable in respect of any transfer involved in the registration of any warrant shares or pre-funded warrants in a name other than that of the holder or an affiliate thereof. The holder shall be responsible for all other tax liability that may arise as a result of holding or transferring its pre-funded warrants or receiving shares upon exercise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both"/>
        <w:rPr>
          <w:rFonts w:ascii="Times New Roman" w:hAnsi="Times New Roman"/>
          <w:sz w:val="20"/>
        </w:rPr>
      </w:pPr>
      <w:r>
        <w:rPr>
          <w:rFonts w:ascii="Times New Roman" w:hAnsi="Times New Roman"/>
          <w:sz w:val="20"/>
        </w:rPr>
        <w:t xml:space="preserve">Subject to applicable laws, the pre-funded warrants may be assigned by the holder without our consent. The ownership of the pre-funded warrants and any transfers of the pre-funded warrants will be registered in a warrant register maintained by the warrant agent. We will initially act as warrant agent.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both"/>
        <w:rPr>
          <w:rFonts w:ascii="Times New Roman" w:hAnsi="Times New Roman"/>
          <w:sz w:val="20"/>
        </w:rPr>
      </w:pPr>
      <w:r>
        <w:rPr>
          <w:rFonts w:ascii="Times New Roman" w:hAnsi="Times New Roman"/>
          <w:sz w:val="20"/>
        </w:rPr>
        <w:t xml:space="preserve">We do not plan on applying to list the pre-funded warrants on the Nasdaq Global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 fundamental transaction (as described in the pre-funded warrants and generally including but not limited to certain reclassifications of our common stock, the sale, transfer or other disposition of all or substantially all of our properties or assets, our consolidation or merger with or into another person, the tender and acceptance for payment of shares representing more than 50% of the voting power of our capital stock pursuant to any tender or exchange offer (whether by us or another person), the acquisition by another person of more than 50% of the voting power of our capital stock pursuant to a stock purchase agreement or other business combination, including a reorganization, recapitalization or spin-off (except for any such transaction in which our stockholders immediately prior to such transaction maintain, in substantially the same proportions, voting power of us immediately after the transaction),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in full immediately prior to such fundamental transaction without regard to any limitations on exercise contained in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both"/>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rom495299_9"/>
      <w:bookmarkEnd w:id="11"/>
      <w:r>
        <w:rPr>
          <w:rFonts w:ascii="Times New Roman" w:hAnsi="Times New Roman"/>
          <w:b/>
          <w:sz w:val="20"/>
        </w:rPr>
        <w:t xml:space="preserve">MATERIAL U.S. FEDERAL INCOME TAX CONSEQUENCES FOR INVESTORS IN COMMON STOCK AND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summary describes the material U.S. federal income tax consequences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 </w:t>
      </w:r>
    </w:p>
    <w:p>
      <w:pPr>
        <w:pStyle w:val="TextBody"/>
        <w:bidi w:val="0"/>
        <w:spacing w:before="240" w:after="0"/>
        <w:jc w:val="both"/>
        <w:rPr>
          <w:rFonts w:ascii="Times New Roman" w:hAnsi="Times New Roman"/>
          <w:sz w:val="20"/>
        </w:rPr>
      </w:pPr>
      <w:r>
        <w:rPr>
          <w:rFonts w:ascii="Times New Roman" w:hAnsi="Times New Roman"/>
          <w:sz w:val="20"/>
        </w:rPr>
        <w:t xml:space="preserve">Special rules different from those described below may apply to certain investors that are subject to special treatment under the Internal Revenue Code of 1986, as amended, or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Non-U.S. Holders (as defined below) that own, or are deemed to own, more than 5% of our common stock (directly, indirectly or by attribution) or more than 5% of our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required for U.S. federal income tax purposes to conform the timing of income accruals to their financial statements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that hold our common stock or pre-funded warrants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Holders (as defined below) whose functional currency for U.S.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do not hold our common stock or pre-funded warrants as capital assets within the meaning of Section 1221 of the Code (generally, for investment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partnerships and other pass-through entities, and investors in such pass-through entities (regardless of their places of organization or formation).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Such investors are urged to consult their own tax advisors to determine the U.S. federal, state, local and other tax consequences that may be relevant to them.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discussion, a U.S. Holder means a beneficial owner of our common stock or pre-funded warrants, other than a partnership or other pass-through entity, that is, for U.S. federal income tax purposes, (a) an individual citizen or resident of the United States, (b) a corporation (or other entity taxable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 </w:t>
      </w:r>
    </w:p>
    <w:p>
      <w:pPr>
        <w:pStyle w:val="TextBody"/>
        <w:bidi w:val="0"/>
        <w:spacing w:before="240" w:after="0"/>
        <w:jc w:val="both"/>
        <w:rPr>
          <w:rFonts w:ascii="Times New Roman" w:hAnsi="Times New Roman"/>
          <w:sz w:val="20"/>
        </w:rPr>
      </w:pPr>
      <w:r>
        <w:rPr>
          <w:rFonts w:ascii="Times New Roman" w:hAnsi="Times New Roman"/>
          <w:sz w:val="20"/>
        </w:rPr>
        <w:t xml:space="preserve">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both"/>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PERSONS CONSIDERING THE PURCHASE OF OUR COMMON STOCK OR PRE-FUNDED WARRANTS PURSUANT TO THIS OFFERING SHOULD CONSULT THEIR OWN TAX ADVISORS CONCERNING THE U.S. FEDERAL INCOME TAX CONSEQUENCES OF ACQUIRING, OWNING AND DISPOSING OF OUR COMMON STOCK AND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 </w:t>
      </w:r>
    </w:p>
    <w:p>
      <w:pPr>
        <w:pStyle w:val="TextBody"/>
        <w:bidi w:val="0"/>
        <w:spacing w:before="360" w:after="0"/>
        <w:jc w:val="left"/>
        <w:rPr>
          <w:rFonts w:ascii="Times New Roman" w:hAnsi="Times New Roman"/>
          <w:b/>
          <w:sz w:val="20"/>
        </w:rPr>
      </w:pPr>
      <w:r>
        <w:rPr>
          <w:rFonts w:ascii="Times New Roman" w:hAnsi="Times New Roman"/>
          <w:b/>
          <w:sz w:val="20"/>
        </w:rPr>
        <w:t xml:space="preserve">Characterization of the Pre-Funded Warrants for Tax Purposes </w:t>
      </w:r>
    </w:p>
    <w:p>
      <w:pPr>
        <w:pStyle w:val="TextBody"/>
        <w:bidi w:val="0"/>
        <w:spacing w:before="120" w:after="0"/>
        <w:jc w:val="both"/>
        <w:rPr>
          <w:rFonts w:ascii="Times New Roman" w:hAnsi="Times New Roman"/>
          <w:sz w:val="20"/>
        </w:rPr>
      </w:pPr>
      <w:r>
        <w:rPr>
          <w:rFonts w:ascii="Times New Roman" w:hAnsi="Times New Roman"/>
          <w:sz w:val="20"/>
        </w:rPr>
        <w:t xml:space="preserve">Although the characterization of the pre-funded warrants for U.S. federal income tax purposes is not entirely clear, because the exercise price of the pre-funded warrants is a nominal amount, we expect to treat the pre-funded warrants as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 </w:t>
      </w:r>
    </w:p>
    <w:p>
      <w:pPr>
        <w:pStyle w:val="TextBody"/>
        <w:bidi w:val="0"/>
        <w:spacing w:before="240" w:after="0"/>
        <w:jc w:val="both"/>
        <w:rPr>
          <w:rFonts w:ascii="Times New Roman" w:hAnsi="Times New Roman"/>
          <w:sz w:val="20"/>
        </w:rPr>
      </w:pPr>
      <w:r>
        <w:rPr>
          <w:rFonts w:ascii="Times New Roman" w:hAnsi="Times New Roman"/>
          <w:sz w:val="20"/>
        </w:rPr>
        <w:t xml:space="preserve">Our position with respect to the characterization of pre-funded warrants is not binding on the IRS and the IRS may treat the pre-funded warrants as warrants to acquire our common stock and, if so, the amount and character of your gain with respect to an investment in our pre-funded warrants could change. You should consult your tax advisor regarding the characterization of pre-funded warrants for U.S. federal income tax purposes, and the consequences to you of an investment in the pre-funded warrants based on your own particular facts and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both"/>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xml:space="preserve">, we do not expect to make distributions on our common stock (or pre-funded warrants) in the foreseeable future. In the event that we do make distributions of cash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property, distributions paid on common stock (or pre-funded warrants)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requirements are satisfied. Distributions in excess of our current and accumulated earnings and profits will be treated as a return of capital to the extent of a U.S. Holders tax basis in the common stock (or pre-funded warrant) and thereafter as capital gain from the sale or exchange of such common stock (or pre-funded warrant). The tax treatment of such gain is further described in </w:t>
      </w:r>
      <w:r>
        <w:rPr>
          <w:rFonts w:ascii="Times New Roman" w:hAnsi="Times New Roman"/>
          <w:i/>
          <w:sz w:val="20"/>
        </w:rPr>
        <w:t>Sale or Other Disposition of Common Stock or Pre-Funded Warrants</w:t>
      </w:r>
      <w:r>
        <w:rPr>
          <w:rFonts w:ascii="Times New Roman" w:hAnsi="Times New Roman"/>
          <w:sz w:val="20"/>
        </w:rPr>
        <w:t> below. Dividends received by a corporation may be eligible for a dividends received deduction, subject to applicable limitations. Any such distributions will also be subject to the discussions below under the section titled </w:t>
      </w:r>
      <w:r>
        <w:rPr>
          <w:rFonts w:ascii="Times New Roman" w:hAnsi="Times New Roman"/>
          <w:i/>
          <w:sz w:val="20"/>
        </w:rPr>
        <w:t>Information Reporting and Backup Withholding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U.S. Holder of a pre-funded warrant is expected to receive any distributions paid with respect to common stock prior to the exercise of the pre-funded warrant and, in such case, would be taxed in the same manner as a U.S. Holder of common stock that receives such a distribution. However, under certain circumstances, it is possible for cash to be held in abeyance for the 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or Pre-Funded Warrants </w:t>
      </w:r>
    </w:p>
    <w:p>
      <w:pPr>
        <w:pStyle w:val="TextBody"/>
        <w:bidi w:val="0"/>
        <w:spacing w:before="120" w:after="0"/>
        <w:jc w:val="both"/>
        <w:rPr>
          <w:rFonts w:ascii="Times New Roman" w:hAnsi="Times New Roman"/>
          <w:sz w:val="20"/>
        </w:rPr>
      </w:pPr>
      <w:r>
        <w:rPr>
          <w:rFonts w:ascii="Times New Roman" w:hAnsi="Times New Roman"/>
          <w:sz w:val="20"/>
        </w:rPr>
        <w:t xml:space="preserve">For U.S. federal income tax purposes, gain or loss realized on the sale or other disposition of common stock or pre-funded warrants will be capital gain or loss, and will be long-term capital gain or loss if you have held the common stock or pre-funded warrants for more than one year. The amount of the gain or loss will equal the difference between your tax basis in the common stock or pre-funded warrants disposed of and the amount realized on the disposition. Long-term capital gains recognized by non-corporate U.S. Holders will be subject to reduced tax rates.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Information reporting requirements generally will apply to any payments of dividends on our common stock and pre-funded warrants, constructive dividends on our pre-funded warrants, and gross proceeds on the sale or other disposition of our common stock and pre-funded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both"/>
        <w:rPr>
          <w:rFonts w:ascii="Times New Roman" w:hAnsi="Times New Roman"/>
          <w:sz w:val="20"/>
        </w:rPr>
      </w:pPr>
      <w:r>
        <w:rPr>
          <w:rFonts w:ascii="Times New Roman" w:hAnsi="Times New Roman"/>
          <w:sz w:val="20"/>
        </w:rPr>
        <w:t xml:space="preserve">For purposes of this discussion, a Non-U.S. Holder is a beneficial owner of our common stock or pre-funded warrants that, for U.S. federal income tax purposes, is (i) a foreign corporation, (ii) a nonresident alien individual, or (iii) a foreign estate or trust that in each case is not subject to U.S. federal income tax on a net-income basis on income or gain from common stock or pre-funded warrants. If you are not a Non-U.S. Holder, this section does not apply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both"/>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hAnsi="Times New Roman"/>
          <w:i/>
          <w:sz w:val="20"/>
        </w:rPr>
        <w:t>Sale or Other Disposition of Common Stock and Pre-Funded Warrants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with the IRS. </w:t>
      </w:r>
    </w:p>
    <w:p>
      <w:pPr>
        <w:pStyle w:val="TextBody"/>
        <w:bidi w:val="0"/>
        <w:spacing w:before="240" w:after="0"/>
        <w:jc w:val="both"/>
        <w:rPr>
          <w:rFonts w:ascii="Times New Roman" w:hAnsi="Times New Roman"/>
          <w:sz w:val="20"/>
        </w:rPr>
      </w:pPr>
      <w:r>
        <w:rPr>
          <w:rFonts w:ascii="Times New Roman" w:hAnsi="Times New Roman"/>
          <w:sz w:val="20"/>
        </w:rPr>
        <w:t xml:space="preserve">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w:t>
      </w:r>
    </w:p>
    <w:p>
      <w:pPr>
        <w:pStyle w:val="TextBody"/>
        <w:bidi w:val="0"/>
        <w:spacing w:before="240" w:after="0"/>
        <w:jc w:val="both"/>
        <w:rPr>
          <w:rFonts w:ascii="Times New Roman" w:hAnsi="Times New Roman"/>
          <w:sz w:val="20"/>
        </w:rPr>
      </w:pPr>
      <w:r>
        <w:rPr>
          <w:rFonts w:ascii="Times New Roman" w:hAnsi="Times New Roman"/>
          <w:sz w:val="20"/>
        </w:rPr>
        <w:t>A Non-U.S. Holder of a pre-funded warrant is expected to receive any distributions paid with respect to common stock prior to the exercise of the pre-funded warrant and, in such case, would be taxed in the same manner as Non-U.S. Holder of common stock that receives such a distribution. However, under certain circumstances, it is possible for cash to be held in abeyance for a Non-U.S.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See also the section below titled </w:t>
      </w:r>
      <w:r>
        <w:rPr>
          <w:rFonts w:ascii="Times New Roman" w:hAnsi="Times New Roman"/>
          <w:i/>
          <w:sz w:val="20"/>
        </w:rPr>
        <w:t>Foreign Accounts</w:t>
      </w:r>
      <w:r>
        <w:rPr>
          <w:rFonts w:ascii="Times New Roman" w:hAnsi="Times New Roman"/>
          <w:sz w:val="20"/>
        </w:rPr>
        <w:t xml:space="preserve"> for additional withholding rules that may apply to dividends paid to certain foreign financial institutions or non-financial foreign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and Pre-Funded Warrants </w:t>
      </w:r>
    </w:p>
    <w:p>
      <w:pPr>
        <w:pStyle w:val="TextBody"/>
        <w:bidi w:val="0"/>
        <w:spacing w:before="120" w:after="0"/>
        <w:jc w:val="both"/>
        <w:rPr>
          <w:rFonts w:ascii="Times New Roman" w:hAnsi="Times New Roman"/>
          <w:sz w:val="20"/>
        </w:rPr>
      </w:pPr>
      <w:r>
        <w:rPr>
          <w:rFonts w:ascii="Times New Roman" w:hAnsi="Times New Roman"/>
          <w:sz w:val="20"/>
        </w:rPr>
        <w:t>Subject to the discussion below under the sections titled </w:t>
      </w:r>
      <w:r>
        <w:rPr>
          <w:rFonts w:ascii="Times New Roman" w:hAnsi="Times New Roman"/>
          <w:i/>
          <w:sz w:val="20"/>
        </w:rPr>
        <w:t>Information Reporting and Backup Withholding</w:t>
      </w:r>
      <w:r>
        <w:rPr>
          <w:rFonts w:ascii="Times New Roman" w:hAnsi="Times New Roman"/>
          <w:sz w:val="20"/>
        </w:rPr>
        <w:t> and </w:t>
      </w:r>
      <w:r>
        <w:rPr>
          <w:rFonts w:ascii="Times New Roman" w:hAnsi="Times New Roman"/>
          <w:i/>
          <w:sz w:val="20"/>
        </w:rPr>
        <w:t>Foreign Accounts</w:t>
      </w:r>
      <w:r>
        <w:rPr>
          <w:rFonts w:ascii="Times New Roman" w:hAnsi="Times New Roman"/>
          <w:sz w:val="20"/>
        </w:rPr>
        <w:t xml:space="preserve">,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 </w:t>
      </w:r>
    </w:p>
    <w:p>
      <w:pPr>
        <w:pStyle w:val="TextBody"/>
        <w:bidi w:val="0"/>
        <w:spacing w:before="240" w:after="0"/>
        <w:jc w:val="both"/>
        <w:rPr>
          <w:rFonts w:ascii="Times New Roman" w:hAnsi="Times New Roman"/>
          <w:sz w:val="20"/>
        </w:rPr>
      </w:pPr>
      <w:r>
        <w:rPr>
          <w:rFonts w:ascii="Times New Roman" w:hAnsi="Times New Roman"/>
          <w:sz w:val="20"/>
        </w:rPr>
        <w:t xml:space="preserve">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Our pre-funded warrants are expected to constitute a class of stock for purposes of the rules described above. However, we do not expect our pre-funded warrants to be regularly traded on an established securities market for purposes of such rule.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Generally, we or certain financial middlemen must report information to the IRS with respect to any dividends we pay on our common stock or pre-funded warrants and any constructive dividends deemed paid on pre-funded warrants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 </w:t>
      </w:r>
    </w:p>
    <w:p>
      <w:pPr>
        <w:pStyle w:val="TextBody"/>
        <w:bidi w:val="0"/>
        <w:spacing w:before="240" w:after="0"/>
        <w:jc w:val="both"/>
        <w:rPr>
          <w:rFonts w:ascii="Times New Roman" w:hAnsi="Times New Roman"/>
          <w:sz w:val="20"/>
        </w:rPr>
      </w:pPr>
      <w:r>
        <w:rPr>
          <w:rFonts w:ascii="Times New Roman" w:hAnsi="Times New Roman"/>
          <w:sz w:val="20"/>
        </w:rPr>
        <w:t xml:space="preserve">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If backup withholding is applied to you, you should consult with your own tax advisor to determine whether you have overpaid your U.S. federal income tax, and whether you are able to obtain a tax refund or credit of the overpaid amount.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on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both"/>
        <w:rPr>
          <w:rFonts w:ascii="Times New Roman" w:hAnsi="Times New Roman"/>
          <w:sz w:val="20"/>
        </w:rPr>
      </w:pPr>
      <w:r>
        <w:rPr>
          <w:rFonts w:ascii="Times New Roman" w:hAnsi="Times New Roman"/>
          <w:sz w:val="20"/>
        </w:rPr>
        <w:t xml:space="preserve">The Treasury Secretary has issued proposed regulations providing that the withholding provisions under FATCA do not apply with respect to payment of gross proceeds from a sale or other disposition of our notes or common stock, which may be relied upon by taxpayers until final regulations are issued. Prospective investors should consult their tax advisors regarding the potential application of withholding under FATCA to their investment in our common stock or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rom495299_10"/>
      <w:bookmarkEnd w:id="12"/>
      <w:r>
        <w:rPr>
          <w:rFonts w:ascii="Times New Roman" w:hAnsi="Times New Roman"/>
          <w:b/>
          <w:sz w:val="20"/>
        </w:rPr>
        <w:t xml:space="preserve">UNDERWRITERS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SVB Securities LLC, Stifel, Nicolaus &amp; Company, Incorporated and BMO Capital Markets Corp. are acting as representatives, have severally agreed to purchase, and we have agreed to sell to them, severally, the number of shares of common stock and pre-funded warrants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2"/>
        <w:gridCol w:w="222"/>
        <w:gridCol w:w="93"/>
        <w:gridCol w:w="1532"/>
        <w:gridCol w:w="60"/>
        <w:gridCol w:w="222"/>
        <w:gridCol w:w="73"/>
        <w:gridCol w:w="1197"/>
        <w:gridCol w:w="64"/>
      </w:tblGrid>
      <w:tr>
        <w:trPr/>
        <w:tc>
          <w:tcPr>
            <w:tcW w:w="6742"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7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22"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 of</w:t>
            </w:r>
            <w:r>
              <w:rPr/>
              <w:br/>
            </w:r>
            <w:r>
              <w:rPr>
                <w:b/>
              </w:rPr>
              <w:t>Common Stock</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4" w:type="dxa"/>
            <w:tcBorders/>
            <w:vAlign w:val="bottom"/>
          </w:tcPr>
          <w:p>
            <w:pPr>
              <w:pStyle w:val="TableContents"/>
              <w:bidi w:val="0"/>
              <w:spacing w:before="0" w:after="283"/>
              <w:jc w:val="left"/>
              <w:rPr/>
            </w:pPr>
            <w:r>
              <w:rPr/>
              <w:t> </w:t>
            </w:r>
          </w:p>
        </w:tc>
      </w:tr>
      <w:tr>
        <w:trPr/>
        <w:tc>
          <w:tcPr>
            <w:tcW w:w="6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2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5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742" w:type="dxa"/>
            <w:tcBorders/>
          </w:tcPr>
          <w:p>
            <w:pPr>
              <w:pStyle w:val="TableContents"/>
              <w:bidi w:val="0"/>
              <w:spacing w:before="0" w:after="0"/>
              <w:jc w:val="left"/>
              <w:rPr>
                <w:rFonts w:ascii="Times New Roman" w:hAnsi="Times New Roman"/>
                <w:sz w:val="20"/>
              </w:rPr>
            </w:pPr>
            <w:r>
              <w:rPr>
                <w:rFonts w:ascii="Times New Roman" w:hAnsi="Times New Roman"/>
                <w:sz w:val="20"/>
              </w:rPr>
              <w:t>SVB Securities LLC</w:t>
            </w:r>
          </w:p>
        </w:tc>
        <w:tc>
          <w:tcPr>
            <w:tcW w:w="22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5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22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5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742"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22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5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Wedbush Securities Inc.</w:t>
            </w:r>
          </w:p>
        </w:tc>
        <w:tc>
          <w:tcPr>
            <w:tcW w:w="22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5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742"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4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742"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and pre-funded warrants subject to their acceptance of the shares from us and subject to prior sale. The underwriting agreement provides that the obligations of the several underwriters to pay for and accept delivery of the shares of common stock and pre-funded warrants offered by this prospectus supplement are subject to the approval of certain legal matters by their counsel and to certain other conditions precedent. The underwriters are obligated to take and pay for all of the shares of common stock and pre-funded warrants offered by this prospectus supplement if any such shares and pre-funded warrants are taken. However, the underwriters are not required to take or pay for the shares of common stock, including the number of shares underlying the pre-funded warrants covered by the underwriters option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we and the representatives on behalf of the underwriters shall instruct purchasers of the pre-funded warrants in this offering to make payment for such pre-funded warrants on the closing date of this offering to us, in lieu of payment by the underwriters for such pre-funded warrants, and we shall deliver executed pre-funded warrants to such purchaser on the closing date of this offering against such payment, in lieu of our obligation to deliver such pre-funded warrants to the underwriters; provided that, upon receipt by us of payment for the pre-funded warrants, we shall promptly (but in no event later than the closing date of this offering), pay the underwriting fee referred to below to the underwriters. In the event that any purchaser of the pre-funded warrants in this offering fails to make payment to us for all or part of the pre-funded warrants on the closing date of this offering, the representatives on behalf of the underwriters may elect, by written notice to us, to receive shares of common stock in lieu of all or a portion of such pre-funded warrants to be delivered to the underwriters in connection with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and pre-funded warrants directly to the public at the offering price listed on the cover page of this prospectus supplement and part to certain dealers at a price that represents a concession not in excess of $                per share of common stock and pre-funded warrants under the public offering price. After the initial offering of the shares of common stock and pre-funded warrants,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additional shares of common stock at the public offering price listed on the cover page of this prospectus supplement, less underwriting discounts and commissions. The number of shares subject to the underwriters option equals 15% of the total number of shares of common stock plus the number of shares underlying the pre-funded warrants. To the extent the option is exercised, each underwriter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become obligated, subject to certain conditions, to purchase about the same percentage of the additional shares of common stock as the number listed next to the underwriters name in the preceding table bears to the total number of shares of common stock and pre-funded warrants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pre-funded warrant total public offering price, underwriting discounts and commissions, and proceeds before expenses to us. These amounts are shown assuming both no exercise and full exercise of the underwriters option to purchase up to an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75"/>
        <w:gridCol w:w="98"/>
        <w:gridCol w:w="192"/>
        <w:gridCol w:w="1500"/>
        <w:gridCol w:w="60"/>
        <w:gridCol w:w="98"/>
        <w:gridCol w:w="73"/>
        <w:gridCol w:w="1227"/>
        <w:gridCol w:w="60"/>
        <w:gridCol w:w="98"/>
        <w:gridCol w:w="140"/>
        <w:gridCol w:w="1059"/>
        <w:gridCol w:w="59"/>
        <w:gridCol w:w="98"/>
        <w:gridCol w:w="140"/>
        <w:gridCol w:w="1059"/>
        <w:gridCol w:w="69"/>
      </w:tblGrid>
      <w:tr>
        <w:trPr/>
        <w:tc>
          <w:tcPr>
            <w:tcW w:w="417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2" w:type="dxa"/>
            <w:gridSpan w:val="2"/>
            <w:tcBorders>
              <w:bottom w:val="single" w:sz="8" w:space="0" w:color="000000"/>
            </w:tcBorders>
            <w:tcMar>
              <w:bottom w:w="28" w:type="dxa"/>
            </w:tcMar>
            <w:vAlign w:val="bottom"/>
          </w:tcPr>
          <w:p>
            <w:pPr>
              <w:pStyle w:val="TableContents"/>
              <w:bidi w:val="0"/>
              <w:spacing w:before="0" w:after="283"/>
              <w:jc w:val="center"/>
              <w:rPr/>
            </w:pPr>
            <w:r>
              <w:rPr>
                <w:b/>
              </w:rPr>
              <w:t>Per</w:t>
              <w:br/>
              <w:t>Share of</w:t>
            </w:r>
            <w:r>
              <w:rPr/>
              <w:br/>
            </w:r>
            <w:r>
              <w:rPr>
                <w:b/>
              </w:rPr>
              <w:t>Common Stock</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pPr>
            <w:r>
              <w:rPr>
                <w:b/>
              </w:rPr>
              <w:t>Per</w:t>
              <w:br/>
              <w:t>Pre-Funded</w:t>
            </w:r>
            <w:r>
              <w:rPr/>
              <w:br/>
            </w:r>
            <w:r>
              <w:rPr>
                <w:b/>
              </w:rPr>
              <w:t>Warrant</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5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9" w:type="dxa"/>
            <w:tcBorders/>
            <w:vAlign w:val="bottom"/>
          </w:tcPr>
          <w:p>
            <w:pPr>
              <w:pStyle w:val="TableContents"/>
              <w:bidi w:val="0"/>
              <w:spacing w:before="0" w:after="283"/>
              <w:jc w:val="left"/>
              <w:rPr/>
            </w:pPr>
            <w:r>
              <w:rPr/>
              <w:t> </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5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5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5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We have agreed to reimburse the underwriters for expenses relating to the qualification of the securities offered hereby under state securities laws and the clearance of this offering with the Financial Industry Regulatory Authority.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listed on the Nasdaq Global Market under the trading symbol IRON. We do not intend to list the pre-funded warrants on the Nasdaq Global Market, any other nationally recognized securities exchange or any other nationally recognized trading system. </w:t>
      </w:r>
    </w:p>
    <w:p>
      <w:pPr>
        <w:pStyle w:val="TextBody"/>
        <w:bidi w:val="0"/>
        <w:spacing w:before="240" w:after="0"/>
        <w:jc w:val="both"/>
        <w:rPr>
          <w:rFonts w:ascii="Times New Roman" w:hAnsi="Times New Roman"/>
          <w:sz w:val="20"/>
        </w:rPr>
      </w:pPr>
      <w:r>
        <w:rPr>
          <w:rFonts w:ascii="Times New Roman" w:hAnsi="Times New Roman"/>
          <w:sz w:val="20"/>
        </w:rPr>
        <w:t xml:space="preserve">We and all directors and officers and certain stockholders have agreed that, without the prior written consent of the representatives on behalf of the underwriters, we and they will not, and will not publicly disclose an intention to, during the period ending 90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file any registration statement with the SEC relating to the offering of any shares of common stock or any securities convertible into or exercisable or exchangeable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subject to the lock-up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us, the restrictions described above do not apply to: </w:t>
      </w:r>
    </w:p>
    <w:p>
      <w:pPr>
        <w:pStyle w:val="TextBody"/>
        <w:bidi w:val="0"/>
        <w:spacing w:before="240" w:after="0"/>
        <w:jc w:val="both"/>
        <w:rPr>
          <w:rFonts w:ascii="Times New Roman" w:hAnsi="Times New Roman"/>
          <w:sz w:val="20"/>
        </w:rPr>
      </w:pPr>
      <w:r>
        <w:rPr>
          <w:rFonts w:ascii="Times New Roman" w:hAnsi="Times New Roman"/>
          <w:sz w:val="20"/>
        </w:rPr>
        <w:t xml:space="preserve">(a) the shares to be sold under the underwriting agreement (including the shares of common stock issuable upon the exercise of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 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 </w:t>
      </w:r>
    </w:p>
    <w:p>
      <w:pPr>
        <w:pStyle w:val="TextBody"/>
        <w:bidi w:val="0"/>
        <w:spacing w:before="240" w:after="0"/>
        <w:jc w:val="both"/>
        <w:rPr>
          <w:rFonts w:ascii="Times New Roman" w:hAnsi="Times New Roman"/>
          <w:sz w:val="20"/>
        </w:rPr>
      </w:pPr>
      <w:r>
        <w:rPr>
          <w:rFonts w:ascii="Times New Roman" w:hAnsi="Times New Roman"/>
          <w:sz w:val="20"/>
        </w:rPr>
        <w:t xml:space="preserve">(c) 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 </w:t>
      </w:r>
    </w:p>
    <w:p>
      <w:pPr>
        <w:pStyle w:val="TextBody"/>
        <w:bidi w:val="0"/>
        <w:spacing w:before="240" w:after="0"/>
        <w:jc w:val="both"/>
        <w:rPr>
          <w:rFonts w:ascii="Times New Roman" w:hAnsi="Times New Roman"/>
          <w:sz w:val="20"/>
        </w:rPr>
      </w:pPr>
      <w:r>
        <w:rPr>
          <w:rFonts w:ascii="Times New Roman" w:hAnsi="Times New Roman"/>
          <w:sz w:val="20"/>
        </w:rPr>
        <w:t xml:space="preserve">(d) the filing by us of registration statements on Form S-8 with respect to the employee benefit plans described in this prospectus supplement or the documents incorporated by reference herein; </w:t>
      </w:r>
    </w:p>
    <w:p>
      <w:pPr>
        <w:pStyle w:val="TextBody"/>
        <w:bidi w:val="0"/>
        <w:spacing w:before="240" w:after="0"/>
        <w:jc w:val="both"/>
        <w:rPr>
          <w:rFonts w:ascii="Times New Roman" w:hAnsi="Times New Roman"/>
          <w:sz w:val="20"/>
        </w:rPr>
      </w:pPr>
      <w:r>
        <w:rPr>
          <w:rFonts w:ascii="Times New Roman" w:hAnsi="Times New Roman"/>
          <w:sz w:val="20"/>
        </w:rPr>
        <w:t xml:space="preserve">(e) 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 or </w:t>
      </w:r>
    </w:p>
    <w:p>
      <w:pPr>
        <w:pStyle w:val="TextBody"/>
        <w:bidi w:val="0"/>
        <w:spacing w:before="240" w:after="0"/>
        <w:jc w:val="both"/>
        <w:rPr>
          <w:rFonts w:ascii="Times New Roman" w:hAnsi="Times New Roman"/>
          <w:sz w:val="20"/>
        </w:rPr>
      </w:pPr>
      <w:r>
        <w:rPr>
          <w:rFonts w:ascii="Times New Roman" w:hAnsi="Times New Roman"/>
          <w:sz w:val="20"/>
        </w:rPr>
        <w:t xml:space="preserve">(e) 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 </w:t>
      </w:r>
    </w:p>
    <w:p>
      <w:pPr>
        <w:pStyle w:val="TextBody"/>
        <w:bidi w:val="0"/>
        <w:spacing w:before="240" w:after="0"/>
        <w:jc w:val="both"/>
        <w:rPr>
          <w:rFonts w:ascii="Times New Roman" w:hAnsi="Times New Roman"/>
          <w:sz w:val="20"/>
        </w:rPr>
      </w:pPr>
      <w:r>
        <w:rPr>
          <w:rFonts w:ascii="Times New Roman" w:hAnsi="Times New Roman"/>
          <w:sz w:val="20"/>
        </w:rPr>
        <w:t xml:space="preserve">(f) 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our directors, executive officers and certain shareholders, the restrictions described above do not apply to: </w:t>
      </w:r>
    </w:p>
    <w:p>
      <w:pPr>
        <w:pStyle w:val="TextBody"/>
        <w:bidi w:val="0"/>
        <w:spacing w:before="240" w:after="0"/>
        <w:jc w:val="both"/>
        <w:rPr>
          <w:rFonts w:ascii="Times New Roman" w:hAnsi="Times New Roman"/>
          <w:sz w:val="20"/>
        </w:rPr>
      </w:pPr>
      <w:r>
        <w:rPr>
          <w:rFonts w:ascii="Times New Roman" w:hAnsi="Times New Roman"/>
          <w:sz w:val="20"/>
        </w:rPr>
        <w:t xml:space="preserve">(a) transactions relating to shares of common stock or other securities acquired in this offering or in open market transactions after the completion of this offering,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in connection with subsequent sales of common stock or other securities acquired in this offering or in such open market transactions; </w:t>
      </w:r>
    </w:p>
    <w:p>
      <w:pPr>
        <w:pStyle w:val="TextBody"/>
        <w:bidi w:val="0"/>
        <w:spacing w:before="240" w:after="0"/>
        <w:jc w:val="both"/>
        <w:rPr>
          <w:rFonts w:ascii="Times New Roman" w:hAnsi="Times New Roman"/>
          <w:sz w:val="20"/>
        </w:rPr>
      </w:pPr>
      <w:r>
        <w:rPr>
          <w:rFonts w:ascii="Times New Roman" w:hAnsi="Times New Roman"/>
          <w:sz w:val="20"/>
        </w:rPr>
        <w:t xml:space="preserve">(b) transfers of shares of common stock or any security convertible into or exercisable or exchangeable for common stock as a bona fide gift or to a charitable organization or educational institution in a transfer not involving a disposition for value; </w:t>
      </w:r>
    </w:p>
    <w:p>
      <w:pPr>
        <w:pStyle w:val="TextBody"/>
        <w:bidi w:val="0"/>
        <w:spacing w:before="240" w:after="0"/>
        <w:jc w:val="both"/>
        <w:rPr>
          <w:rFonts w:ascii="Times New Roman" w:hAnsi="Times New Roman"/>
          <w:sz w:val="20"/>
        </w:rPr>
      </w:pPr>
      <w:r>
        <w:rPr>
          <w:rFonts w:ascii="Times New Roman" w:hAnsi="Times New Roman"/>
          <w:sz w:val="20"/>
        </w:rPr>
        <w:t xml:space="preserve">(c) 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 distributions of shares of common stock or any security convertible into common stock to general or limited partners, members, beneficiaries or other equityholders, direct or indirect affiliates (as defined in Rule 405 promulgated under the Securities Act of 1933, as amended) or to an investment fund or other entity that controls or manages, or is under common control with certain holders and their affiliates; </w:t>
      </w:r>
    </w:p>
    <w:p>
      <w:pPr>
        <w:pStyle w:val="TextBody"/>
        <w:bidi w:val="0"/>
        <w:spacing w:before="240" w:after="0"/>
        <w:jc w:val="both"/>
        <w:rPr>
          <w:rFonts w:ascii="Times New Roman" w:hAnsi="Times New Roman"/>
          <w:sz w:val="20"/>
        </w:rPr>
      </w:pPr>
      <w:r>
        <w:rPr>
          <w:rFonts w:ascii="Times New Roman" w:hAnsi="Times New Roman"/>
          <w:sz w:val="20"/>
        </w:rPr>
        <w:t xml:space="preserve">(e) transfers or dispositions of shares of common stock or any security convertible into or exercisable or exchangeable for common stock (i)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 </w:t>
      </w:r>
    </w:p>
    <w:p>
      <w:pPr>
        <w:pStyle w:val="TextBody"/>
        <w:bidi w:val="0"/>
        <w:spacing w:before="240" w:after="0"/>
        <w:jc w:val="both"/>
        <w:rPr>
          <w:rFonts w:ascii="Times New Roman" w:hAnsi="Times New Roman"/>
          <w:sz w:val="20"/>
        </w:rPr>
      </w:pPr>
      <w:r>
        <w:rPr>
          <w:rFonts w:ascii="Times New Roman" w:hAnsi="Times New Roman"/>
          <w:sz w:val="20"/>
        </w:rPr>
        <w:t xml:space="preserve">(f) transfers or dispositions of shares of common stock or any security convertible into or exercisable or exchangeable for common stock to us pursuant to any contractual arrangement in effect on the date of this agreement and disclosed to the underwriters in writing that provides for the repurchase of common stock or other securities by us or in connection with the termination of employment with or service to us; </w:t>
      </w:r>
      <w:r>
        <w:rPr>
          <w:rFonts w:ascii="Times New Roman" w:hAnsi="Times New Roman"/>
          <w:i/>
          <w:sz w:val="20"/>
        </w:rPr>
        <w:t>provided</w:t>
      </w:r>
      <w:r>
        <w:rPr>
          <w:rFonts w:ascii="Times New Roman" w:hAnsi="Times New Roman"/>
          <w:sz w:val="20"/>
        </w:rPr>
        <w:t xml:space="preserve"> that (i)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 </w:t>
      </w:r>
    </w:p>
    <w:p>
      <w:pPr>
        <w:pStyle w:val="TextBody"/>
        <w:bidi w:val="0"/>
        <w:spacing w:before="240" w:after="0"/>
        <w:jc w:val="both"/>
        <w:rPr>
          <w:rFonts w:ascii="Times New Roman" w:hAnsi="Times New Roman"/>
          <w:sz w:val="20"/>
        </w:rPr>
      </w:pPr>
      <w:r>
        <w:rPr>
          <w:rFonts w:ascii="Times New Roman" w:hAnsi="Times New Roman"/>
          <w:sz w:val="20"/>
        </w:rPr>
        <w:t xml:space="preserve">(g) 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w:t>
      </w:r>
      <w:r>
        <w:rPr>
          <w:rFonts w:ascii="Times New Roman" w:hAnsi="Times New Roman"/>
          <w:i/>
          <w:sz w:val="20"/>
        </w:rPr>
        <w:t>provided</w:t>
      </w:r>
      <w:r>
        <w:rPr>
          <w:rFonts w:ascii="Times New Roman" w:hAnsi="Times New Roman"/>
          <w:sz w:val="20"/>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offering; </w:t>
      </w:r>
    </w:p>
    <w:p>
      <w:pPr>
        <w:pStyle w:val="TextBody"/>
        <w:bidi w:val="0"/>
        <w:spacing w:before="240" w:after="0"/>
        <w:jc w:val="both"/>
        <w:rPr>
          <w:rFonts w:ascii="Times New Roman" w:hAnsi="Times New Roman"/>
          <w:sz w:val="20"/>
        </w:rPr>
      </w:pPr>
      <w:r>
        <w:rPr>
          <w:rFonts w:ascii="Times New Roman" w:hAnsi="Times New Roman"/>
          <w:sz w:val="20"/>
        </w:rPr>
        <w:t xml:space="preserve">(h) the establishment of a trading plan on behalf of a stockholder, officer or director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 or </w:t>
      </w:r>
    </w:p>
    <w:p>
      <w:pPr>
        <w:pStyle w:val="TextBody"/>
        <w:bidi w:val="0"/>
        <w:spacing w:before="240" w:after="0"/>
        <w:jc w:val="both"/>
        <w:rPr>
          <w:rFonts w:ascii="Times New Roman" w:hAnsi="Times New Roman"/>
          <w:sz w:val="20"/>
        </w:rPr>
      </w:pPr>
      <w:r>
        <w:rPr>
          <w:rFonts w:ascii="Times New Roman" w:hAnsi="Times New Roman"/>
          <w:sz w:val="20"/>
        </w:rPr>
        <w:t xml:space="preserve">(i) 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w:t>
      </w:r>
      <w:r>
        <w:rPr>
          <w:rFonts w:ascii="Times New Roman" w:hAnsi="Times New Roman"/>
          <w:i/>
          <w:sz w:val="20"/>
        </w:rPr>
        <w:t>provided</w:t>
      </w:r>
      <w:r>
        <w:rPr>
          <w:rFonts w:ascii="Times New Roman" w:hAnsi="Times New Roman"/>
          <w:sz w:val="20"/>
        </w:rPr>
        <w:t xml:space="preserve">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(j) the sale or transfer of shares of common stock pursuant to a written trading plan pursuant to Rule 10b5-1 under the Exchange Act that has been entered into prior to the date of the lock-up agreement; </w:t>
      </w:r>
      <w:r>
        <w:rPr>
          <w:rFonts w:ascii="Times New Roman" w:hAnsi="Times New Roman"/>
          <w:i/>
          <w:sz w:val="20"/>
        </w:rPr>
        <w:t>provided</w:t>
      </w:r>
      <w:r>
        <w:rPr>
          <w:rFonts w:ascii="Times New Roman" w:hAnsi="Times New Roman"/>
          <w:sz w:val="20"/>
        </w:rPr>
        <w:t xml:space="preserve">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 </w:t>
      </w:r>
    </w:p>
    <w:p>
      <w:pPr>
        <w:pStyle w:val="TextBody"/>
        <w:bidi w:val="0"/>
        <w:spacing w:before="240" w:after="0"/>
        <w:jc w:val="both"/>
        <w:rPr>
          <w:rFonts w:ascii="Times New Roman" w:hAnsi="Times New Roman"/>
          <w:sz w:val="20"/>
        </w:rPr>
      </w:pPr>
      <w:r>
        <w:rPr>
          <w:rFonts w:ascii="Times New Roman" w:hAnsi="Times New Roman"/>
          <w:sz w:val="20"/>
        </w:rPr>
        <w:t xml:space="preserve">The representatives, in their sole discretion, may release the common stock and other securities subject to the lock-up agreements described above in whole or in part at any time.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we are party to a Sales Agreement with SVB Securities LLC, dated January 25, 2023, relating pursuant to which we may offer and sell shares of our common stock having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aggregate offering price of up to $100,000,000 from time to time through SVB Securities LLC, acting as our sales agent.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240" w:after="0"/>
        <w:jc w:val="both"/>
        <w:rPr>
          <w:rFonts w:ascii="Times New Roman" w:hAnsi="Times New Roman"/>
          <w:sz w:val="20"/>
        </w:rPr>
      </w:pPr>
      <w:r>
        <w:rPr>
          <w:rFonts w:ascii="Times New Roman" w:hAnsi="Times New Roman"/>
          <w:sz w:val="20"/>
        </w:rPr>
        <w:t xml:space="preserve">Each of Cantor Fitzgerald &amp; Co. (CF&amp;CO) and LifeSci Capital (LifeSci), FINRA members, are acting as financial advisors in connection with the offering. Neither CF&amp;CO nor LifeSci are acting as an underwriter and neither will sell or offer to sell any securities and will not identify, solicit or engage directly with potential investors. In addition, neither Cantor nor LifeSci will underwrite or purchase any of the offered securities or otherwise participate in any such undertaking.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or pre-funded warrant shares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securities shall require us or the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underwriters and us that it is a qualified investor within the meaning of Article 2(e) of the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Member State to qualified investors as so defined or in circumstances in which the prior consent of the representatives has been obtained to each such proposed offer or resale.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both"/>
        <w:rPr>
          <w:rFonts w:ascii="Times New Roman" w:hAnsi="Times New Roman"/>
          <w:sz w:val="20"/>
        </w:rPr>
      </w:pPr>
      <w:r>
        <w:rPr>
          <w:rFonts w:ascii="Times New Roman" w:hAnsi="Times New Roman"/>
          <w:sz w:val="20"/>
        </w:rPr>
        <w:t xml:space="preserve">No securities have been offered or will be offered pursuant to the offering to the public in the United Kingdom prior to the publication of a prospectus in relation to the securities which has been approved by the Financial Conduct Authority in the UK in accordance with the UK Prospectus Regulation and the Financial Services and Markets Act 2000 (FSMA), except that the securities may be offered to the public in the United Kingdom at any time under the following exemptions under the UK Prospectus Regulation and the FSMA: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underwriter for any such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securities shall require us or the underwriter to publish a prospectus pursuant to Section 85 of the FSMA or supplement a prospectus pursuant to Article 23 of the UK Prospectus Regulation. Each person in the United Kingdom who acquires any securities in the offering or to whom any offer is made will be deemed to have represented, acknowledged and agreed to and with us and the underwriters that it is a qualified investor within the meaning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(the UK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Any invitation or inducement to engage in investment activity (within the meaning of Section 21 of the FSMA) in connection with the issue or sale of any securities may only be communicated or caused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communicated in circumstances in which Section 21(1) of the FSMA does not apply to us. Each purchaser of securities must comply with all applicable provisions of the FSMA and the Financial Services Act 2012 with respect to anything done by it in relation to any securities in, from or otherwise involving the United Kingdom.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is only being distributed to, and is only directed at, persons in the United Kingdom that are qualified investors as defined in the UK Prospectus Regulation that are also (i) investment professionals falling within Article 19(5) of the Financial Services and Markets Act 2000 (Financial Promotion) Order 2005 (as amended, the Order) or (ii) high net worth entities, and other persons to whom it may lawfully be communicated, falling within Article 49(2)(a) to (d) of the Order or (iii) persons to whom an invitation or inducement to engage in investment activity (within the meaning of section 21 of the FSMA) in connection with the issue or sale of any securities may otherwise lawfully be communicated or caused to be communicated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 </w:t>
      </w:r>
    </w:p>
    <w:p>
      <w:pPr>
        <w:pStyle w:val="TextBody"/>
        <w:bidi w:val="0"/>
        <w:spacing w:before="240" w:after="0"/>
        <w:jc w:val="both"/>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bidi w:val="0"/>
        <w:spacing w:before="240" w:after="0"/>
        <w:jc w:val="both"/>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 shares have not been and will not be registered pursuant to Article 4, Paragraph 1 of the Financial Instruments and Exchange Act. Accordingly, none of the shares of common stock or pre-funded warrant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 Qualified Institutional Investors, or QII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and pre-funded warrant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and pre-funded warrant shares. The shares of common stock may only be transferred to QIIs.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 Non-QII Investors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and pre-funded warrant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and pre-funded warrant shares. The shares of common stock may only be transferred en bloc without subdivision to a single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Securities and Futures Act Production Classification </w:t>
      </w:r>
    </w:p>
    <w:p>
      <w:pPr>
        <w:pStyle w:val="TextBody"/>
        <w:bidi w:val="0"/>
        <w:spacing w:before="120" w:after="0"/>
        <w:jc w:val="both"/>
        <w:rPr>
          <w:rFonts w:ascii="Times New Roman" w:hAnsi="Times New Roman"/>
          <w:sz w:val="20"/>
        </w:rPr>
      </w:pPr>
      <w:r>
        <w:rPr>
          <w:rFonts w:ascii="Times New Roman" w:hAnsi="Times New Roman"/>
          <w:sz w:val="20"/>
        </w:rPr>
        <w:t xml:space="preserve">Solely for the purposes of its obligations pursuant to sections 309B(1)(a) and 309B(1)(c) of the Securities and Futures Act (Chapter 289 of Singapore) (the SFA), we have determined, and hereby notify all relevant persons (as defined in Section 309A of the SFA) that the shares of common stock and pre-funded warrants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 shares may not be publicly offered in Switzerland and will not be listed on the SIX Swiss Exchange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of common stock and pre-funded warrant shares or the offering may be publicly distributed or otherwise made publicly available in Switzerland. </w:t>
      </w:r>
    </w:p>
    <w:p>
      <w:pPr>
        <w:pStyle w:val="TextBody"/>
        <w:bidi w:val="0"/>
        <w:spacing w:before="240" w:after="0"/>
        <w:jc w:val="both"/>
        <w:rPr>
          <w:rFonts w:ascii="Times New Roman" w:hAnsi="Times New Roman"/>
          <w:sz w:val="20"/>
        </w:rPr>
      </w:pPr>
      <w:r>
        <w:rPr>
          <w:rFonts w:ascii="Times New Roman" w:hAnsi="Times New Roman"/>
          <w:sz w:val="20"/>
        </w:rPr>
        <w:t xml:space="preserve">Neither this prospectus supplement nor any other offering or marketing material relating to the offering, us, the shares of common stock or the pre-funded warrant shares have been or will be filed with or approved by any Swiss regulatory authority. In particular, this prospectus supplement will not be filed with, and the offer of shares of common stock and pre-funded warrant shares will not be supervised by, the Swiss Financial Market Supervisory Authority, and the offer of these securities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or DFSA. This prospectus supplement is intended for distribution only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does not constitute a disclosure document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or Exempt Investors, available under section 708 of the Corporations Act.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shares of common stock and pre-funded warrant shares may not be directly or indirectly offered for subscription or purchased or sold, and no invitations to subscribe for or buy the shares of common stock or pre-funded warrant shares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before="240" w:after="0"/>
        <w:jc w:val="both"/>
        <w:rPr>
          <w:rFonts w:ascii="Times New Roman" w:hAnsi="Times New Roman"/>
          <w:sz w:val="20"/>
        </w:rPr>
      </w:pPr>
      <w:r>
        <w:rPr>
          <w:rFonts w:ascii="Times New Roman" w:hAnsi="Times New Roman"/>
          <w:sz w:val="20"/>
        </w:rPr>
        <w:t xml:space="preserve">As any offer of shares of common stock and pre-funded warrant shares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common shares or pre-funded warrant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5728- 1968. We have not and will not distribute this prospectus supplement or make, distribute or direct an offer to subscribe for our common shares or pre-funded warrant shares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shares and pre-funded warrant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shares and pre-funded warrant shares; (iv) that the common shares and pre-funded warrant shares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srom495299_11"/>
      <w:bookmarkEnd w:id="13"/>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the shares of common stock and pre-funded warrants offered hereby will be passed upon for us by Goodwin Procter LLP, Boston, Massachusetts. Wilmer Cutler Pickering Hale and Dorr LLP, New York, New York, is acting as counsel to the underwriters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rom495299_12"/>
      <w:bookmarkEnd w:id="14"/>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years ended December 31, 2022 and 2021,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rom495299_13"/>
      <w:bookmarkEnd w:id="15"/>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srom495299_14"/>
      <w:bookmarkEnd w:id="16"/>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Annual Report on Form 10-K for the year ended December 31, 2022, filed with the SEC on </w:t>
            </w:r>
            <w:hyperlink r:id="rId4">
              <w:r>
                <w:rPr>
                  <w:rStyle w:val="InternetLink"/>
                  <w:rFonts w:ascii="Times New Roman" w:hAnsi="Times New Roman"/>
                  <w:sz w:val="20"/>
                </w:rPr>
                <w:t>March 31,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Quarterly Report on Form 10-Q for the quarter ended March 31, 2023, filed with the SEC on </w:t>
            </w:r>
            <w:hyperlink r:id="rId5">
              <w:r>
                <w:rPr>
                  <w:rStyle w:val="InternetLink"/>
                  <w:rFonts w:ascii="Times New Roman" w:hAnsi="Times New Roman"/>
                  <w:sz w:val="20"/>
                </w:rPr>
                <w:t>May 15,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rFonts w:ascii="Times New Roman" w:hAnsi="Times New Roman"/>
                <w:sz w:val="20"/>
              </w:rPr>
              <w:t xml:space="preserve">Current Reports on Form 8-K, filed with the SEC on </w:t>
            </w:r>
            <w:hyperlink r:id="rId6">
              <w:r>
                <w:rPr>
                  <w:rStyle w:val="InternetLink"/>
                  <w:rFonts w:ascii="Times New Roman" w:hAnsi="Times New Roman"/>
                  <w:sz w:val="20"/>
                </w:rPr>
                <w:t>January 23, 2023</w:t>
              </w:r>
            </w:hyperlink>
            <w:r>
              <w:rPr>
                <w:rFonts w:ascii="Times New Roman" w:hAnsi="Times New Roman"/>
                <w:sz w:val="20"/>
              </w:rPr>
              <w:t xml:space="preserve"> (to the extent the information in such report is filed and not furnished), </w:t>
            </w:r>
            <w:hyperlink r:id="rId7">
              <w:r>
                <w:rPr>
                  <w:rStyle w:val="InternetLink"/>
                  <w:rFonts w:ascii="Times New Roman" w:hAnsi="Times New Roman"/>
                  <w:sz w:val="20"/>
                </w:rPr>
                <w:t>January  25, 2023</w:t>
              </w:r>
            </w:hyperlink>
            <w:r>
              <w:rPr>
                <w:rFonts w:ascii="Times New Roman" w:hAnsi="Times New Roman"/>
                <w:sz w:val="20"/>
              </w:rPr>
              <w:t xml:space="preserve">, </w:t>
            </w:r>
            <w:hyperlink r:id="rId8">
              <w:r>
                <w:rPr>
                  <w:rStyle w:val="InternetLink"/>
                  <w:rFonts w:ascii="Times New Roman" w:hAnsi="Times New Roman"/>
                  <w:sz w:val="20"/>
                </w:rPr>
                <w:t>February  14, 2023</w:t>
              </w:r>
            </w:hyperlink>
            <w:r>
              <w:rPr>
                <w:rFonts w:ascii="Times New Roman" w:hAnsi="Times New Roman"/>
                <w:sz w:val="20"/>
              </w:rPr>
              <w:t xml:space="preserve"> (to the extent the information in such report is filed and not furnished), </w:t>
            </w:r>
            <w:hyperlink r:id="rId9">
              <w:r>
                <w:rPr>
                  <w:rStyle w:val="InternetLink"/>
                  <w:rFonts w:ascii="Times New Roman" w:hAnsi="Times New Roman"/>
                  <w:sz w:val="20"/>
                </w:rPr>
                <w:t>March 31, 2023</w:t>
              </w:r>
            </w:hyperlink>
            <w:r>
              <w:rPr>
                <w:rFonts w:ascii="Times New Roman" w:hAnsi="Times New Roman"/>
                <w:sz w:val="20"/>
              </w:rPr>
              <w:t xml:space="preserve"> (to the extent the information in such report is filed and not furnished), </w:t>
            </w:r>
            <w:hyperlink r:id="rId10">
              <w:r>
                <w:rPr>
                  <w:rStyle w:val="InternetLink"/>
                  <w:rFonts w:ascii="Times New Roman" w:hAnsi="Times New Roman"/>
                  <w:sz w:val="20"/>
                </w:rPr>
                <w:t>April  19, 2023</w:t>
              </w:r>
            </w:hyperlink>
            <w:r>
              <w:rPr>
                <w:rFonts w:ascii="Times New Roman" w:hAnsi="Times New Roman"/>
                <w:sz w:val="20"/>
              </w:rPr>
              <w:t xml:space="preserve">, </w:t>
            </w:r>
            <w:hyperlink r:id="rId11">
              <w:r>
                <w:rPr>
                  <w:rStyle w:val="InternetLink"/>
                  <w:rFonts w:ascii="Times New Roman" w:hAnsi="Times New Roman"/>
                  <w:sz w:val="20"/>
                </w:rPr>
                <w:t>June  9, 2023</w:t>
              </w:r>
            </w:hyperlink>
            <w:r>
              <w:rPr>
                <w:rFonts w:ascii="Times New Roman" w:hAnsi="Times New Roman"/>
                <w:sz w:val="20"/>
              </w:rPr>
              <w:t xml:space="preserve"> (to the extent the information in such report is filed not furnished) and </w:t>
            </w:r>
            <w:hyperlink r:id="rId12">
              <w:r>
                <w:rPr>
                  <w:rStyle w:val="InternetLink"/>
                  <w:rFonts w:ascii="Times New Roman" w:hAnsi="Times New Roman"/>
                  <w:sz w:val="20"/>
                </w:rPr>
                <w:t>June 9,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The information included in our Definitive Proxy Statement on Schedule 14A, filed with the SEC on </w:t>
            </w:r>
            <w:hyperlink r:id="rId13">
              <w:r>
                <w:rPr>
                  <w:rStyle w:val="InternetLink"/>
                  <w:rFonts w:ascii="Times New Roman" w:hAnsi="Times New Roman"/>
                  <w:sz w:val="20"/>
                </w:rPr>
                <w:t>April 20, 2023</w:t>
              </w:r>
            </w:hyperlink>
            <w:r>
              <w:rPr>
                <w:rFonts w:ascii="Times New Roman" w:hAnsi="Times New Roman"/>
                <w:sz w:val="20"/>
              </w:rPr>
              <w:t xml:space="preserve">, to the extent incorporated by reference into Part III of the Annual Report on Form 10-K for the fiscal year ended </w:t>
            </w:r>
            <w:r>
              <w:fldChar w:fldCharType="begin"/>
            </w:r>
            <w:r>
              <w:rPr>
                <w:rStyle w:val="InternetLink"/>
                <w:sz w:val="20"/>
                <w:rFonts w:ascii="Times New Roman" w:hAnsi="Times New Roman"/>
              </w:rPr>
              <w:instrText xml:space="preserve"> HYPERLINK "http://www.sec.gov/Archives/edgar/data/../../../ix?doc=/Archives/edgar/data/1816736/000095017023011139/iron-20221231.htm" \l "part_iii"</w:instrText>
            </w:r>
            <w:r>
              <w:rPr>
                <w:rStyle w:val="InternetLink"/>
                <w:sz w:val="20"/>
                <w:rFonts w:ascii="Times New Roman" w:hAnsi="Times New Roman"/>
              </w:rPr>
              <w:fldChar w:fldCharType="separate"/>
            </w:r>
            <w:r>
              <w:rPr>
                <w:rStyle w:val="InternetLink"/>
                <w:rFonts w:ascii="Times New Roman" w:hAnsi="Times New Roman"/>
                <w:sz w:val="20"/>
              </w:rPr>
              <w:t>December 31, 2022</w:t>
            </w:r>
            <w:r>
              <w:rPr>
                <w:rStyle w:val="InternetLink"/>
                <w:sz w:val="20"/>
                <w:rFonts w:ascii="Times New Roman" w:hAnsi="Times New Roman"/>
              </w:rPr>
              <w:fldChar w:fldCharType="end"/>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description of our common stock contained in our Registration Statement on Form 8-A filed with the SEC on </w:t>
            </w:r>
            <w:hyperlink r:id="rId14">
              <w:r>
                <w:rPr>
                  <w:rStyle w:val="InternetLink"/>
                  <w:rFonts w:ascii="Times New Roman" w:hAnsi="Times New Roman"/>
                  <w:sz w:val="20"/>
                </w:rPr>
                <w:t>August 10, 2020</w:t>
              </w:r>
            </w:hyperlink>
            <w:r>
              <w:rPr>
                <w:rFonts w:ascii="Times New Roman" w:hAnsi="Times New Roman"/>
                <w:sz w:val="20"/>
              </w:rPr>
              <w:t xml:space="preserve">, and as set forth by the description of our common stock set forth in Exhibit 4.4 to our Annual Report on Form 10-K for the year ended December  31, 2021, filed with the SEC on </w:t>
            </w:r>
            <w:hyperlink r:id="rId15">
              <w:r>
                <w:rPr>
                  <w:rStyle w:val="InternetLink"/>
                  <w:rFonts w:ascii="Times New Roman" w:hAnsi="Times New Roman"/>
                  <w:sz w:val="20"/>
                </w:rPr>
                <w:t>March 10, 2022</w:t>
              </w:r>
            </w:hyperlink>
            <w:r>
              <w:rPr>
                <w:rFonts w:ascii="Times New Roman" w:hAnsi="Times New Roman"/>
                <w:sz w:val="20"/>
              </w:rPr>
              <w:t xml:space="preserve">, and as further supplemented by the description of our common stock set forth in our Registration Statement on Form S-4/A, filed with the SEC on </w:t>
            </w:r>
            <w:hyperlink r:id="rId16">
              <w:r>
                <w:rPr>
                  <w:rStyle w:val="InternetLink"/>
                  <w:rFonts w:ascii="Times New Roman" w:hAnsi="Times New Roman"/>
                  <w:sz w:val="20"/>
                </w:rPr>
                <w:t>December 1, 2022</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674-9274 </w:t>
      </w:r>
    </w:p>
    <w:p>
      <w:pPr>
        <w:pStyle w:val="TextBody"/>
        <w:bidi w:val="0"/>
        <w:spacing w:before="240" w:after="0"/>
        <w:jc w:val="both"/>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www.discmedicine.com</w:t>
      </w:r>
      <w:r>
        <w:rPr>
          <w:rFonts w:ascii="Times New Roman" w:hAnsi="Times New Roman"/>
          <w:sz w:val="20"/>
        </w:rPr>
        <w:t xml:space="preserve">.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925" cy="666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17"/>
                    <a:stretch>
                      <a:fillRect/>
                    </a:stretch>
                  </pic:blipFill>
                  <pic:spPr bwMode="auto">
                    <a:xfrm>
                      <a:off x="0" y="0"/>
                      <a:ext cx="415925" cy="66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$300,000,000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up to $300,000,000 in aggregate principal amount of our Common Stock, Preferred Stock, Debt Securities, Warrants or Units, in each case in one or more issuances and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IRON. On January 13, 2023, the closing price of our common stock, as reported on The Nasdaq Global Market, was $19.25 per share. </w:t>
      </w:r>
    </w:p>
    <w:p>
      <w:pPr>
        <w:pStyle w:val="TextBody"/>
        <w:bidi w:val="0"/>
        <w:spacing w:before="360" w:after="0"/>
        <w:jc w:val="left"/>
        <w:rPr/>
      </w:pPr>
      <w:r>
        <w:rPr>
          <w:rFonts w:ascii="Times New Roman" w:hAnsi="Times New Roman"/>
          <w:b/>
          <w:sz w:val="24"/>
        </w:rPr>
        <w:t>Investing in our securities involves risks. You should review carefully the risks and uncertainties described under the heading </w:t>
      </w:r>
      <w:hyperlink w:anchor="toc495299_6">
        <w:r>
          <w:rPr>
            <w:rStyle w:val="InternetLink"/>
            <w:rFonts w:ascii="Times New Roman" w:hAnsi="Times New Roman"/>
            <w:b/>
            <w:i/>
            <w:sz w:val="24"/>
          </w:rPr>
          <w:t>Risk Factors</w:t>
        </w:r>
      </w:hyperlink>
      <w:r>
        <w:rPr>
          <w:rFonts w:ascii="Times New Roman" w:hAnsi="Times New Roman"/>
          <w:b/>
          <w:sz w:val="24"/>
        </w:rPr>
        <w:t> on page 10 of this prospectus and under any similar heading in the documents that are incorporated by reference into this prospectus, as well as </w:t>
      </w:r>
      <w:r>
        <w:rPr>
          <w:rFonts w:ascii="Times New Roman" w:hAnsi="Times New Roman"/>
          <w:b/>
          <w:i/>
          <w:sz w:val="24"/>
        </w:rPr>
        <w:t>Special Note Regarding Forward-Looking Statements</w:t>
      </w:r>
      <w:r>
        <w:rPr>
          <w:rFonts w:ascii="Times New Roman" w:hAnsi="Times New Roman"/>
          <w:b/>
          <w:sz w:val="24"/>
        </w:rPr>
        <w:t xml:space="preserve"> on page 4 of this prospectus. You should read the entire prospectus and any applicable prospectus supplement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sz w:val="20"/>
        </w:rPr>
        <w:t>Plan of Distribution</w:t>
      </w:r>
      <w:r>
        <w:rPr>
          <w:rFonts w:ascii="Times New Roman" w:hAnsi="Times New Roman"/>
          <w:sz w:val="20"/>
        </w:rPr>
        <w:t xml:space="preserve"> in this prospectus. We will also describe in an applicable prospectus supplement the way(s) in which we expect to use the net proceeds we receive from any sale.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or sell any securities unless accompanied by a prospectus supplement.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January 24,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7">
              <w:r>
                <w:rPr>
                  <w:rStyle w:val="InternetLink"/>
                  <w:rFonts w:ascii="Times New Roman" w:hAnsi="Times New Roman"/>
                  <w:sz w:val="20"/>
                </w:rPr>
                <w:t>SELECTED FINANCIAL DATA</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495299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Securities and Exchange Commission, or the SEC, using a shelf registration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this process, we may sell the securities described in this prospectus in one or more offerings for an aggregate offering amount of up to $300,000,000.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sz w:val="20"/>
        </w:rPr>
        <w:t xml:space="preserve">Where You Can Find More Information </w:t>
      </w:r>
      <w:r>
        <w:rPr>
          <w:rFonts w:ascii="Times New Roman" w:hAnsi="Times New Roman"/>
          <w:sz w:val="20"/>
        </w:rPr>
        <w:t>and </w:t>
      </w:r>
      <w:r>
        <w:rPr>
          <w:rFonts w:ascii="Times New Roman" w:hAnsi="Times New Roman"/>
          <w:i/>
          <w:sz w:val="20"/>
        </w:rPr>
        <w:t>Incorporation of Certain Information by Reference</w:t>
      </w:r>
      <w:r>
        <w:rPr>
          <w:rFonts w:ascii="Times New Roman" w:hAnsi="Times New Roman"/>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480" w:after="0"/>
        <w:jc w:val="center"/>
        <w:rPr>
          <w:rFonts w:ascii="Times New Roman" w:hAnsi="Times New Roman"/>
          <w:b/>
          <w:sz w:val="20"/>
        </w:rPr>
      </w:pPr>
      <w:bookmarkStart w:id="18" w:name="toc495299_2"/>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website at </w:t>
      </w:r>
      <w:r>
        <w:rPr>
          <w:rFonts w:ascii="Times New Roman" w:hAnsi="Times New Roman"/>
          <w:i/>
          <w:sz w:val="20"/>
        </w:rPr>
        <w:t>www.discmedicine.com</w:t>
      </w:r>
      <w:r>
        <w:rPr>
          <w:rFonts w:ascii="Times New Roman" w:hAnsi="Times New Roman"/>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495299_3"/>
      <w:bookmarkEnd w:id="19"/>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2021, filed with the SEC on </w:t>
            </w:r>
            <w:hyperlink r:id="rId18">
              <w:r>
                <w:rPr>
                  <w:rStyle w:val="InternetLink"/>
                  <w:rFonts w:ascii="Times New Roman" w:hAnsi="Times New Roman"/>
                  <w:sz w:val="20"/>
                </w:rPr>
                <w:t>March 10, 2022</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2022, June 30, 2022 and September 30, 2022, filed with the SEC on </w:t>
            </w:r>
            <w:hyperlink r:id="rId19">
              <w:r>
                <w:rPr>
                  <w:rStyle w:val="InternetLink"/>
                  <w:rFonts w:ascii="Times New Roman" w:hAnsi="Times New Roman"/>
                  <w:sz w:val="20"/>
                </w:rPr>
                <w:t>May  6, 2022</w:t>
              </w:r>
            </w:hyperlink>
            <w:r>
              <w:rPr>
                <w:rFonts w:ascii="Times New Roman" w:hAnsi="Times New Roman"/>
                <w:sz w:val="20"/>
                <w:u w:val="single"/>
              </w:rPr>
              <w:t>,</w:t>
            </w:r>
            <w:r>
              <w:rPr>
                <w:rFonts w:ascii="Times New Roman" w:hAnsi="Times New Roman"/>
                <w:sz w:val="20"/>
              </w:rPr>
              <w:t xml:space="preserve"> </w:t>
            </w:r>
            <w:hyperlink r:id="rId20">
              <w:r>
                <w:rPr>
                  <w:rStyle w:val="InternetLink"/>
                  <w:rFonts w:ascii="Times New Roman" w:hAnsi="Times New Roman"/>
                  <w:sz w:val="20"/>
                </w:rPr>
                <w:t>August  11, 2022</w:t>
              </w:r>
            </w:hyperlink>
            <w:r>
              <w:rPr>
                <w:rFonts w:ascii="Times New Roman" w:hAnsi="Times New Roman"/>
                <w:sz w:val="20"/>
              </w:rPr>
              <w:t xml:space="preserve">, and </w:t>
            </w:r>
            <w:hyperlink r:id="rId21">
              <w:r>
                <w:rPr>
                  <w:rStyle w:val="InternetLink"/>
                  <w:rFonts w:ascii="Times New Roman" w:hAnsi="Times New Roman"/>
                  <w:sz w:val="20"/>
                </w:rPr>
                <w:t>November 11, 2022</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2">
              <w:r>
                <w:rPr>
                  <w:rStyle w:val="InternetLink"/>
                  <w:rFonts w:ascii="Times New Roman" w:hAnsi="Times New Roman"/>
                  <w:sz w:val="20"/>
                </w:rPr>
                <w:t>January 10, 2022</w:t>
              </w:r>
            </w:hyperlink>
            <w:r>
              <w:rPr>
                <w:rFonts w:ascii="Times New Roman" w:hAnsi="Times New Roman"/>
                <w:sz w:val="20"/>
              </w:rPr>
              <w:t xml:space="preserve"> (excluding information furnished pursuant to Item 7.01), </w:t>
            </w:r>
            <w:hyperlink r:id="rId23">
              <w:r>
                <w:rPr>
                  <w:rStyle w:val="InternetLink"/>
                  <w:rFonts w:ascii="Times New Roman" w:hAnsi="Times New Roman"/>
                  <w:sz w:val="20"/>
                </w:rPr>
                <w:t>January  14, 2022</w:t>
              </w:r>
            </w:hyperlink>
            <w:r>
              <w:rPr>
                <w:rFonts w:ascii="Times New Roman" w:hAnsi="Times New Roman"/>
                <w:sz w:val="20"/>
              </w:rPr>
              <w:t xml:space="preserve">, </w:t>
            </w:r>
            <w:hyperlink r:id="rId24">
              <w:r>
                <w:rPr>
                  <w:rStyle w:val="InternetLink"/>
                  <w:rFonts w:ascii="Times New Roman" w:hAnsi="Times New Roman"/>
                  <w:sz w:val="20"/>
                </w:rPr>
                <w:t>February  28, 2022</w:t>
              </w:r>
            </w:hyperlink>
            <w:r>
              <w:rPr>
                <w:rFonts w:ascii="Times New Roman" w:hAnsi="Times New Roman"/>
                <w:sz w:val="20"/>
              </w:rPr>
              <w:t xml:space="preserve"> (excluding information furnished pursuant to Item 7.01), </w:t>
            </w:r>
            <w:hyperlink r:id="rId25">
              <w:r>
                <w:rPr>
                  <w:rStyle w:val="InternetLink"/>
                  <w:rFonts w:ascii="Times New Roman" w:hAnsi="Times New Roman"/>
                  <w:sz w:val="20"/>
                </w:rPr>
                <w:t>April  5, 2022</w:t>
              </w:r>
            </w:hyperlink>
            <w:r>
              <w:rPr>
                <w:rFonts w:ascii="Times New Roman" w:hAnsi="Times New Roman"/>
                <w:sz w:val="20"/>
              </w:rPr>
              <w:t xml:space="preserve">, </w:t>
            </w:r>
            <w:hyperlink r:id="rId26">
              <w:r>
                <w:rPr>
                  <w:rStyle w:val="InternetLink"/>
                  <w:rFonts w:ascii="Times New Roman" w:hAnsi="Times New Roman"/>
                  <w:sz w:val="20"/>
                </w:rPr>
                <w:t>August  10, 2022</w:t>
              </w:r>
            </w:hyperlink>
            <w:r>
              <w:rPr>
                <w:rFonts w:ascii="Times New Roman" w:hAnsi="Times New Roman"/>
                <w:sz w:val="20"/>
              </w:rPr>
              <w:t xml:space="preserve"> (excluding information furnished pursuant to Item 7.01), </w:t>
            </w:r>
            <w:hyperlink r:id="rId27">
              <w:r>
                <w:rPr>
                  <w:rStyle w:val="InternetLink"/>
                  <w:rFonts w:ascii="Times New Roman" w:hAnsi="Times New Roman"/>
                  <w:sz w:val="20"/>
                </w:rPr>
                <w:t>December  8, 2022</w:t>
              </w:r>
            </w:hyperlink>
            <w:r>
              <w:rPr>
                <w:rFonts w:ascii="Times New Roman" w:hAnsi="Times New Roman"/>
                <w:sz w:val="20"/>
              </w:rPr>
              <w:t xml:space="preserve">, </w:t>
            </w:r>
            <w:hyperlink r:id="rId28">
              <w:r>
                <w:rPr>
                  <w:rStyle w:val="InternetLink"/>
                  <w:rFonts w:ascii="Times New Roman" w:hAnsi="Times New Roman"/>
                  <w:sz w:val="20"/>
                </w:rPr>
                <w:t>December  28, 2022</w:t>
              </w:r>
            </w:hyperlink>
            <w:r>
              <w:rPr>
                <w:rFonts w:ascii="Times New Roman" w:hAnsi="Times New Roman"/>
                <w:sz w:val="20"/>
              </w:rPr>
              <w:t xml:space="preserve"> and </w:t>
            </w:r>
            <w:hyperlink r:id="rId29">
              <w:r>
                <w:rPr>
                  <w:rStyle w:val="InternetLink"/>
                  <w:rFonts w:ascii="Times New Roman" w:hAnsi="Times New Roman"/>
                  <w:sz w:val="20"/>
                </w:rPr>
                <w:t>December 29, 2022</w:t>
              </w:r>
            </w:hyperlink>
            <w:r>
              <w:rPr>
                <w:rFonts w:ascii="Times New Roman" w:hAnsi="Times New Roman"/>
                <w:sz w:val="20"/>
              </w:rPr>
              <w:t xml:space="preserve"> (excluding information furnished pursuant to Items 2.02 or 7.01, or corresponding information furnished under Item 9.01 or included as an exhibit);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with the SEC on </w:t>
            </w:r>
            <w:hyperlink r:id="rId30">
              <w:r>
                <w:rPr>
                  <w:rStyle w:val="InternetLink"/>
                  <w:rFonts w:ascii="Times New Roman" w:hAnsi="Times New Roman"/>
                  <w:sz w:val="20"/>
                </w:rPr>
                <w:t>August 10, 2020</w:t>
              </w:r>
            </w:hyperlink>
            <w:r>
              <w:rPr>
                <w:rFonts w:ascii="Times New Roman" w:hAnsi="Times New Roman"/>
                <w:sz w:val="20"/>
              </w:rPr>
              <w:t xml:space="preserve">, and as set forth by the description of the Registrants common stock set forth in </w:t>
            </w:r>
            <w:hyperlink r:id="rId31">
              <w:r>
                <w:rPr>
                  <w:rStyle w:val="InternetLink"/>
                  <w:rFonts w:ascii="Times New Roman" w:hAnsi="Times New Roman"/>
                  <w:sz w:val="20"/>
                </w:rPr>
                <w:t>Exhibit 4.4</w:t>
              </w:r>
            </w:hyperlink>
            <w:r>
              <w:rPr>
                <w:rFonts w:ascii="Times New Roman" w:hAnsi="Times New Roman"/>
                <w:sz w:val="20"/>
              </w:rPr>
              <w:t xml:space="preserve"> to the Registrants Annual Report on Form 10-K for the year ended December 31, 2021, filed with the SEC on </w:t>
            </w:r>
            <w:hyperlink r:id="rId32">
              <w:r>
                <w:rPr>
                  <w:rStyle w:val="InternetLink"/>
                  <w:rFonts w:ascii="Times New Roman" w:hAnsi="Times New Roman"/>
                  <w:sz w:val="20"/>
                </w:rPr>
                <w:t>March 10, 2022</w:t>
              </w:r>
            </w:hyperlink>
            <w:r>
              <w:rPr>
                <w:rFonts w:ascii="Times New Roman" w:hAnsi="Times New Roman"/>
                <w:sz w:val="20"/>
              </w:rPr>
              <w:t xml:space="preserve">, and as further supplemented by the description of the Registrants common stock set forth in the Registrants Registration Statement on Form S-4/A, filed with the SEC on </w:t>
            </w:r>
            <w:hyperlink r:id="rId33">
              <w:r>
                <w:rPr>
                  <w:rStyle w:val="InternetLink"/>
                  <w:rFonts w:ascii="Times New Roman" w:hAnsi="Times New Roman"/>
                  <w:sz w:val="20"/>
                </w:rPr>
                <w:t>December 1, 2022</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us without charge, excluding all exhibits unless specifically incorporated by reference as an exhibit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may obtain documents incorporated by reference in this prospectus and the applicable prospectus supplement at no cost by requesting them in writing or by telephone from us at our executive offices at: </w:t>
      </w:r>
    </w:p>
    <w:p>
      <w:pPr>
        <w:pStyle w:val="TextBody"/>
        <w:bidi w:val="0"/>
        <w:spacing w:before="24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(617) 674-9274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495299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hAnsi="Times New Roman"/>
          <w:i/>
          <w:sz w:val="20"/>
        </w:rPr>
        <w:t>Risk Factors</w:t>
      </w:r>
      <w:r>
        <w:rPr>
          <w:rFonts w:ascii="Times New Roman" w:hAnsi="Times New Roman"/>
          <w:sz w:val="20"/>
        </w:rPr>
        <w:t xml:space="preserve"> and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benefits of the previously announced merger pursuant to the terms of the Agreement and Plan of Merger (the Merger Agreement), dated August 9, 2022, by and among Gemini Therapeutics, Inc. (Gemini), Gemstone Merger Sub, Inc. and Disc;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ongoing COVID-19 pandemic, including mitigation efforts and economic effects, on any of the foregoing or other aspects of our business operations, including but not limited to our preclinical studies and clinical trials and any future studies or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listed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hAnsi="Times New Roman"/>
          <w:i/>
          <w:sz w:val="20"/>
        </w:rPr>
        <w:t>Risk Factors</w:t>
      </w:r>
      <w:r>
        <w:rPr>
          <w:rFonts w:ascii="Times New Roman" w:hAnsi="Times New Roman"/>
          <w:sz w:val="20"/>
        </w:rPr>
        <w:t xml:space="preserve"> contained in this prospectus and any related prospectus supplement or free writing prospectus, and in any other documents incorporated herein or therein (including in our current report on Form 8-K filed on December 29, 2022,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Data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Trademarks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495299_5"/>
      <w:bookmarkEnd w:id="21"/>
      <w:r>
        <w:rPr>
          <w:rFonts w:ascii="Times New Roman" w:hAnsi="Times New Roman"/>
          <w:b/>
          <w:sz w:val="20"/>
        </w:rPr>
        <w:t xml:space="preserve">ABOUT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left"/>
        <w:rPr>
          <w:rFonts w:ascii="Times New Roman" w:hAnsi="Times New Roman"/>
          <w:sz w:val="20"/>
        </w:rPr>
      </w:pPr>
      <w:r>
        <w:rPr>
          <w:rFonts w:ascii="Times New Roman" w:hAnsi="Times New Roman"/>
          <w:sz w:val="20"/>
        </w:rPr>
        <w:t xml:space="preserve">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 patients with anemia of CKD. We expect interim data from these two trials in 2023. In addition, we are developing a preclinical anti-HJV monoclonal antibody, DISC-0998, which is also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 </w:t>
      </w:r>
    </w:p>
    <w:p>
      <w:pPr>
        <w:pStyle w:val="TextBody"/>
        <w:bidi w:val="0"/>
        <w:spacing w:before="240" w:after="0"/>
        <w:jc w:val="left"/>
        <w:rPr>
          <w:rFonts w:ascii="Times New Roman" w:hAnsi="Times New Roman"/>
          <w:sz w:val="20"/>
        </w:rPr>
      </w:pPr>
      <w:r>
        <w:rPr>
          <w:rFonts w:ascii="Times New Roman" w:hAnsi="Times New Roman"/>
          <w:sz w:val="20"/>
        </w:rPr>
        <w:t xml:space="preserve">Lastly, we are developing a Matriptase-2 inhibitor as part of our iron homeostasis portfolio, which is designed to induce hepcidin production and reduce serum iron levels. Preclinical data has demonstrated positive results,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are in the process of identifying and optimizing a development candidate in our Matriptase-2 inhibitor program. If successful, we expect to designate a lead candidate and commence IND-enabling studies.</w:t>
      </w:r>
      <w:r>
        <w:rPr>
          <w:rFonts w:ascii="Times New Roman" w:hAnsi="Times New Roman"/>
          <w:b/>
          <w:sz w:val="20"/>
        </w:rPr>
        <w:t xml:space="preserve">Corporate Information </w:t>
      </w:r>
      <w:r>
        <w:rPr>
          <w:rFonts w:ascii="Times New Roman" w:hAnsi="Times New Roman"/>
          <w:sz w:val="20"/>
        </w:rPr>
        <w:t xml:space="preserve">Disc Medicine, Inc. was originally incorporated under the laws of the state of Delaware in October 2017, and changed its name to Disc Medicine Opco, Inc. (Disc Opco), in December 2022. On December 29, 2022, we completed our business combination with Gemini Therapeutics, Inc.(Gemini)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information about our Company, please refer to other documents we have filed with the SEC and that are incorporated by reference into this prospectus, as listed under the heading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and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only disclose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495299_6"/>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Current Report on Form 8-K filed with the SEC on December 29, 2022, which is incorporated into this prospectus by reference, as updated by our annual or quarterly reports for subsequent fiscal years or fiscal quarters that we file with the SEC and that are so incorporated.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495299_7"/>
      <w:bookmarkEnd w:id="23"/>
      <w:r>
        <w:rPr>
          <w:rFonts w:ascii="Times New Roman" w:hAnsi="Times New Roman"/>
          <w:b/>
          <w:sz w:val="20"/>
        </w:rPr>
        <w:t xml:space="preserve">SELECTED FINANCIAL DATA </w:t>
      </w:r>
    </w:p>
    <w:p>
      <w:pPr>
        <w:pStyle w:val="TextBody"/>
        <w:bidi w:val="0"/>
        <w:spacing w:before="24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AS REPORTED (in thousands, except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29"/>
        <w:gridCol w:w="513"/>
        <w:gridCol w:w="140"/>
        <w:gridCol w:w="1102"/>
        <w:gridCol w:w="155"/>
        <w:gridCol w:w="513"/>
        <w:gridCol w:w="140"/>
        <w:gridCol w:w="1102"/>
        <w:gridCol w:w="161"/>
      </w:tblGrid>
      <w:tr>
        <w:trPr/>
        <w:tc>
          <w:tcPr>
            <w:tcW w:w="3929"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Years Ended</w:t>
              <w:br/>
              <w:t>December 31,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(71,869</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(40,837</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(2.70</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40,362,303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15,115,129</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43,208,159</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15,565,380</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Three Months Ended</w:t>
              <w:br/>
              <w:t>March 31,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(15,231</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(19,048</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(0.35</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(0.59</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43,212,803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32,027,161</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43,227,159</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43,002,144</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Three Months Ended</w:t>
              <w:br/>
              <w:t>June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(7,090</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(16,447</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(0.38</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43,230,523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43,041,856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43,244,453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43,055,112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800" w:type="pct"/>
        <w:jc w:val="center"/>
        <w:tblInd w:w="0" w:type="dxa"/>
        <w:tblLayout w:type="fixed"/>
        <w:tblCellMar>
          <w:top w:w="0" w:type="dxa"/>
          <w:left w:w="0" w:type="dxa"/>
          <w:bottom w:w="0" w:type="dxa"/>
          <w:right w:w="0" w:type="dxa"/>
        </w:tblCellMar>
      </w:tblPr>
      <w:tblGrid>
        <w:gridCol w:w="3929"/>
        <w:gridCol w:w="513"/>
        <w:gridCol w:w="140"/>
        <w:gridCol w:w="1102"/>
        <w:gridCol w:w="155"/>
        <w:gridCol w:w="513"/>
        <w:gridCol w:w="140"/>
        <w:gridCol w:w="1102"/>
        <w:gridCol w:w="161"/>
      </w:tblGrid>
      <w:tr>
        <w:trPr/>
        <w:tc>
          <w:tcPr>
            <w:tcW w:w="3929"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(22,321</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(35,495</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(0.52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(0.94</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43,221,712</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37,564,936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43,244,453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43,055,112</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Three Months Ended</w:t>
              <w:br/>
              <w:t>September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(3,277</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(18,551</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(0.08</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(0.43</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43,264,616</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43,091,822</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43,299,453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43,112,742</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Nine Months Ended</w:t>
              <w:br/>
              <w:t>September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(25,598</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(54,046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(1.37</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43,236,171</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39,427,476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43,299,453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43,112,742</w:t>
            </w:r>
          </w:p>
        </w:tc>
        <w:tc>
          <w:tcPr>
            <w:tcW w:w="161"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AS ADJUSTED FOR 1-FOR-10 REVERSE STOCK SPLIT (unaudited, in thousands, except per share amounts):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22"/>
        <w:gridCol w:w="451"/>
        <w:gridCol w:w="143"/>
        <w:gridCol w:w="1007"/>
        <w:gridCol w:w="155"/>
        <w:gridCol w:w="451"/>
        <w:gridCol w:w="143"/>
        <w:gridCol w:w="1007"/>
        <w:gridCol w:w="160"/>
      </w:tblGrid>
      <w:tr>
        <w:trPr/>
        <w:tc>
          <w:tcPr>
            <w:tcW w:w="3422"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Years Ended</w:t>
              <w:br/>
              <w:t>December 31,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(71,869</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(40,837</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(17.81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(27.02</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4,036,230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1,511,512</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4,320,815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1,556,538</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Three Months Ended</w:t>
              <w:br/>
              <w:t>March 31,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(15,231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(19,048</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(3.52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(5.95</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4,321,280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3,202,716</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4,322,715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4,300,214</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400" w:type="pct"/>
        <w:jc w:val="center"/>
        <w:tblInd w:w="0" w:type="dxa"/>
        <w:tblLayout w:type="fixed"/>
        <w:tblCellMar>
          <w:top w:w="0" w:type="dxa"/>
          <w:left w:w="0" w:type="dxa"/>
          <w:bottom w:w="0" w:type="dxa"/>
          <w:right w:w="0" w:type="dxa"/>
        </w:tblCellMar>
      </w:tblPr>
      <w:tblGrid>
        <w:gridCol w:w="3422"/>
        <w:gridCol w:w="451"/>
        <w:gridCol w:w="143"/>
        <w:gridCol w:w="1007"/>
        <w:gridCol w:w="155"/>
        <w:gridCol w:w="451"/>
        <w:gridCol w:w="143"/>
        <w:gridCol w:w="1007"/>
        <w:gridCol w:w="160"/>
      </w:tblGrid>
      <w:tr>
        <w:trPr/>
        <w:tc>
          <w:tcPr>
            <w:tcW w:w="3422"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Three Months Ended</w:t>
              <w:br/>
              <w:t>June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(7,090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(16,447</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(3.82</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4,323,052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4,304,185</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4,324,445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4,305,511</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Six Months Ended</w:t>
              <w:br/>
              <w:t>June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(22,321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(35,495</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(5.16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(9.45</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4,322,171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3,756,493</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4,324,445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4,305,511</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Three Months Ended</w:t>
              <w:br/>
              <w:t>September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(3,277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(18,551</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(4.30</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4,326,461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4,309,182</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4,329,945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4,311,274</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Nine Months Ended</w:t>
              <w:br/>
              <w:t>September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(25,598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(54,046</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(13.71</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4,323,617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3,942,747</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4,329,945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4,311,274</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495299_8"/>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oc495299_9"/>
      <w:bookmarkEnd w:id="2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oc495299_10"/>
      <w:bookmarkEnd w:id="26"/>
      <w:r>
        <w:rPr>
          <w:rFonts w:ascii="Times New Roman" w:hAnsi="Times New Roman"/>
          <w:b/>
          <w:sz w:val="20"/>
        </w:rPr>
        <w:t xml:space="preserve">GENERAL 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dividends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listing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0"/>
        <w:jc w:val="left"/>
        <w:rPr>
          <w:rFonts w:ascii="Times New Roman" w:hAnsi="Times New Roman"/>
          <w:sz w:val="20"/>
        </w:rPr>
      </w:pPr>
      <w:r>
        <w:rPr>
          <w:rFonts w:ascii="Times New Roman" w:hAnsi="Times New Roman"/>
          <w:sz w:val="20"/>
        </w:rPr>
        <w:t>We may sell the securities to or through underwriters, dealers or agents, directly to purchasers or through a combination of any of these methods of sale or as otherwise set forth under </w:t>
      </w:r>
      <w:r>
        <w:rPr>
          <w:rFonts w:ascii="Times New Roman" w:hAnsi="Times New Roman"/>
          <w:i/>
          <w:sz w:val="20"/>
        </w:rPr>
        <w:t>Plan of Distribution</w:t>
      </w:r>
      <w:r>
        <w:rPr>
          <w:rFonts w:ascii="Times New Roman" w:hAnsi="Times New Roman"/>
          <w:sz w:val="20"/>
        </w:rPr>
        <w:t xml:space="preserve">.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0"/>
        <w:jc w:val="left"/>
        <w:rPr>
          <w:rFonts w:ascii="Times New Roman" w:hAnsi="Times New Roman"/>
          <w:sz w:val="20"/>
        </w:rPr>
      </w:pPr>
      <w:r>
        <w:rPr>
          <w:rFonts w:ascii="Times New Roman" w:hAnsi="Times New Roman"/>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oc495299_11"/>
      <w:bookmarkEnd w:id="27"/>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$0.0001 per share, and 10,000,000 shares of preferred stock, par value $0.0001 per share, all of which preferred stock is undesignated. Based on our unaudited pro forma condensed combined financial information as of September 30, 2022, we had estimated 17,394,684 shares of our common stock outstanding and no shares of preferred stock outstanding. Unless our board of directors determines otherwise, we will issue all shares of our capital stock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as of September 30, 2022, were based on Disc Medicine, Inc.s historical consolidated financial statements and Gemini Therapeutics, Inc.s (Gemini) historical consolidated financial statements as adjusted to give effect to (1) 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 11. 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IRON. On January 13, 2023, the closing price for our common stock, as reported on The Nasdaq Global Market, was $19.25 per share. Based on our unaudited pro forma condensed combined financial information as of September 30, 2022, we had estimated approximately 77 stockholders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Continental Stock Transfer &amp; Trust Company. The transfer agent and registrars address is One State Street  30th Floor, New York, NY 10004.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under this prospectus, the shares will fully be paid and nonassessable and will not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approximately 15.9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registration rights agreement (the 2022 Registration Rights Agreement) with certain holders of our capital stock (the 2022 Investors), pursuant to which we have (i) agreed to register for resale shares of our common stock issued to the 2022 Investors pursuant to the Merger Agreement (the Registrable Securities) and (ii) granted certain other registration rights to the 2022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the 2022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No later than 45 calendar days following the completion of the merger as contemplated by the Merger Agreement, we are required to file with the SEC, a shelf registration statement registering the resale of the Registrable Securities, and use our commercially reasonable efforts to have such registration statement declared effective by the SEC as promptly as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The fees, costs and expenses of registrations pursuant to the registration rights granted to the 2022 Investors 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2021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 registration tights agreement (the 2021 Registration Rights Agreement) pursuant to which, among other things, certain holders of capital stock, including certain investors of FS Development Corporation, a Delaware corporation (the FSDC Investors), certain entities affiliated with Atlas Ventures, entities affiliated with Lightstone Ventures, OrbiMed Private Investments VI, LP, and Wu Capital Investment LLC (collectively, the Major Investors and together with the FSDC Investors, the Investors) were granted certain registration rights with respect to Registrable Securities (as defined in the 2021 Registration Rights Agreement) held by them, subject to certain conditions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2021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At any time after February 5, 2021, and following the expiration of any lock-up to which an Investor may have been subject,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A shelf registration statement pursuant to Rule 415 of Securities Act, was filed on February 17, 2021 and became 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Limits on demand registration rights and shelf registration rights.</w:t>
            </w:r>
            <w:r>
              <w:rPr>
                <w:rFonts w:ascii="Times New Roman" w:hAnsi="Times New Roman"/>
                <w:sz w:val="20"/>
              </w:rPr>
              <w:t xml:space="preserve"> We shall not be obligated to effect: (a) more than one (1) 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Piggyback registration rights</w:t>
            </w:r>
            <w:r>
              <w:rPr>
                <w:rFonts w:ascii="Times New Roman" w:hAnsi="Times New Roman"/>
                <w:sz w:val="20"/>
              </w:rPr>
              <w:t xml:space="preserve">. At any time after the first anniversary of the closing date, if we propose to file a registration statement to 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All fees, costs and expenses of underwritten registrations will be borne by us and underwriting discounts and selling commissions will be borne by the holders of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Registrable securities</w:t>
            </w:r>
            <w:r>
              <w:rPr>
                <w:rFonts w:ascii="Times New Roman" w:hAnsi="Times New Roman"/>
                <w:sz w:val="20"/>
              </w:rPr>
              <w:t xml:space="preserve">. Securities of ours shall cease to be registrable securities upon the earlier of (i) tenth anniversary of February 5, 2021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Lockup</w:t>
            </w:r>
            <w:r>
              <w:rPr>
                <w:rFonts w:ascii="Times New Roman" w:hAnsi="Times New Roman"/>
                <w:sz w:val="20"/>
              </w:rPr>
              <w:t xml:space="preserve">. Under the 2021 Registration Rights Agreement, each Investor was required to enter into a customary lockup agreement restricting such 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executive officer and director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not governed by Section 203 of the Delaware General Corporation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allow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election and removal of directors;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or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oc495299_12"/>
      <w:bookmarkEnd w:id="28"/>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as amended (the Trust Indenture Act). We use the term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or free writing prospectus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global form, and, if so,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our capital stock or the capital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our subsidiaries ability to pay dividends, make distributions or transfer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stockholders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sell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require us to maintain any interest coverage, fixed charge, cash flow-based, asset-based or other financial ratios;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or special United States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in the indenture on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90 days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premium or sinking fund payment, if any, when due and payable at maturity, upon redemption or repurchase or otherwise,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for any series of debt securities that we may issue, we and the trustee may change an indenture without the consent of any holders with respect to the following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provisions described above under </w:t>
            </w:r>
            <w:r>
              <w:rPr>
                <w:rFonts w:ascii="Times New Roman" w:hAnsi="Times New Roman"/>
                <w:i/>
                <w:sz w:val="20"/>
              </w:rPr>
              <w:t>Description of Debt Securities-Consolidation, Merger or</w:t>
            </w:r>
            <w:r>
              <w:rPr>
                <w:rFonts w:ascii="Times New Roman" w:hAnsi="Times New Roman"/>
                <w:sz w:val="20"/>
              </w:rPr>
              <w:t xml:space="preserve"> </w:t>
            </w:r>
            <w:r>
              <w:rPr>
                <w:rFonts w:ascii="Times New Roman" w:hAnsi="Times New Roman"/>
                <w:i/>
                <w:sz w:val="20"/>
              </w:rPr>
              <w:t>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the issuance of and establish the form and terms and conditions of the debt securities of any series as provided under </w:t>
            </w:r>
            <w:r>
              <w:rPr>
                <w:rFonts w:ascii="Times New Roman" w:hAnsi="Times New Roman"/>
                <w:i/>
                <w:sz w:val="20"/>
              </w:rPr>
              <w:t>Description of Debt Securities-General</w:t>
            </w:r>
            <w:r>
              <w:rPr>
                <w:rFonts w:ascii="Times New Roman" w:hAnsi="Times New Roman"/>
                <w:sz w:val="20"/>
              </w:rPr>
              <w:t xml:space="preserve">,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and to make all appropriate changes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oc495299_13"/>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oc495299_14"/>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Description of Debt Securities</w:t>
      </w:r>
      <w:r>
        <w:rPr>
          <w:rFonts w:ascii="Times New Roman" w:hAnsi="Times New Roman"/>
          <w:sz w:val="20"/>
        </w:rPr>
        <w:t xml:space="preserve"> 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oc495299_15"/>
      <w:bookmarkEnd w:id="3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transactions 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securities, the underwriters may engage in transactions that stabilize, maintain or otherwise affect the price of the securities. Specifically, the underwriters may overallot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Remarketing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oc495299_16"/>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3" w:name="toc495299_17"/>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i/>
          <w:sz w:val="28"/>
        </w:rPr>
      </w:pPr>
      <w:r>
        <w:rPr>
          <w:rFonts w:ascii="Times New Roman" w:hAnsi="Times New Roman"/>
          <w:i/>
          <w:sz w:val="28"/>
        </w:rPr>
        <w:t xml:space="preserve">$100,000,000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290" cy="6604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34"/>
                    <a:stretch>
                      <a:fillRect/>
                    </a:stretch>
                  </pic:blipFill>
                  <pic:spPr bwMode="auto">
                    <a:xfrm>
                      <a:off x="0" y="0"/>
                      <a:ext cx="415290" cy="66040"/>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i/>
          <w:sz w:val="24"/>
        </w:rPr>
      </w:pPr>
      <w:r>
        <w:rPr>
          <w:rFonts w:ascii="Times New Roman" w:hAnsi="Times New Roman"/>
          <w:i/>
          <w:sz w:val="24"/>
        </w:rPr>
        <w:t xml:space="preserve">Shares of Common Stock </w:t>
      </w:r>
    </w:p>
    <w:p>
      <w:pPr>
        <w:pStyle w:val="TextBody"/>
        <w:bidi w:val="0"/>
        <w:spacing w:before="0" w:after="0"/>
        <w:jc w:val="center"/>
        <w:rPr>
          <w:rFonts w:ascii="Times New Roman" w:hAnsi="Times New Roman"/>
          <w:i/>
          <w:sz w:val="24"/>
        </w:rPr>
      </w:pPr>
      <w:r>
        <w:rPr>
          <w:rFonts w:ascii="Times New Roman" w:hAnsi="Times New Roman"/>
          <w:i/>
          <w:sz w:val="24"/>
        </w:rPr>
        <w:t xml:space="preserve">Pre-Funded Warrants to Purchase Shares of Common Stock </w:t>
      </w:r>
    </w:p>
    <w:p>
      <w:pPr>
        <w:pStyle w:val="TextBody"/>
        <w:bidi w:val="0"/>
        <w:spacing w:before="1920" w:after="0"/>
        <w:jc w:val="center"/>
        <w:rPr>
          <w:rFonts w:ascii="Times New Roman" w:hAnsi="Times New Roman"/>
          <w:i/>
          <w:sz w:val="24"/>
        </w:rPr>
      </w:pPr>
      <w:r>
        <w:rPr>
          <w:rFonts w:ascii="Times New Roman" w:hAnsi="Times New Roman"/>
          <w:i/>
          <w:sz w:val="24"/>
        </w:rPr>
        <w:t xml:space="preserve">PROSPECTUS SUPPLEMENT </w:t>
      </w:r>
    </w:p>
    <w:p>
      <w:pPr>
        <w:pStyle w:val="TextBody"/>
        <w:bidi w:val="0"/>
        <w:spacing w:before="192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120" w:after="0"/>
        <w:jc w:val="center"/>
        <w:rPr>
          <w:rFonts w:ascii="Times New Roman" w:hAnsi="Times New Roman"/>
          <w:i/>
          <w:sz w:val="28"/>
        </w:rPr>
      </w:pPr>
      <w:r>
        <w:rPr>
          <w:rFonts w:ascii="Times New Roman" w:hAnsi="Times New Roman"/>
          <w:i/>
          <w:sz w:val="28"/>
        </w:rPr>
        <w:t xml:space="preserve">Morgan Stanley </w:t>
      </w:r>
    </w:p>
    <w:p>
      <w:pPr>
        <w:pStyle w:val="TextBody"/>
        <w:bidi w:val="0"/>
        <w:spacing w:before="120" w:after="0"/>
        <w:jc w:val="center"/>
        <w:rPr>
          <w:rFonts w:ascii="Times New Roman" w:hAnsi="Times New Roman"/>
          <w:i/>
          <w:sz w:val="28"/>
        </w:rPr>
      </w:pPr>
      <w:r>
        <w:rPr>
          <w:rFonts w:ascii="Times New Roman" w:hAnsi="Times New Roman"/>
          <w:i/>
          <w:sz w:val="28"/>
        </w:rPr>
        <w:t xml:space="preserve">SVB Securities </w:t>
      </w:r>
    </w:p>
    <w:p>
      <w:pPr>
        <w:pStyle w:val="TextBody"/>
        <w:bidi w:val="0"/>
        <w:spacing w:before="120" w:after="0"/>
        <w:jc w:val="center"/>
        <w:rPr>
          <w:rFonts w:ascii="Times New Roman" w:hAnsi="Times New Roman"/>
          <w:i/>
          <w:sz w:val="28"/>
        </w:rPr>
      </w:pPr>
      <w:r>
        <w:rPr>
          <w:rFonts w:ascii="Times New Roman" w:hAnsi="Times New Roman"/>
          <w:i/>
          <w:sz w:val="28"/>
        </w:rPr>
        <w:t xml:space="preserve">Stifel </w:t>
      </w:r>
    </w:p>
    <w:p>
      <w:pPr>
        <w:pStyle w:val="TextBody"/>
        <w:bidi w:val="0"/>
        <w:spacing w:before="120" w:after="0"/>
        <w:jc w:val="center"/>
        <w:rPr>
          <w:rFonts w:ascii="Times New Roman" w:hAnsi="Times New Roman"/>
          <w:i/>
          <w:sz w:val="28"/>
        </w:rPr>
      </w:pPr>
      <w:r>
        <w:rPr>
          <w:rFonts w:ascii="Times New Roman" w:hAnsi="Times New Roman"/>
          <w:i/>
          <w:sz w:val="28"/>
        </w:rPr>
        <w:t xml:space="preserve">BMO Capital Markets </w:t>
      </w:r>
    </w:p>
    <w:p>
      <w:pPr>
        <w:pStyle w:val="TextBody"/>
        <w:bidi w:val="0"/>
        <w:spacing w:before="360" w:after="0"/>
        <w:jc w:val="center"/>
        <w:rPr>
          <w:rFonts w:ascii="Times New Roman" w:hAnsi="Times New Roman"/>
          <w:i/>
          <w:sz w:val="20"/>
        </w:rPr>
      </w:pPr>
      <w:r>
        <w:rPr>
          <w:rFonts w:ascii="Times New Roman" w:hAnsi="Times New Roman"/>
          <w:i/>
          <w:sz w:val="20"/>
        </w:rPr>
        <w:t xml:space="preserve">Lead Manager </w:t>
      </w:r>
    </w:p>
    <w:p>
      <w:pPr>
        <w:pStyle w:val="TextBody"/>
        <w:bidi w:val="0"/>
        <w:spacing w:before="120" w:after="0"/>
        <w:jc w:val="center"/>
        <w:rPr>
          <w:rFonts w:ascii="Times New Roman" w:hAnsi="Times New Roman"/>
          <w:i/>
          <w:sz w:val="24"/>
        </w:rPr>
      </w:pPr>
      <w:r>
        <w:rPr>
          <w:rFonts w:ascii="Times New Roman" w:hAnsi="Times New Roman"/>
          <w:i/>
          <w:sz w:val="24"/>
        </w:rPr>
        <w:t xml:space="preserve">Wedbush PacGrow </w:t>
      </w:r>
    </w:p>
    <w:p>
      <w:pPr>
        <w:pStyle w:val="TextBody"/>
        <w:bidi w:val="0"/>
        <w:spacing w:before="240" w:after="0"/>
        <w:jc w:val="both"/>
        <w:rPr/>
      </w:pPr>
      <w:r>
        <w:rPr/>
        <w:t>                </w:t>
      </w:r>
      <w:r>
        <w:rPr>
          <w:rFonts w:ascii="Times New Roman" w:hAnsi="Times New Roman"/>
          <w:i/>
          <w:sz w:val="20"/>
        </w:rPr>
        <w:t xml:space="preserve">, 2023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Bodoni 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816736/000095017023011139/iron-20221231.htm" TargetMode="External"/><Relationship Id="rId5" Type="http://schemas.openxmlformats.org/officeDocument/2006/relationships/hyperlink" Target="http://www.sec.gov/Archives/edgar/data/../../../ix?doc=/Archives/edgar/data/1816736/000095017023021963/iron-20230331.htm" TargetMode="External"/><Relationship Id="rId6" Type="http://schemas.openxmlformats.org/officeDocument/2006/relationships/hyperlink" Target="http://www.sec.gov/Archives/edgar/data/../../../ix?doc=/Archives/edgar/data/1816736/000119312523012530/d447304d8k.htm" TargetMode="External"/><Relationship Id="rId7" Type="http://schemas.openxmlformats.org/officeDocument/2006/relationships/hyperlink" Target="http://www.sec.gov/Archives/edgar/data/../../../ix?doc=/Archives/edgar/data/1816736/000119312523015225/d456405d8k.htm" TargetMode="External"/><Relationship Id="rId8" Type="http://schemas.openxmlformats.org/officeDocument/2006/relationships/hyperlink" Target="http://www.sec.gov/Archives/edgar/data/../../../ix?doc=/Archives/edgar/data/1816736/000119312523037151/d289637d8k.htm" TargetMode="External"/><Relationship Id="rId9" Type="http://schemas.openxmlformats.org/officeDocument/2006/relationships/hyperlink" Target="http://www.sec.gov/Archives/edgar/data/../../../ix?doc=/Archives/edgar/data/1816736/000119312523086710/d463005d8k.htm" TargetMode="External"/><Relationship Id="rId10" Type="http://schemas.openxmlformats.org/officeDocument/2006/relationships/hyperlink" Target="http://www.sec.gov/Archives/edgar/data/../../../ix?doc=/Archives/edgar/data/1816736/000119312523106433/d488839d8k.htm" TargetMode="External"/><Relationship Id="rId11" Type="http://schemas.openxmlformats.org/officeDocument/2006/relationships/hyperlink" Target="http://www.sec.gov/Archives/edgar/data/../../../ix?doc=/Archives/edgar/data/1816736/000119312523164010/d350054d8k.htm" TargetMode="External"/><Relationship Id="rId12" Type="http://schemas.openxmlformats.org/officeDocument/2006/relationships/hyperlink" Target="http://www.sec.gov/Archives/edgar/data/../../../ix?doc=/Archives/edgar/data/1816736/000119312523164532/d477797d8k.htm" TargetMode="External"/><Relationship Id="rId13" Type="http://schemas.openxmlformats.org/officeDocument/2006/relationships/hyperlink" Target="http://www.sec.gov/Archives/edgar/data/1816736/000095017023013565/iron-2023-proxy-def14a.htm" TargetMode="External"/><Relationship Id="rId14" Type="http://schemas.openxmlformats.org/officeDocument/2006/relationships/hyperlink" Target="http://www.sec.gov/Archives/edgar/data/1816736/000121390020021145/ea125295-8a12b_fsdevelop.htm" TargetMode="External"/><Relationship Id="rId15" Type="http://schemas.openxmlformats.org/officeDocument/2006/relationships/hyperlink" Target="http://www.sec.gov/Archives/edgar/data/1816736/000095017022003288/gmtx-ex4_4.htm" TargetMode="External"/><Relationship Id="rId16" Type="http://schemas.openxmlformats.org/officeDocument/2006/relationships/hyperlink" Target="http://www.sec.gov/Archives/edgar/data/1816736/000114036122043943/ny20005172x8_s4a.htm" TargetMode="External"/><Relationship Id="rId17" Type="http://schemas.openxmlformats.org/officeDocument/2006/relationships/image" Target="media/image3.jpeg"/><Relationship Id="rId18" Type="http://schemas.openxmlformats.org/officeDocument/2006/relationships/hyperlink" Target="http://www.sec.gov/Archives/edgar/data/../../../ix?doc=/Archives/edgar/data/1816736/000095017022003288/gmtx-20211231.htm" TargetMode="External"/><Relationship Id="rId19" Type="http://schemas.openxmlformats.org/officeDocument/2006/relationships/hyperlink" Target="http://www.sec.gov/Archives/edgar/data/../../../ix?doc=/Archives/edgar/data/1816736/000095017022008015/gmtx-20220331.htm" TargetMode="External"/><Relationship Id="rId20" Type="http://schemas.openxmlformats.org/officeDocument/2006/relationships/hyperlink" Target="http://www.sec.gov/Archives/edgar/data/../../../ix?doc=/Archives/edgar/data/1816736/000095017022016671/gmtx-20220630.htm" TargetMode="External"/><Relationship Id="rId21" Type="http://schemas.openxmlformats.org/officeDocument/2006/relationships/hyperlink" Target="http://www.sec.gov/Archives/edgar/data/../../../ix?doc=/Archives/edgar/data/1816736/000095017022024195/gmtx-20220930.htm" TargetMode="External"/><Relationship Id="rId22" Type="http://schemas.openxmlformats.org/officeDocument/2006/relationships/hyperlink" Target="http://www.sec.gov/Archives/edgar/data/../../../ix?doc=/Archives/edgar/data/1816736/000119312522005115/d291571d8k.htm" TargetMode="External"/><Relationship Id="rId23" Type="http://schemas.openxmlformats.org/officeDocument/2006/relationships/hyperlink" Target="http://www.sec.gov/Archives/edgar/data/../../../ix?doc=/Archives/edgar/data/1816736/000119312522009374/d237658d8k.htm" TargetMode="External"/><Relationship Id="rId24" Type="http://schemas.openxmlformats.org/officeDocument/2006/relationships/hyperlink" Target="http://www.sec.gov/Archives/edgar/data/../../../ix?doc=/Archives/edgar/data/1816736/000119312522055899/d29362d8k.htm" TargetMode="External"/><Relationship Id="rId25" Type="http://schemas.openxmlformats.org/officeDocument/2006/relationships/hyperlink" Target="http://www.sec.gov/Archives/edgar/data/../../../ix?doc=/Archives/edgar/data/1816736/000119312522095633/d345871d8k.htm" TargetMode="External"/><Relationship Id="rId26" Type="http://schemas.openxmlformats.org/officeDocument/2006/relationships/hyperlink" Target="http://www.sec.gov/Archives/edgar/data/../../../ix?doc=/Archives/edgar/data/1816736/000119312522216814/d94880d8k.htm" TargetMode="External"/><Relationship Id="rId27" Type="http://schemas.openxmlformats.org/officeDocument/2006/relationships/hyperlink" Target="http://www.sec.gov/Archives/edgar/data/../../../ix?doc=/Archives/edgar/data/1816736/000119312522301064/d425106d8k.htm" TargetMode="External"/><Relationship Id="rId28" Type="http://schemas.openxmlformats.org/officeDocument/2006/relationships/hyperlink" Target="http://www.sec.gov/Archives/edgar/data/../../../ix?doc=/Archives/edgar/data/1816736/000114036122047153/brhc10045909_8k.htm" TargetMode="External"/><Relationship Id="rId29" Type="http://schemas.openxmlformats.org/officeDocument/2006/relationships/hyperlink" Target="http://www.sec.gov/Archives/edgar/data/../../../ix?doc=/Archives/edgar/data/1816736/000114036122047453/brhc10045896_8k.htm" TargetMode="External"/><Relationship Id="rId30" Type="http://schemas.openxmlformats.org/officeDocument/2006/relationships/hyperlink" Target="http://www.sec.gov/Archives/edgar/data/1816736/000121390020021145/ea125295-8a12b_fsdevelop.htm" TargetMode="External"/><Relationship Id="rId31" Type="http://schemas.openxmlformats.org/officeDocument/2006/relationships/hyperlink" Target="http://www.sec.gov/Archives/edgar/data/1816736/000095017022003288/gmtx-ex4_4.htm" TargetMode="External"/><Relationship Id="rId32" Type="http://schemas.openxmlformats.org/officeDocument/2006/relationships/hyperlink" Target="http://www.sec.gov/Archives/edgar/data/1816736/000121390020021145/ea125295-8a12b_fsdevelop.htm" TargetMode="External"/><Relationship Id="rId33" Type="http://schemas.openxmlformats.org/officeDocument/2006/relationships/hyperlink" Target="http://www.sec.gov/Archives/edgar/data/1816736/000114036122043943/ny20005172x8_s4a.htm" TargetMode="External"/><Relationship Id="rId34" Type="http://schemas.openxmlformats.org/officeDocument/2006/relationships/image" Target="media/image1.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43462</Words>
  <Characters>226827</Characters>
  <CharactersWithSpaces>271602</CharactersWithSpaces>
  <Paragraphs>3408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