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0712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12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February 28, 2022.</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February 25, 2022, the last reported sale price of our common stock on the NASDAQ Global Market was $1.43.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28, 2022.</w:t>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0"/>
          <w:szCs w:val="20"/>
          <w:color w:val="auto"/>
        </w:rPr>
      </w:pPr>
    </w:p>
    <w:p>
      <w:pPr>
        <w:sectPr>
          <w:pgSz w:w="11900" w:h="16838" w:orient="portrait"/>
          <w:cols w:equalWidth="0" w:num="3">
            <w:col w:w="4504" w:space="720"/>
            <w:col w:w="2880" w:space="720"/>
            <w:col w:w="2200"/>
          </w:cols>
          <w:pgMar w:left="436" w:top="409" w:right="439" w:bottom="1440" w:gutter="0" w:footer="0" w:header="0"/>
          <w:type w:val="continuous"/>
        </w:sectPr>
      </w:pPr>
    </w:p>
    <w:p>
      <w:pPr>
        <w:spacing w:after="0" w:line="12" w:lineRule="exact"/>
        <w:rPr>
          <w:sz w:val="20"/>
          <w:szCs w:val="20"/>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484" w:space="720"/>
            <w:col w:w="2760" w:space="720"/>
            <w:col w:w="2340"/>
          </w:cols>
          <w:pgMar w:left="436" w:top="409" w:right="439" w:bottom="1440" w:gutter="0" w:footer="0" w:header="0"/>
          <w:type w:val="continuous"/>
        </w:sectPr>
      </w:pPr>
    </w:p>
    <w:p>
      <w:pPr>
        <w:spacing w:after="0" w:line="19" w:lineRule="exact"/>
        <w:rPr>
          <w:sz w:val="20"/>
          <w:szCs w:val="20"/>
          <w:color w:val="auto"/>
        </w:rPr>
      </w:pPr>
    </w:p>
    <w:p>
      <w:pPr>
        <w:ind w:left="1864"/>
        <w:spacing w:after="0"/>
        <w:rPr>
          <w:sz w:val="20"/>
          <w:szCs w:val="20"/>
          <w:color w:val="auto"/>
        </w:rPr>
      </w:pPr>
      <w:r>
        <w:rPr>
          <w:rFonts w:ascii="Arial" w:cs="Arial" w:eastAsia="Arial" w:hAnsi="Arial"/>
          <w:sz w:val="16"/>
          <w:szCs w:val="16"/>
          <w:b w:val="1"/>
          <w:bCs w:val="1"/>
          <w:color w:val="auto"/>
        </w:rPr>
        <w:t>Address 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Address Not Applicable</w:t>
      </w:r>
    </w:p>
    <w:p>
      <w:pPr>
        <w:spacing w:after="0" w:line="50" w:lineRule="exact"/>
        <w:rPr>
          <w:sz w:val="20"/>
          <w:szCs w:val="20"/>
          <w:color w:val="auto"/>
        </w:rPr>
      </w:pPr>
    </w:p>
    <w:p>
      <w:pPr>
        <w:sectPr>
          <w:pgSz w:w="11900" w:h="16838" w:orient="portrait"/>
          <w:cols w:equalWidth="0" w:num="2">
            <w:col w:w="6704" w:space="720"/>
            <w:col w:w="3600"/>
          </w:cols>
          <w:pgMar w:left="436" w:top="409"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0"/>
          <w:szCs w:val="20"/>
          <w:color w:val="auto"/>
        </w:rPr>
      </w:pPr>
    </w:p>
    <w:p>
      <w:pPr>
        <w:sectPr>
          <w:pgSz w:w="11900" w:h="16838" w:orient="portrait"/>
          <w:cols w:equalWidth="0" w:num="2">
            <w:col w:w="7284" w:space="720"/>
            <w:col w:w="3020"/>
          </w:cols>
          <w:pgMar w:left="436" w:top="40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0"/>
          <w:szCs w:val="20"/>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28, 2022, the Board of Directors (the “Board”) of Gemini Therapeutics, Inc. (the “Company”) approved a restructuring plan (the “Plan”) to reduce the Company’s operations to preserve financial resources, resulting in a reduction of the Company’s workforce by up to twenty-four (24) positions by the end of second quarter 2022. As a result of the Plan, the Company expects to incur a pre-tax restructuring charge in the first quarter of 2022 within the range of $1.6 million to $1.9 million, which is expected to consist of employee severance and other restructuring related costs and expenses. As the Plan is implemented, the Company’s management will re-evaluate the estimated costs and expenses set forth above and may revise the estimated restructuring charge as appropriate, consistent with generally accepted accounting principles.</w:t>
      </w:r>
    </w:p>
    <w:p>
      <w:pPr>
        <w:spacing w:after="0" w:line="322" w:lineRule="exact"/>
        <w:rPr>
          <w:sz w:val="20"/>
          <w:szCs w:val="20"/>
          <w:color w:val="auto"/>
        </w:rPr>
      </w:pPr>
    </w:p>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President and Chief Executive Officer</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Board also approved a separation agreement in connection with the departure of its Chief Executive Officer, Jason Meyenburg (the “Separation Agreement”). Mr. Meyenburg’s last date of employment with the Company as its President and Chief Executive Officer is February 28, 2022 (the “Separation Date”). Mr. Meyenburg will no longer serve as a director of the Company, effective as of February 28, 2022. Mr. Meyenburg’s resignation from the Board was not due to any disagreement with the Company’s operations, policies or practices. Pursuant to the Separation Agreement,</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Meyenburg is entitled to receive (i) an amount equal to twelve (12) months of his base salary, (ii) a pro rata portion of his target bonus (as defined in his employment agreement) for 2022 (the calendar year in which the last day of his employment occurs), and (iii) monthly COBRA premiums paid by the Company until the earlier of (a) twelve (12) months from the Separation Date, (b) the date Mr. Meyenburg becomes eligible for health insurance through another employer, or (c) the cessation of Mr. Meyenburg’s continuation coverage rights under COBRA. The Separation Agreement also contains a reaffirmation of Mr. Meyenburg’s confidentiality and restrictive covenant obligations to the Company and a general release of claims by Mr. Meyenburg. Mr. Meyenburg will continue to contribute to the Company in an advisory role for a period of time following the Separation Date, during which time he will continue to vest in his existing equity awards. In addition, Mr. Meyenburg may exercise his vested stock options until 180 days after the termination of his advisory role, or the original expiration date of such stock options, if earlier.</w:t>
      </w:r>
    </w:p>
    <w:p>
      <w:pPr>
        <w:sectPr>
          <w:pgSz w:w="11900" w:h="16838" w:orient="portrait"/>
          <w:cols w:equalWidth="0" w:num="1">
            <w:col w:w="10980"/>
          </w:cols>
          <w:pgMar w:left="440" w:top="270" w:right="479" w:bottom="1440" w:gutter="0" w:footer="0" w:header="0"/>
        </w:sectPr>
      </w:pPr>
    </w:p>
    <w:bookmarkStart w:id="3" w:name="page4"/>
    <w:bookmarkEnd w:id="3"/>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summary does not purport to be complete and is qualified in its entirety by the Separation Agreement, a copy of which is attached hereto as Exhibit 10.1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Interim President and CEO</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Mr. Meyenburg’s departure, the Board appointed Dr. Georges Gemayel, the Company’s current Executive Chair, to serve as Interim President and Chief Executive Officer, effective as of February 28, 2022. Dr. Gemayel will continue to serve as a member and Chair of the Board. Biographical information regarding Dr. Gemayel is contained in and incorporated herein by reference from the Company’s definitive proxy statement filed with the Securities and Exchange Commission on August 17, 2021.</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Dr. Gemayel does not have any family relationships with any of the Company’s directors or executive officers. The terms of Dr. Gemayel’s employment with the Company are set forth in the Employment Agreement by and between the Company and Dr. Gemayel, dated November 15, 2021, filed with the Securities and Exchange Commission on November 15,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28, 2022, the Company issued a press release entitled “Gemini Therapeutics Provides Corporate Update.” The press release is attached hereto as Exhibit 99.1 and incorporated herein solely for purposes of this Item 7.01 disclosure.</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 This Current Report shall not be deemed an admission as to the materiality of any information in the Current Report that is required to be disclosed solely by Regulation FD.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planned restructuring, and the benefits we expect to receive from the restructuring.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6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9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680" w:type="dxa"/>
            <w:vAlign w:val="bottom"/>
            <w:gridSpan w:val="3"/>
          </w:tcPr>
          <w:p>
            <w:pPr>
              <w:ind w:left="540"/>
              <w:spacing w:after="0"/>
              <w:rPr>
                <w:sz w:val="20"/>
                <w:szCs w:val="20"/>
                <w:color w:val="auto"/>
              </w:rPr>
            </w:pPr>
            <w:r>
              <w:rPr>
                <w:rFonts w:ascii="Arial" w:cs="Arial" w:eastAsia="Arial" w:hAnsi="Arial"/>
                <w:sz w:val="18"/>
                <w:szCs w:val="18"/>
                <w:color w:val="auto"/>
                <w:w w:val="89"/>
              </w:rPr>
              <w:t>Separation Agreement and Release, by and between Gemini Therapeutics, Inc. and Jason Meyenburg, dated February 28, 2022</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680" w:type="dxa"/>
            <w:vAlign w:val="bottom"/>
            <w:gridSpan w:val="3"/>
          </w:tcPr>
          <w:p>
            <w:pPr>
              <w:ind w:left="540"/>
              <w:spacing w:after="0"/>
              <w:rPr>
                <w:sz w:val="20"/>
                <w:szCs w:val="20"/>
                <w:color w:val="auto"/>
              </w:rPr>
            </w:pPr>
            <w:r>
              <w:rPr>
                <w:rFonts w:ascii="Arial" w:cs="Arial" w:eastAsia="Arial" w:hAnsi="Arial"/>
                <w:sz w:val="18"/>
                <w:szCs w:val="18"/>
                <w:color w:val="auto"/>
              </w:rPr>
              <w:t>Press Release by Gemini Therapeutics, Inc., dated February 28, 2022</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9680" w:type="dxa"/>
            <w:vAlign w:val="bottom"/>
            <w:gridSpan w:val="3"/>
          </w:tcPr>
          <w:p>
            <w:pPr>
              <w:ind w:left="5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184"/>
          </w:cols>
          <w:pgMar w:left="436" w:top="270" w:right="1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Piekos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Brian Piekos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2022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2022-02-28T07:38:22Z</dcterms:created>
  <dcterms:modified xsi:type="dcterms:W3CDTF">2022-02-28T07:38:22Z</dcterms:modified>
</cp:coreProperties>
</file>