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80" w:right="459" w:hanging="4937"/>
        <w:spacing w:after="0" w:line="318" w:lineRule="auto"/>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January 11, 2021 Registration No. 333-249785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8890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6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FS Development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9"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68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20" w:type="dxa"/>
            <w:vAlign w:val="bottom"/>
          </w:tcPr>
          <w:p>
            <w:pPr>
              <w:jc w:val="right"/>
              <w:ind w:right="1053"/>
              <w:spacing w:after="0"/>
              <w:rPr>
                <w:sz w:val="20"/>
                <w:szCs w:val="20"/>
                <w:color w:val="auto"/>
              </w:rPr>
            </w:pPr>
            <w:r>
              <w:rPr>
                <w:rFonts w:ascii="Times New Roman" w:cs="Times New Roman" w:eastAsia="Times New Roman" w:hAnsi="Times New Roman"/>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85-1612845</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Jim Tananbaum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Joel L. Rubinstein</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Mitchell S. Bloom</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Bryan Luchs</w:t>
            </w:r>
          </w:p>
        </w:tc>
        <w:tc>
          <w:tcPr>
            <w:tcW w:w="31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Jocelyn Arel</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Laurie A. Burlingame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Goodwin Procter LLP</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New York, New York 10020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100 Northern Avenue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(212) 819-8200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Boston, Massachusetts 02210</w:t>
            </w:r>
          </w:p>
        </w:tc>
      </w:tr>
      <w:tr>
        <w:trPr>
          <w:trHeight w:val="238"/>
        </w:trPr>
        <w:tc>
          <w:tcPr>
            <w:tcW w:w="3160" w:type="dxa"/>
            <w:vAlign w:val="bottom"/>
          </w:tcPr>
          <w:p>
            <w:pPr>
              <w:spacing w:after="0"/>
              <w:rPr>
                <w:sz w:val="20"/>
                <w:szCs w:val="20"/>
                <w:color w:val="auto"/>
              </w:rPr>
            </w:pP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(617) 570-1000</w:t>
            </w:r>
          </w:p>
        </w:tc>
      </w:tr>
    </w:tbl>
    <w:p>
      <w:pPr>
        <w:spacing w:after="0" w:line="20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67" w:lineRule="exact"/>
        <w:rPr>
          <w:sz w:val="24"/>
          <w:szCs w:val="24"/>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14" w:lineRule="exact"/>
        <w:rPr>
          <w:sz w:val="24"/>
          <w:szCs w:val="24"/>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8"/>
          <w:szCs w:val="18"/>
          <w:color w:val="auto"/>
        </w:rPr>
        <w:t>£</w:t>
      </w: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and emerging growth company. See the definitions of “large accelerated filer”, “accelerated filer”, “smaller reporting company” and “emerging growth company” in Rule 12b-2 of the Securities Exchange Act of 1934, as amended (the “Exchange Act”).</w:t>
      </w:r>
    </w:p>
    <w:p>
      <w:pPr>
        <w:spacing w:after="0" w:line="135"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w:t>
            </w:r>
          </w:p>
        </w:tc>
        <w:tc>
          <w:tcPr>
            <w:tcW w:w="2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w:t>
            </w:r>
          </w:p>
        </w:tc>
        <w:tc>
          <w:tcPr>
            <w:tcW w:w="1380" w:type="dxa"/>
            <w:vAlign w:val="bottom"/>
          </w:tcPr>
          <w:p>
            <w:pPr>
              <w:ind w:left="260"/>
              <w:spacing w:after="0"/>
              <w:rPr>
                <w:sz w:val="20"/>
                <w:szCs w:val="20"/>
                <w:color w:val="auto"/>
              </w:rPr>
            </w:pPr>
            <w:r>
              <w:rPr>
                <w:rFonts w:ascii="Arial" w:cs="Arial" w:eastAsia="Arial" w:hAnsi="Arial"/>
                <w:sz w:val="18"/>
                <w:szCs w:val="18"/>
                <w:color w:val="auto"/>
              </w:rPr>
              <w:t>S</w:t>
            </w: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S</w:t>
            </w:r>
          </w:p>
        </w:tc>
      </w:tr>
      <w:tr>
        <w:trPr>
          <w:trHeight w:val="284"/>
        </w:trPr>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S</w:t>
            </w:r>
          </w:p>
        </w:tc>
      </w:tr>
    </w:tbl>
    <w:p>
      <w:pPr>
        <w:spacing w:after="0" w:line="221"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30" w:lineRule="exact"/>
        <w:rPr>
          <w:sz w:val="24"/>
          <w:szCs w:val="24"/>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Exchange Act Rule 13e-4(i) (Cross-Border Issuer Tender Offer)</w:t>
      </w:r>
      <w:r>
        <w:rPr>
          <w:sz w:val="20"/>
          <w:szCs w:val="20"/>
          <w:color w:val="auto"/>
        </w:rPr>
        <w:tab/>
      </w:r>
      <w:r>
        <w:rPr>
          <w:rFonts w:ascii="Arial" w:cs="Arial" w:eastAsia="Arial" w:hAnsi="Arial"/>
          <w:sz w:val="17"/>
          <w:szCs w:val="17"/>
          <w:color w:val="auto"/>
        </w:rPr>
        <w:t>£</w:t>
      </w:r>
    </w:p>
    <w:p>
      <w:pPr>
        <w:sectPr>
          <w:pgSz w:w="11900" w:h="16838" w:orient="portrait"/>
          <w:cols w:equalWidth="0" w:num="1">
            <w:col w:w="9019"/>
          </w:cols>
          <w:pgMar w:left="1440" w:top="266" w:right="1440" w:bottom="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color w:val="auto"/>
        </w:rPr>
        <w:t xml:space="preserve">Exchange Act Rule 14d-1(d) (Cross-Border Third-Party Tender Offer)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294640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to be</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5"/>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Securities to be Registered</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18"/>
                <w:szCs w:val="18"/>
                <w:b w:val="1"/>
                <w:bCs w:val="1"/>
                <w:color w:val="auto"/>
                <w:w w:val="96"/>
                <w:vertAlign w:val="superscript"/>
              </w:rPr>
              <w:t>(2)</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Price</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26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21,500,000</w:t>
            </w:r>
            <w:r>
              <w:rPr>
                <w:rFonts w:ascii="Times New Roman" w:cs="Times New Roman" w:eastAsia="Times New Roman" w:hAnsi="Times New Roman"/>
                <w:sz w:val="20"/>
                <w:szCs w:val="20"/>
                <w:color w:val="auto"/>
                <w:w w:val="95"/>
                <w:vertAlign w:val="superscript"/>
              </w:rPr>
              <w:t>(1)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11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$ 217,150,000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ind w:left="480"/>
              <w:spacing w:after="0" w:line="268" w:lineRule="exact"/>
              <w:rPr>
                <w:sz w:val="20"/>
                <w:szCs w:val="20"/>
                <w:color w:val="auto"/>
              </w:rPr>
            </w:pPr>
            <w:r>
              <w:rPr>
                <w:rFonts w:ascii="Times New Roman" w:cs="Times New Roman" w:eastAsia="Times New Roman" w:hAnsi="Times New Roman"/>
                <w:sz w:val="31"/>
                <w:szCs w:val="31"/>
                <w:color w:val="auto"/>
                <w:w w:val="92"/>
                <w:vertAlign w:val="subscript"/>
              </w:rPr>
              <w:t>23,692</w:t>
            </w:r>
            <w:r>
              <w:rPr>
                <w:rFonts w:ascii="Times New Roman" w:cs="Times New Roman" w:eastAsia="Times New Roman" w:hAnsi="Times New Roman"/>
                <w:sz w:val="10"/>
                <w:szCs w:val="10"/>
                <w:color w:val="auto"/>
                <w:w w:val="92"/>
              </w:rPr>
              <w:t>(4)(5)</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gridSpan w:val="2"/>
            <w:vMerge w:val="continue"/>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21,500,000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10.10</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$ 217,150,000</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23,692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93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maximum number of shares of Class A Common Stock, $0.0001 par value per share, of the registrant issuable upon a business combination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involving FS Development Corp. (“</w:t>
      </w:r>
      <w:r>
        <w:rPr>
          <w:rFonts w:ascii="Times New Roman" w:cs="Times New Roman" w:eastAsia="Times New Roman" w:hAnsi="Times New Roman"/>
          <w:sz w:val="16"/>
          <w:szCs w:val="16"/>
          <w:b w:val="1"/>
          <w:bCs w:val="1"/>
          <w:color w:val="auto"/>
        </w:rPr>
        <w:t>FS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Development</w:t>
      </w:r>
      <w:r>
        <w:rPr>
          <w:rFonts w:ascii="Times New Roman" w:cs="Times New Roman" w:eastAsia="Times New Roman" w:hAnsi="Times New Roman"/>
          <w:sz w:val="16"/>
          <w:szCs w:val="16"/>
          <w:color w:val="auto"/>
        </w:rPr>
        <w:t>”) and Gemini Therapeutics, Inc.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This number is based on 21,500,000, the maximum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number of shares of common stock of FS Development that are expected to be issued pursuant to the Business Combination.</w:t>
      </w:r>
    </w:p>
    <w:p>
      <w:pPr>
        <w:jc w:val="both"/>
        <w:ind w:left="880" w:right="479" w:hanging="426"/>
        <w:spacing w:after="0" w:line="264" w:lineRule="auto"/>
        <w:tabs>
          <w:tab w:leader="none" w:pos="94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of the Securities Act of 1933, there are also being registered an indeterminable number of additional securities as may be issued to prevent dilution resulting from stock splits, stock dividends or similar transaction.</w:t>
      </w:r>
    </w:p>
    <w:p>
      <w:pPr>
        <w:jc w:val="both"/>
        <w:ind w:left="880" w:right="459" w:hanging="426"/>
        <w:spacing w:after="0" w:line="264" w:lineRule="auto"/>
        <w:tabs>
          <w:tab w:leader="none" w:pos="88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based on the average of the high and low prices of the shares of common stock of FS Development on the Nasdaq Capital Market on October 26, 2020 ($10.10 per share). This calculation is in accordance with Rule 457(f)(1) of the Securities Act.</w:t>
      </w:r>
    </w:p>
    <w:p>
      <w:pPr>
        <w:ind w:left="880" w:right="479" w:hanging="426"/>
        <w:spacing w:after="0" w:line="264" w:lineRule="auto"/>
        <w:tabs>
          <w:tab w:leader="none" w:pos="93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Rule 457 under the Securities Act by multiplying the proposed maximum aggregate offering price of securities by 0.0001091.</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fee has been previously paid.</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12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D2232A"/>
        </w:rPr>
        <w:t>The information in this preliminary proxy statement/prospectus is not complete and may be changed. These securities may not be issued until the registration statement filed with the Securities and Exchange Commission is effective. This preliminary proxy statement/prospectus is not an offer to sell these securities and it is not soliciting an offer to buy these securities in any jurisdiction where the offer or sale is not permitted.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JANUARY 11, 2021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behalf of the board of directors of FS Development Corp.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we are pleased to enclose the proxy statement/prospectus relating to the proposed merger of FSG Merger Sub, Inc., a Delaware corporation and a 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pursuant to the terms of a merger agreement, dated October 15, 2020, among FS Development, Merger Sub, Gemini and Shareholder Representative Services LLC (as it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and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In connection with the Business Combination, FS Development will be renamed “Gemini Therapeutics, Inc.”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 Development. The Special</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Meeting will be held on , 2021, at Eastern time, via a virtual meeting. In light of the novel coronavirus (referred to as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pandemic and to support the well-being of FS Development’s stockholders, directors and management, the Special Meeting will be completely virtual. You may attend the Special Meeting and vote your shares electronically during the Special Meeting via live webcast by visiting</w:t>
      </w:r>
    </w:p>
    <w:p>
      <w:pPr>
        <w:spacing w:after="0" w:line="2" w:lineRule="exact"/>
        <w:rPr>
          <w:sz w:val="20"/>
          <w:szCs w:val="20"/>
          <w:color w:val="auto"/>
        </w:rPr>
      </w:pPr>
    </w:p>
    <w:p>
      <w:pPr>
        <w:jc w:val="both"/>
        <w:ind w:left="460" w:right="459" w:firstLine="381"/>
        <w:spacing w:after="0" w:line="253"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the 12-digit 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21"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At the Special Meeting, FS Development stockholders will be asked to consider and vote upon the following proposals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right="479" w:hanging="434"/>
        <w:spacing w:after="0" w:line="282" w:lineRule="auto"/>
        <w:tabs>
          <w:tab w:leader="none" w:pos="1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and (b) approve the Business Combination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Acquisition of Gemini; Merger Consideration</w:t>
      </w:r>
      <w:r>
        <w:rPr>
          <w:rFonts w:ascii="Times New Roman" w:cs="Times New Roman" w:eastAsia="Times New Roman" w:hAnsi="Times New Roman"/>
          <w:sz w:val="18"/>
          <w:szCs w:val="18"/>
          <w:color w:val="auto"/>
        </w:rPr>
        <w:t>” and (b) the issuance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9,506,000 newly issued shares 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760" w:hanging="442"/>
        <w:spacing w:after="0"/>
        <w:tabs>
          <w:tab w:leader="none" w:pos="1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w:t>
      </w:r>
    </w:p>
    <w:p>
      <w:pPr>
        <w:spacing w:after="0" w:line="31" w:lineRule="exact"/>
        <w:rPr>
          <w:sz w:val="20"/>
          <w:szCs w:val="20"/>
          <w:color w:val="auto"/>
        </w:rPr>
      </w:pPr>
    </w:p>
    <w:p>
      <w:pPr>
        <w:ind w:left="1760"/>
        <w:spacing w:after="0"/>
        <w:tabs>
          <w:tab w:leader="none" w:pos="3840" w:val="left"/>
        </w:tabs>
        <w:rPr>
          <w:sz w:val="20"/>
          <w:szCs w:val="20"/>
          <w:color w:val="auto"/>
        </w:rPr>
      </w:pPr>
      <w:r>
        <w:rPr>
          <w:rFonts w:ascii="Times New Roman" w:cs="Times New Roman" w:eastAsia="Times New Roman" w:hAnsi="Times New Roman"/>
          <w:sz w:val="18"/>
          <w:szCs w:val="18"/>
          <w:color w:val="auto"/>
        </w:rPr>
        <w:t>A 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5" w:lineRule="exact"/>
        <w:rPr>
          <w:sz w:val="20"/>
          <w:szCs w:val="20"/>
          <w:color w:val="auto"/>
        </w:rPr>
      </w:pPr>
    </w:p>
    <w:p>
      <w:pPr>
        <w:jc w:val="both"/>
        <w:ind w:left="1760" w:right="459" w:hanging="442"/>
        <w:spacing w:after="0" w:line="268" w:lineRule="auto"/>
        <w:tabs>
          <w:tab w:leader="none" w:pos="17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1760" w:right="459" w:hanging="442"/>
        <w:spacing w:after="0" w:line="263" w:lineRule="auto"/>
        <w:tabs>
          <w:tab w:leader="none" w:pos="18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760" w:right="459" w:hanging="442"/>
        <w:spacing w:after="0" w:line="259" w:lineRule="auto"/>
        <w:tabs>
          <w:tab w:leader="none" w:pos="1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Gemini, with Gemini continuing as the surviving entity.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1320" w:right="479" w:hanging="434"/>
        <w:spacing w:after="0" w:line="258" w:lineRule="auto"/>
        <w:tabs>
          <w:tab w:leader="none" w:pos="14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receive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1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Following completion of the Business Combination and assuming no holders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stock,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elect to redeem their shares, FS Development Holdings,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public stockholders, the PIPE Investment investors and holders of Gemini Stock (the “</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will own approximately 7%, 26%, 21% and 46% of the outstanding common stock of the Combined Entity, respectively. These percentages are calculated based on a number of assumptions (described in the accompanying proxy statement/prospectus) and are subject to adjustment in accordance with the terms of the Merger Agreement.</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Approval of the Charter Amendment Proposal requires the affirmative vote of a majority of the issued and outstanding shares of FS Development Class A Common Stock and Class B Common stock (collectively, “</w:t>
      </w:r>
      <w:r>
        <w:rPr>
          <w:rFonts w:ascii="Times New Roman" w:cs="Times New Roman" w:eastAsia="Times New Roman" w:hAnsi="Times New Roman"/>
          <w:sz w:val="18"/>
          <w:szCs w:val="18"/>
          <w:b w:val="1"/>
          <w:bCs w:val="1"/>
          <w:color w:val="auto"/>
        </w:rPr>
        <w:t>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Development Common Stock</w:t>
      </w:r>
      <w:r>
        <w:rPr>
          <w:rFonts w:ascii="Times New Roman" w:cs="Times New Roman" w:eastAsia="Times New Roman" w:hAnsi="Times New Roman"/>
          <w:sz w:val="18"/>
          <w:szCs w:val="18"/>
          <w:color w:val="auto"/>
        </w:rPr>
        <w:t>”) as of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Public Shares then held by them for cash equal to their pro rata share of the aggregate amount on deposit (as of two business days prior to the closing of the Business Combination)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that holds the proceeds (including interest but less franchise and income taxes payable) of the FS Development IPO. For illustrative purposes, based on funds in the Trust Account of</w:t>
      </w:r>
    </w:p>
    <w:p>
      <w:pPr>
        <w:spacing w:after="0" w:line="3" w:lineRule="exact"/>
        <w:rPr>
          <w:sz w:val="20"/>
          <w:szCs w:val="20"/>
          <w:color w:val="auto"/>
        </w:rPr>
      </w:pPr>
    </w:p>
    <w:p>
      <w:pPr>
        <w:ind w:left="460"/>
        <w:spacing w:after="0"/>
        <w:tabs>
          <w:tab w:leader="none" w:pos="202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7"/>
          <w:szCs w:val="17"/>
          <w:color w:val="auto"/>
        </w:rPr>
        <w:t>million on September 30, 2020, the estimated per share redemption price would have been</w:t>
      </w:r>
    </w:p>
    <w:p>
      <w:pPr>
        <w:spacing w:after="0" w:line="9"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 xml:space="preserve">approximately $ . </w:t>
      </w:r>
      <w:r>
        <w:rPr>
          <w:rFonts w:ascii="Times New Roman" w:cs="Times New Roman" w:eastAsia="Times New Roman" w:hAnsi="Times New Roman"/>
          <w:sz w:val="18"/>
          <w:szCs w:val="18"/>
          <w:b w:val="1"/>
          <w:bCs w:val="1"/>
          <w:color w:val="auto"/>
        </w:rPr>
        <w:t>Public stockholders may elect to redeem their shares even if they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A public stockholder, together with any of his, her or its affiliates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with whom it is acting in concert or as a “group” (as defined under Section 13 of the Securities Exchange Act of 1934, as amended),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FS Development is providing the accompanying proxy statement/prospectus and accompanying proxy card to FS Development stockholders in connection with the solicitation of proxies to be voted at the Special Meeting and at any adjournments or postponements of the Special Meeting. </w:t>
      </w:r>
      <w:r>
        <w:rPr>
          <w:rFonts w:ascii="Times New Roman" w:cs="Times New Roman" w:eastAsia="Times New Roman" w:hAnsi="Times New Roman"/>
          <w:sz w:val="18"/>
          <w:szCs w:val="18"/>
          <w:b w:val="1"/>
          <w:bCs w:val="1"/>
          <w:color w:val="auto"/>
        </w:rPr>
        <w:t>Whether or not you plan to attend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Special Meeting, FS Development urges you to read the accompanying proxy statement/prospectus (and any documents incorporated into the accompanying proxy statement/prospectus by reference) carefully. Please pay particular attention to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FS Development has unanimously approved and adopted the Merger Agreement and the transactions contemplated therein and has determined that each of the Nasdaq Stock Issuance Proposal, Charter Amendment Proposal, Advisory Charter Proposals, Incentive Plan Proposal, and Adjournment Proposal are in the best interests of FS Development and its stockholders and unanimously recommends that you vote or give instruction to vote “FOR” each of those Proposals. When you consider the board of directors’ recommendation of these Proposals, you should keep in mind that the directors and officers of FS Development have interests in the Business Combination that may conflict with your interests as a stockholder. See the section titled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Combination Proposal — Interests of FS Development’s Directors and Officers and Others in the Business Combination</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redemption of Public Shares by FS Development public stockholders will decrease the amount in the Trust Account, which held total assets of approximately $120,751,489 as of September 30, 2020. FS Development will not redeem Public Shares in an amount that would cause it to have net tangible assets of less than $5,000,001.</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Your vote is very important. If you are a registered stockholder, please vote your shares as soon as possible to ensure that your vote is counted, regardless of whether you expect to attend the Special Meeting virtually,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Stock Issuance Proposal, the Charter Amendment Proposal, and the Incentive Plan Proposal are approved at the Special Meeting. Approval of the Nasdaq Stock Issuance Proposal, the Charter Amendment Proposal, and the Incentive Plan Proposal are conditioned on the approval of the Business Combination Proposal and satisfaction of other closing conditions. The Adjournment Proposal is not conditioned on the approval of any other Proposal set forth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DEMAND THAT FS DEVELOPMENT REDEEM YOUR SHARES FOR A PRO RATA PORTION OF THE FUNDS HELD IN THE TRUST ACCOUNT AND TENDER YOUR SHARES TO FS DEVELOPMENT’S TRANSFER AGENT AT LEAST TWO BUSINESS DAYS PRIOR TO THE VOTE AT THE SPECIAL MEETING. YOU MAY TENDER YOUR SHARES BY EITHER DELIVERING YOUR SHARE CERTIFICATE TO THE TRANSFER AGENT OR BY DELIVERING YOUR SHARES ELECTRONICALLY TO THE TRANSFER AGENT USING DEPOSITORY TRUST COMPANY’S DEPOSIT WITHDRAWAL AT CUSTODIAN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behalf of FS Development’s board of directors, I would like to thank you for your support and look forward to the successful completion of the Business Combination.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227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proxy statement/prospectus is dated</w:t>
            </w:r>
          </w:p>
        </w:tc>
        <w:tc>
          <w:tcPr>
            <w:tcW w:w="3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2021 and is first being mailed to the</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of FS Development on or about</w:t>
            </w: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2021.</w:t>
            </w:r>
          </w:p>
        </w:tc>
        <w:tc>
          <w:tcPr>
            <w:tcW w:w="3420" w:type="dxa"/>
            <w:vAlign w:val="bottom"/>
          </w:tcPr>
          <w:p>
            <w:pPr>
              <w:spacing w:after="0"/>
              <w:rPr>
                <w:sz w:val="20"/>
                <w:szCs w:val="20"/>
                <w:color w:val="auto"/>
              </w:rPr>
            </w:pPr>
          </w:p>
        </w:tc>
      </w:tr>
      <w:tr>
        <w:trPr>
          <w:trHeight w:val="392"/>
        </w:trPr>
        <w:tc>
          <w:tcPr>
            <w:tcW w:w="3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FS DEVELOPMENT CORP.</w:t>
      </w:r>
    </w:p>
    <w:p>
      <w:pPr>
        <w:spacing w:after="0" w:line="135" w:lineRule="exact"/>
        <w:rPr>
          <w:sz w:val="20"/>
          <w:szCs w:val="20"/>
          <w:color w:val="auto"/>
        </w:rPr>
      </w:pPr>
    </w:p>
    <w:tbl>
      <w:tblPr>
        <w:tblLayout w:type="fixed"/>
        <w:tblInd w:w="34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2021</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w:t>
      </w:r>
    </w:p>
    <w:p>
      <w:pPr>
        <w:spacing w:after="0" w:line="3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Development Corp., a Delaware corporation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will be held on , 2021, at , Eastern time, via live webcast at the following address . You will need the 12-digit</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 You are cordially invited to attend the Special Meeting for the following purposes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20" w:right="459" w:hanging="434"/>
        <w:spacing w:after="0" w:line="254" w:lineRule="auto"/>
        <w:tabs>
          <w:tab w:leader="none" w:pos="14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dated as of October 15, 2020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FS Development, FSG Merger Sub,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and Shareholder Representative Services LLC pursuant to which Merger Sub will merge with and into Gemini,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and (b) approve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Business Combination, FS Development will be renamed “Gemini Therapeutics, Inc.”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8"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8"/>
          <w:szCs w:val="18"/>
          <w:color w:val="auto"/>
        </w:rPr>
        <w:t>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320" w:right="459" w:hanging="434"/>
        <w:spacing w:after="0" w:line="253" w:lineRule="auto"/>
        <w:tabs>
          <w:tab w:leader="none" w:pos="1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Gemini; Merger Consideration</w:t>
      </w:r>
      <w:r>
        <w:rPr>
          <w:rFonts w:ascii="Times New Roman" w:cs="Times New Roman" w:eastAsia="Times New Roman" w:hAnsi="Times New Roman"/>
          <w:sz w:val="18"/>
          <w:szCs w:val="18"/>
          <w:color w:val="auto"/>
        </w:rPr>
        <w:t>” and (b) the issuance and sale of 9,506,000 newly issued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 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740" w:hanging="422"/>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FS Development Class A</w:t>
      </w:r>
    </w:p>
    <w:p>
      <w:pPr>
        <w:spacing w:after="0" w:line="27" w:lineRule="exact"/>
        <w:rPr>
          <w:sz w:val="20"/>
          <w:szCs w:val="20"/>
          <w:color w:val="auto"/>
        </w:rPr>
      </w:pPr>
    </w:p>
    <w:p>
      <w:pPr>
        <w:ind w:left="1760"/>
        <w:spacing w:after="0"/>
        <w:tabs>
          <w:tab w:leader="none" w:pos="3440" w:val="left"/>
        </w:tabs>
        <w:rPr>
          <w:sz w:val="20"/>
          <w:szCs w:val="20"/>
          <w:color w:val="auto"/>
        </w:rPr>
      </w:pPr>
      <w:r>
        <w:rPr>
          <w:rFonts w:ascii="Times New Roman" w:cs="Times New Roman" w:eastAsia="Times New Roman" w:hAnsi="Times New Roman"/>
          <w:sz w:val="18"/>
          <w:szCs w:val="18"/>
          <w:color w:val="auto"/>
        </w:rPr>
        <w:t>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9" w:lineRule="exact"/>
        <w:rPr>
          <w:sz w:val="20"/>
          <w:szCs w:val="20"/>
          <w:color w:val="auto"/>
        </w:rPr>
      </w:pPr>
    </w:p>
    <w:p>
      <w:pPr>
        <w:jc w:val="both"/>
        <w:ind w:left="1760" w:right="459" w:hanging="442"/>
        <w:spacing w:after="0" w:line="266" w:lineRule="auto"/>
        <w:tabs>
          <w:tab w:leader="none" w:pos="17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Only holders of record of FS Development Common Stock at the close of business on , 2021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notice of the Special Meeting and to vote at the Special Meeting and any adjournments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postponements of the Special Meeting. A complete list of FS Development stockholders of record entitled to vote at the Special Meeting will be available for ten days before the Special Meeting at the principal executive offices of FS Development for inspection by stockholders during ordinary business hours for any purpose germane to the Special Meeting.</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shares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then held by them for cash equal to their pro rata share of the aggregate amount on deposit (as of two business days prior to the Closing)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8"/>
          <w:szCs w:val="18"/>
          <w:b w:val="1"/>
          <w:bCs w:val="1"/>
          <w:color w:val="auto"/>
        </w:rPr>
        <w:t>Public stockholders may elect to redeem their shares even if they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for the Business Combination Proposal</w:t>
      </w:r>
      <w:r>
        <w:rPr>
          <w:rFonts w:ascii="Times New Roman" w:cs="Times New Roman" w:eastAsia="Times New Roman" w:hAnsi="Times New Roman"/>
          <w:sz w:val="18"/>
          <w:szCs w:val="18"/>
          <w:color w:val="auto"/>
        </w:rPr>
        <w:t>. A public stockholder, together with any of his, her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any other person with whom it is acting in concert or as a “group” (as defined under Section 13 of the Exchange Act), will be restricted from redeeming in the aggregate his, her or its shares or, if part of such a group, the group’s shares, with respect to 20% or more of the shares of FS Development Class A Common Stock issued in the FS Development IPO. The Sponsor and FS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250825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as of the Record Date for the Special Meeting, voting 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approximately $120,751,489 in the Trust Account. Each redemption of Public Shares by its public stockholders will decrease the amount in the Trust Account. FS Development will not redeem Public Shares in an amount that would cause it to have net tangible assets of less than $5,000,001.</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(415) 877-4887.</w:t>
      </w:r>
    </w:p>
    <w:p>
      <w:pPr>
        <w:spacing w:after="0" w:line="1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2021</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168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ABOUT THIS PROXY STATEMENT/PROSPECTUS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FREQUENTLY USED TERMS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QUESTIONS AND ANSWERS ABOUT THE PROPOSALS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SUMMARY OF THE PROXY STATEMENT/PROSPECTUS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SUMMARY FINANCIAL AND OTHER DATA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SUMMARY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5"/>
        </w:trPr>
        <w:tc>
          <w:tcPr>
            <w:tcW w:w="62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SUMMARY UNAUDITED PRO FORMA CONDENSED COMBINED FINANCIAL</w:t>
              </w:r>
            </w:hyperlink>
          </w:p>
        </w:tc>
        <w:tc>
          <w:tcPr>
            <w:tcW w:w="102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INFORMATION</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COMPARATIVE SHARE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RISK FACTORS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CAUTIONARY NOTE REGARDING FORWARD-LOOKING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SPECIAL MEETING OF FS DEVELOPMENT STOCKHOLDERS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THE BUSINESS COMBINATION PROPOSAL</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THE NASDAQ STOCK ISSUANCE PROPOSAL</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INFORMATION ABOUT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EXECUTIVE OFFICERS AND DIRECTORS OF FS DEVELOPMENT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SELECTED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72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MANAGEMENT’S DISCUSSION AND ANALYSIS OF RESULTS OF FINANCIAL</w:t>
              </w:r>
            </w:hyperlink>
          </w:p>
        </w:tc>
        <w:tc>
          <w:tcPr>
            <w:tcW w:w="820" w:type="dxa"/>
            <w:vAlign w:val="bottom"/>
            <w:shd w:val="clear" w:color="auto" w:fill="CCEEFF"/>
          </w:tcPr>
          <w:p>
            <w:pPr>
              <w:spacing w:after="0"/>
              <w:rPr>
                <w:sz w:val="15"/>
                <w:szCs w:val="15"/>
                <w:color w:val="auto"/>
              </w:rPr>
            </w:pPr>
          </w:p>
        </w:tc>
      </w:tr>
      <w:tr>
        <w:trPr>
          <w:trHeight w:val="257"/>
        </w:trPr>
        <w:tc>
          <w:tcPr>
            <w:tcW w:w="180" w:type="dxa"/>
            <w:vAlign w:val="bottom"/>
            <w:tcBorders>
              <w:top w:val="single" w:sz="8" w:color="0000EE"/>
              <w:bottom w:val="single" w:sz="8" w:color="CCEEFF"/>
            </w:tcBorders>
            <w:shd w:val="clear" w:color="auto" w:fill="CCEEFF"/>
          </w:tcPr>
          <w:p>
            <w:pPr>
              <w:spacing w:after="0"/>
              <w:rPr>
                <w:sz w:val="22"/>
                <w:szCs w:val="22"/>
                <w:color w:val="auto"/>
              </w:rPr>
            </w:pPr>
          </w:p>
        </w:tc>
        <w:tc>
          <w:tcPr>
            <w:tcW w:w="6100" w:type="dxa"/>
            <w:vAlign w:val="bottom"/>
            <w:tcBorders>
              <w:top w:val="single" w:sz="8" w:color="0000EE"/>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CONDITION AND RESULTS OF OPERATIONS OF FS DEVELOPMENT</w:t>
              </w:r>
            </w:hyperlink>
          </w:p>
        </w:tc>
        <w:tc>
          <w:tcPr>
            <w:tcW w:w="10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INFORMATION ABOUT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EXECUTIVE OFFICERS AND DIRECTORS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EXECUTIVE COMPENSATION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MANAGEMENT AFTER THE BUSINESS COMBINATION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SELECTED CONSOLIDATED FINANCIAL AND OTHER DATA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93">
              <w:r>
                <w:rPr>
                  <w:rFonts w:ascii="Times New Roman" w:cs="Times New Roman" w:eastAsia="Times New Roman" w:hAnsi="Times New Roman"/>
                  <w:sz w:val="18"/>
                  <w:szCs w:val="18"/>
                  <w:color w:val="0000EE"/>
                  <w:w w:val="99"/>
                </w:rPr>
                <w:t>MANAGEMENT’S DISCUSSION AND ANALYSIS OF FINANCIAL CONDITION AND</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RESULTS OF OPERATIONS OF GEMINI</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DESCRIPTION OF SECURITIES AFTER THE BUSINESS COMBINATION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SHARES ELIGIBLE FOR FUTURE SALE</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COMPARISON OF STOCKHOLDER RIGHTS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TICKER SYMBOL, MARKET PRICE AND DIVIDEND POLICY</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CERTAIN RELATIONSHIPS AND RELATED PERSON TRANSACTIONS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ADDITIONAL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WHERE YOU CAN FIND MORE INFORMATION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INDEX TO FINANCIAL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A </w:t>
            </w:r>
            <w:hyperlink w:anchor="page298">
              <w:r>
                <w:rPr>
                  <w:rFonts w:ascii="Times New Roman" w:cs="Times New Roman" w:eastAsia="Times New Roman" w:hAnsi="Times New Roman"/>
                  <w:sz w:val="18"/>
                  <w:szCs w:val="18"/>
                  <w:u w:val="single" w:color="auto"/>
                  <w:color w:val="0000EE"/>
                </w:rPr>
                <w:t>Merger Agreement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B </w:t>
            </w:r>
            <w:hyperlink w:anchor="page487">
              <w:r>
                <w:rPr>
                  <w:rFonts w:ascii="Times New Roman" w:cs="Times New Roman" w:eastAsia="Times New Roman" w:hAnsi="Times New Roman"/>
                  <w:sz w:val="18"/>
                  <w:szCs w:val="18"/>
                  <w:u w:val="single" w:color="auto"/>
                  <w:color w:val="0000EE"/>
                </w:rPr>
                <w:t>Form of Amended and Restated Certificate of Incorporation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C </w:t>
            </w:r>
            <w:hyperlink w:anchor="page492">
              <w:r>
                <w:rPr>
                  <w:rFonts w:ascii="Times New Roman" w:cs="Times New Roman" w:eastAsia="Times New Roman" w:hAnsi="Times New Roman"/>
                  <w:sz w:val="18"/>
                  <w:szCs w:val="18"/>
                  <w:u w:val="single" w:color="auto"/>
                  <w:color w:val="0000EE"/>
                </w:rPr>
                <w:t>Form of Amended and Restated Bylaws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D </w:t>
            </w:r>
            <w:hyperlink w:anchor="page508">
              <w:r>
                <w:rPr>
                  <w:rFonts w:ascii="Times New Roman" w:cs="Times New Roman" w:eastAsia="Times New Roman" w:hAnsi="Times New Roman"/>
                  <w:sz w:val="18"/>
                  <w:szCs w:val="18"/>
                  <w:u w:val="single" w:color="auto"/>
                  <w:color w:val="0000EE"/>
                </w:rPr>
                <w:t>Gemini 2020 Stock Option and Incentive Plan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E </w:t>
            </w:r>
            <w:hyperlink w:anchor="page520">
              <w:r>
                <w:rPr>
                  <w:rFonts w:ascii="Times New Roman" w:cs="Times New Roman" w:eastAsia="Times New Roman" w:hAnsi="Times New Roman"/>
                  <w:sz w:val="18"/>
                  <w:szCs w:val="18"/>
                  <w:u w:val="single" w:color="auto"/>
                  <w:color w:val="0000EE"/>
                </w:rPr>
                <w:t>Subscription Agreement</w:t>
              </w:r>
            </w:hyperlink>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E-1</w:t>
            </w:r>
          </w:p>
        </w:tc>
      </w:tr>
      <w:tr>
        <w:trPr>
          <w:trHeight w:val="41"/>
        </w:trPr>
        <w:tc>
          <w:tcPr>
            <w:tcW w:w="1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 FS Development (File No. 333-249785)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constitutes a prospectus of FS Development under Section 5 of the Securities Act, with respect to the shares of FS Development Class A Common Stock to be issued to Gemini Equityholders if the Business Combination described below is consummated. This document also constitutes a notice of meeting and a proxy statement under Section 14(a) of the Exchange Act with respect to the Special Meeting, at which FS Development stockholders will be asked to consider and vote upon a proposal to approve the Business Combination by the approval and adoption of the Merger Agreement, among other matters.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FS Development Stockholders nor the issuance by FS Development of its FS Development Class A Common Stock in connection with the Business Combination will create any implication to the contrary.</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Information contained in this proxy statement/prospectus regarding FS Development has been provided by FS Development and information contained in this proxy statement/prospectus regarding Gemini has been provided by Gemini.</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FS Development files reports, proxy statements/prospectuses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us by telephone or in writing: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(415) 877-4887</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You may also obtain these documents by requesting them in writing or by telephone from our proxy solicitor at: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FSDC.info@investor.morrowsodali.com</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 2021 to</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receive them before the Special Meeting. If you request any documents from us, we will mail them to you by first class mail, or another equally prompt means.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FS Development’s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“FS Development” refer to FS Development Corp.</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2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Bylaws</w:t>
      </w:r>
      <w:r>
        <w:rPr>
          <w:rFonts w:ascii="Times New Roman" w:cs="Times New Roman" w:eastAsia="Times New Roman" w:hAnsi="Times New Roman"/>
          <w:sz w:val="18"/>
          <w:szCs w:val="18"/>
          <w:color w:val="auto"/>
        </w:rPr>
        <w:t xml:space="preserve">” means the Amended and Restated Bylaws of Gemini, a Form of which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FS Development.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business combination pursuant to the Merger Agreement.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3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Payment Shares</w:t>
      </w:r>
      <w:r>
        <w:rPr>
          <w:rFonts w:ascii="Times New Roman" w:cs="Times New Roman" w:eastAsia="Times New Roman" w:hAnsi="Times New Roman"/>
          <w:sz w:val="18"/>
          <w:szCs w:val="18"/>
          <w:color w:val="auto"/>
        </w:rPr>
        <w:t>” means an aggregate number of shares of FS Development Class A Common Stock equal to the difference between (a) 21,500,000 shares of FS Development Class A Common Stock; minus (b) a number of shares of FS Development Class A Common Stock equal to one half (1/2) of the initial unallocated shares of FS Development Class A Common Stock reserved for issuance under the Equity Incentive Plan (which shall not exceed two and one-half percent (2.5%) of the issued and outstanding shares of FS Development Class A Common Stock as of immediately following the Effective Time as set forth in the capitalization schedule delivered prior to the Closing pursuant to the Merger Agreement (and approved by FS Development, such approval not to be unreasonably withheld, conditioned or delayed)).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means FS Development after the event in which Gemini becomes a wholly-owned subsidiary of FS Development.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Combined Entity following the Closing.</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Series A Preferred Stock of Gemini.</w:t>
      </w:r>
    </w:p>
    <w:p>
      <w:pPr>
        <w:spacing w:after="0" w:line="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means those certain Convertible Promissory Notes of Gemini in the aggregate principal amount of $14,000,000, issued on August 21, 2020 to certain Gemini Equityholders pursuant to the Convertible Promissory Note Purchase Agreement dated August 21, 2020 among Gemini and such Gemini Equityholders.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By-laws</w:t>
      </w:r>
      <w:r>
        <w:rPr>
          <w:rFonts w:ascii="Times New Roman" w:cs="Times New Roman" w:eastAsia="Times New Roman" w:hAnsi="Times New Roman"/>
          <w:sz w:val="18"/>
          <w:szCs w:val="18"/>
          <w:color w:val="auto"/>
        </w:rPr>
        <w:t>” means FS Development’s by-laws as currently in effect.</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means FS Development’s current amended and restated certificate of incorporation as filed with the Secretary of State of the State of Delaware on August 11, 2020.</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at which the Business Combination became effective pursuant to the terms of the Merger Agreement.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2020 Stock Option and Incentive Plan.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Act of 1934, as amended from time to time.</w:t>
      </w:r>
    </w:p>
    <w:p>
      <w:pPr>
        <w:spacing w:after="0" w:line="13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Shares</w:t>
      </w:r>
      <w:r>
        <w:rPr>
          <w:rFonts w:ascii="Times New Roman" w:cs="Times New Roman" w:eastAsia="Times New Roman" w:hAnsi="Times New Roman"/>
          <w:sz w:val="18"/>
          <w:szCs w:val="18"/>
          <w:color w:val="auto"/>
        </w:rPr>
        <w:t>” means the outstanding shares of our Class B Common Stock held by the Sponsor, our directors and affiliates of our management team since June 30, 2020.</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means FS Development Corp.</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FS Development.</w:t>
      </w:r>
    </w:p>
    <w:p>
      <w:pPr>
        <w:spacing w:after="0" w:line="6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B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“Class B Common Stock”</w:t>
      </w:r>
      <w:r>
        <w:rPr>
          <w:rFonts w:ascii="Times New Roman" w:cs="Times New Roman" w:eastAsia="Times New Roman" w:hAnsi="Times New Roman"/>
          <w:sz w:val="18"/>
          <w:szCs w:val="18"/>
          <w:color w:val="auto"/>
        </w:rPr>
        <w:t xml:space="preserve"> means the shares of Class B Common Stock, par value $0.0001 per share, of FS Development.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Common Stock</w:t>
      </w:r>
      <w:r>
        <w:rPr>
          <w:rFonts w:ascii="Times New Roman" w:cs="Times New Roman" w:eastAsia="Times New Roman" w:hAnsi="Times New Roman"/>
          <w:sz w:val="18"/>
          <w:szCs w:val="18"/>
          <w:color w:val="auto"/>
        </w:rPr>
        <w:t>” means, collectively, the FS Development Class A Common Stock and FS Development Class B Common Stock.</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means FS Development’s initial public offering.</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Support Agreement</w:t>
      </w:r>
      <w:r>
        <w:rPr>
          <w:rFonts w:ascii="Times New Roman" w:cs="Times New Roman" w:eastAsia="Times New Roman" w:hAnsi="Times New Roman"/>
          <w:sz w:val="18"/>
          <w:szCs w:val="18"/>
          <w:color w:val="auto"/>
        </w:rPr>
        <w:t>” means the FS Development Support Agreement, dated as of October 15, 2020, by and among FS Development, Gemini, the Sponsor and certain supporting stockholders of FS Development.</w:t>
      </w:r>
    </w:p>
    <w:p>
      <w:pPr>
        <w:spacing w:after="0" w:line="90" w:lineRule="exact"/>
        <w:rPr>
          <w:sz w:val="20"/>
          <w:szCs w:val="20"/>
          <w:color w:val="auto"/>
        </w:rPr>
      </w:pPr>
    </w:p>
    <w:p>
      <w:pPr>
        <w:jc w:val="both"/>
        <w:ind w:left="460" w:right="47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Fully Diluted Company Shares</w:t>
      </w:r>
      <w:r>
        <w:rPr>
          <w:rFonts w:ascii="Times New Roman" w:cs="Times New Roman" w:eastAsia="Times New Roman" w:hAnsi="Times New Roman"/>
          <w:sz w:val="17"/>
          <w:szCs w:val="17"/>
          <w:color w:val="auto"/>
        </w:rPr>
        <w:t>” means the sum, without duplication, of (a) shares of common stock of Gemini (including restricted stock) that are issued and outstanding immediately prior to the Effective Time; plus</w:t>
      </w:r>
    </w:p>
    <w:p>
      <w:pPr>
        <w:spacing w:after="0" w:line="1" w:lineRule="exact"/>
        <w:rPr>
          <w:sz w:val="20"/>
          <w:szCs w:val="20"/>
          <w:color w:val="auto"/>
        </w:rPr>
      </w:pPr>
    </w:p>
    <w:p>
      <w:pPr>
        <w:jc w:val="both"/>
        <w:ind w:left="460" w:right="459" w:hanging="6"/>
        <w:spacing w:after="0" w:line="250" w:lineRule="auto"/>
        <w:tabs>
          <w:tab w:leader="none" w:pos="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of Gemini (on an as converted to common stock basis) that are issued and outstanding immediately prior to the Effective Time; plus (c) the aggregate number of shares of common stock of Gemini issuable upon exercise of the Company Warrant as of immediately prior to the Effective Time; plus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of Gemini issuable upon exercise of options to purchase common stock of Gemini that are vested as of immediately prior to the Effective Time; plus (e) the aggregate number of shares of common stock of Gemini issuable upon exercise of options to purchase common stock of Gemini that are unvested as of immediately prior to the Effective Time; plus (f) the aggregate number of shares of Gemini Series B Preferred Stock (on an as converted to common stock basis) issuable upon the conversion of the Convertible Notes as of immediately prior to the Effective Time.</w:t>
      </w:r>
    </w:p>
    <w:p>
      <w:pPr>
        <w:spacing w:after="0" w:line="11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means Gemini Therapeutics, Inc., a Delaware corporation, which shall refer to the Combined Entity following the Business Combination, as the context requires.</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means the holders of equity interests in Gemini as of the time immediately before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means, collectively, all shares of Gemini’s Series B Preferred Stock, Series A Preferred Stock and Common Stock.</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Merger Agreement, dated as of October 15, 2020, by and among FS Development, Merger Sub, Gemini and the Shareholders Representative.</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Closing Payment Shares to be issued as the consideration for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FSG Merger Sub, Inc., a Delaware corporation and a wholly-owned subsidiary of FS Development.</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refers to the sale of 9,506,000 newly issued shares of FS Development Class A Common Stock in a private placement concurrent with the Business Combination.</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Portion of the Merger Consideration</w:t>
      </w:r>
      <w:r>
        <w:rPr>
          <w:rFonts w:ascii="Times New Roman" w:cs="Times New Roman" w:eastAsia="Times New Roman" w:hAnsi="Times New Roman"/>
          <w:sz w:val="18"/>
          <w:szCs w:val="18"/>
          <w:color w:val="auto"/>
        </w:rPr>
        <w:t>” means, for each share of Gemini Stock owned by a Gemini Equityholder, the quotient of the Closing Payment Shares divided by the Fully Diluted Company Shares.</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means any of the proposals being presented to the FS Development stockholders at the Special Meeting.</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xml:space="preserve">” means the Amended and Restated Certificate of Incorporation of Gemini, a Form of which is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FS Development Class A Common Stock issued in the FS Development IPO.</w:t>
      </w:r>
    </w:p>
    <w:p>
      <w:pPr>
        <w:spacing w:after="0" w:line="144"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the right of the holders of FS Development Class A Common Stock to have their shares redeemed in accordance with the procedures set forth in this proxy statement/prospectus.</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to be entered into in connection with the Closing with certain Gemini Equityholders.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Exchange Commission or any successor organization.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means Shareholder Representative Services LLC.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152"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means the special meeting of the stockholders of FS Development, to be held on 2021, at , Eastern time, via live webcast at the following address.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9" w:lineRule="exact"/>
        <w:rPr>
          <w:sz w:val="20"/>
          <w:szCs w:val="20"/>
          <w:color w:val="auto"/>
        </w:rPr>
      </w:pPr>
    </w:p>
    <w:p>
      <w:pPr>
        <w:sectPr>
          <w:pgSz w:w="11900" w:h="16838" w:orient="portrait"/>
          <w:cols w:equalWidth="0" w:num="2">
            <w:col w:w="7940" w:space="560"/>
            <w:col w:w="5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FS Development, which holds the net proceeds of the FS Development IPO, together with interest earned thereon, less amounts released to pay franchise and income tax obligations.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briefly address some commonly asked questions about the Business Combination and the Special Meeting of FS Development stockholders. The following questions and answers do not include all the information that is important to stockholders of FS Development. We urge the stockholders of FS Development to read carefully this entire proxy statement/prospectus, including the annexes and other documents referred to herein.</w:t>
      </w:r>
    </w:p>
    <w:p>
      <w:pPr>
        <w:spacing w:after="0" w:line="100" w:lineRule="exact"/>
        <w:rPr>
          <w:sz w:val="20"/>
          <w:szCs w:val="20"/>
          <w:color w:val="auto"/>
        </w:rPr>
      </w:pPr>
    </w:p>
    <w:p>
      <w:pPr>
        <w:ind w:left="860" w:hanging="406"/>
        <w:spacing w:after="0"/>
        <w:tabs>
          <w:tab w:leader="none" w:pos="8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jc w:val="both"/>
        <w:ind w:left="880" w:right="459" w:hanging="426"/>
        <w:spacing w:after="0" w:line="255" w:lineRule="auto"/>
        <w:tabs>
          <w:tab w:leader="none" w:pos="8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being asked to consider and vote upon a proposal to approve and adopt the Merger Agreement, among other proposals. FS Development has entered into the Merger Agreement as a result of which Merger Sub, a wholly-owned subsidiary of FS Development, shall merge with and into Gemini with Gemini surviving such merger, and as a result of which Gemini will become a wholly-owned subsidiary of FS Development. We refer to this merger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FS Development urges its stockholders to read the Merger Agreement in its entirety, which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880" w:right="47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VOTE IS IMPORTANT. YOU ARE ENCOURAGED TO SUBMIT YOUR PROXY AS SOON AS POSSIBLE AFTER CAREFULLY REVIEWING THIS PROXY STATEMENT/PROSPECTUS AND ITS ANNEXES AND CAREFULLY CONSIDERING EACH OF THE PROPOSALS BEING PRESENTED AT THE MEETING.</w:t>
      </w:r>
    </w:p>
    <w:p>
      <w:pPr>
        <w:spacing w:after="0" w:line="95" w:lineRule="exact"/>
        <w:rPr>
          <w:sz w:val="20"/>
          <w:szCs w:val="20"/>
          <w:color w:val="auto"/>
        </w:rPr>
      </w:pPr>
    </w:p>
    <w:p>
      <w:pPr>
        <w:ind w:left="880" w:hanging="426"/>
        <w:spacing w:after="0"/>
        <w:tabs>
          <w:tab w:leader="none" w:pos="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proposing the Business Combination?</w:t>
      </w:r>
    </w:p>
    <w:p>
      <w:pPr>
        <w:spacing w:after="0" w:line="135" w:lineRule="exact"/>
        <w:rPr>
          <w:sz w:val="20"/>
          <w:szCs w:val="20"/>
          <w:color w:val="auto"/>
        </w:rPr>
      </w:pPr>
    </w:p>
    <w:p>
      <w:pPr>
        <w:jc w:val="both"/>
        <w:ind w:left="880" w:right="479" w:hanging="426"/>
        <w:spacing w:after="0" w:line="266" w:lineRule="auto"/>
        <w:tabs>
          <w:tab w:leader="none" w:pos="10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other similar business combination with one or more operating businesses.</w:t>
      </w:r>
    </w:p>
    <w:p>
      <w:pPr>
        <w:spacing w:after="0" w:line="8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Based on its due diligence investigations of Gemini and the industries in which it operates, including the financial and other information provided by Gemini in the course of FS Development’s due diligence investigations, the Board believes that the Business Combination with Gemini is in the best interests of FS Development and its stockholders.</w:t>
      </w:r>
    </w:p>
    <w:p>
      <w:pPr>
        <w:spacing w:after="0" w:line="97"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Proposal — Board’s Reasons for Approval of the Business Combination</w:t>
      </w:r>
      <w:r>
        <w:rPr>
          <w:rFonts w:ascii="Times New Roman" w:cs="Times New Roman" w:eastAsia="Times New Roman" w:hAnsi="Times New Roman"/>
          <w:sz w:val="18"/>
          <w:szCs w:val="18"/>
          <w:color w:val="auto"/>
        </w:rPr>
        <w:t>” for a discussion of the factors considered by the Board in making its decision.</w:t>
      </w:r>
    </w:p>
    <w:p>
      <w:pPr>
        <w:spacing w:after="0" w:line="62"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the Special Meeting?</w:t>
      </w:r>
    </w:p>
    <w:p>
      <w:pPr>
        <w:spacing w:after="0" w:line="135" w:lineRule="exact"/>
        <w:rPr>
          <w:sz w:val="20"/>
          <w:szCs w:val="20"/>
          <w:color w:val="auto"/>
        </w:rPr>
      </w:pPr>
    </w:p>
    <w:p>
      <w:pPr>
        <w:ind w:left="880" w:right="479" w:hanging="426"/>
        <w:spacing w:after="0" w:line="282" w:lineRule="auto"/>
        <w:tabs>
          <w:tab w:leader="none" w:pos="8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proposals upon which FS Development stockholders will be asked to vote at the Special Meeting:</w:t>
      </w:r>
    </w:p>
    <w:p>
      <w:pPr>
        <w:spacing w:after="0" w:line="78"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Business Combination Proposa</w:t>
      </w:r>
      <w:r>
        <w:rPr>
          <w:rFonts w:ascii="Times New Roman" w:cs="Times New Roman" w:eastAsia="Times New Roman" w:hAnsi="Times New Roman"/>
          <w:sz w:val="18"/>
          <w:szCs w:val="18"/>
          <w:color w:val="auto"/>
        </w:rPr>
        <w:t>l — To adopt and approve the Merger Agreement and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Combination.</w:t>
      </w:r>
    </w:p>
    <w:p>
      <w:pPr>
        <w:spacing w:after="0" w:line="63"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Nasdaq Stock Issuance Proposal </w:t>
      </w:r>
      <w:r>
        <w:rPr>
          <w:rFonts w:ascii="Times New Roman" w:cs="Times New Roman" w:eastAsia="Times New Roman" w:hAnsi="Times New Roman"/>
          <w:sz w:val="18"/>
          <w:szCs w:val="18"/>
          <w:color w:val="auto"/>
        </w:rPr>
        <w:t>— To approve, assuming the Business Combination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Class A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Acquisition of Gemini; Merger Consideration</w:t>
      </w:r>
      <w:r>
        <w:rPr>
          <w:rFonts w:ascii="Times New Roman" w:cs="Times New Roman" w:eastAsia="Times New Roman" w:hAnsi="Times New Roman"/>
          <w:sz w:val="18"/>
          <w:szCs w:val="18"/>
          <w:color w:val="auto"/>
        </w:rPr>
        <w:t>” and (b) the issuance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9,506,000 newly issued shares of Class A Common Stock in the PIPE Investment, to the extent such issuances would require a stockholder vote under the applicable Nasdaq Listing Rule.</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Charter Amendment Proposal </w:t>
      </w:r>
      <w:r>
        <w:rPr>
          <w:rFonts w:ascii="Times New Roman" w:cs="Times New Roman" w:eastAsia="Times New Roman" w:hAnsi="Times New Roman"/>
          <w:sz w:val="18"/>
          <w:szCs w:val="18"/>
          <w:color w:val="auto"/>
        </w:rPr>
        <w:t>— To approve, assuming the Business Combination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and which Proposed Charter will be in effect upon the Closing.</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4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Advisory Charter Proposals </w:t>
      </w:r>
      <w:r>
        <w:rPr>
          <w:rFonts w:ascii="Times New Roman" w:cs="Times New Roman" w:eastAsia="Times New Roman" w:hAnsi="Times New Roman"/>
          <w:sz w:val="18"/>
          <w:szCs w:val="18"/>
          <w:color w:val="auto"/>
        </w:rPr>
        <w:t>— To approve, on a non-binding advisory basis,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differences between the Proposed Charter and the Current Charter, which are being presented in accordance with the requirements of the SEC as five separate sub-proposals:</w:t>
      </w:r>
    </w:p>
    <w:p>
      <w:pPr>
        <w:spacing w:after="0" w:line="80"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Class A Common Stock</w:t>
      </w:r>
    </w:p>
    <w:p>
      <w:pPr>
        <w:spacing w:after="0" w:line="2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toshares;</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266" w:lineRule="auto"/>
        <w:tabs>
          <w:tab w:leader="none" w:pos="174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 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 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 Proposal — 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this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as of the date immediately preceding the date of the Closing.</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or the Incentive Plan Proposal, or we determine that one or more of the closing conditions under the Business Combination is not satisfied or waived.</w:t>
      </w:r>
    </w:p>
    <w:p>
      <w:pPr>
        <w:spacing w:after="0" w:line="102"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62" w:lineRule="exact"/>
        <w:rPr>
          <w:sz w:val="20"/>
          <w:szCs w:val="20"/>
          <w:color w:val="auto"/>
        </w:rPr>
      </w:pPr>
    </w:p>
    <w:p>
      <w:pPr>
        <w:jc w:val="both"/>
        <w:ind w:left="880" w:right="459" w:hanging="431"/>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A:</w:t>
        <w:tab/>
        <w:t>The FS Development Special Meeting will be held on , 2021, at Eastern time, via live webcast at the following address: , or such other date, time and place to which such meeting may be adjourned or postponed, to consider and vote upon the proposals.</w:t>
      </w:r>
    </w:p>
    <w:p>
      <w:pPr>
        <w:spacing w:after="0" w:line="104"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960" w:hanging="506"/>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cannot be completed unless the Merger Agreement is adopted by the</w:t>
      </w:r>
    </w:p>
    <w:p>
      <w:pPr>
        <w:spacing w:after="0" w:line="27" w:lineRule="exact"/>
        <w:rPr>
          <w:sz w:val="20"/>
          <w:szCs w:val="20"/>
          <w:color w:val="auto"/>
        </w:rPr>
      </w:pPr>
    </w:p>
    <w:p>
      <w:pPr>
        <w:jc w:val="both"/>
        <w:ind w:left="880" w:right="479"/>
        <w:spacing w:after="0" w:line="250" w:lineRule="auto"/>
        <w:rPr>
          <w:sz w:val="20"/>
          <w:szCs w:val="20"/>
          <w:color w:val="auto"/>
        </w:rPr>
      </w:pPr>
      <w:r>
        <w:rPr>
          <w:rFonts w:ascii="Times New Roman" w:cs="Times New Roman" w:eastAsia="Times New Roman" w:hAnsi="Times New Roman"/>
          <w:sz w:val="18"/>
          <w:szCs w:val="18"/>
          <w:color w:val="auto"/>
        </w:rPr>
        <w:t>FS Development stockholders holding a majority of the votes cast on such proposal and the other condition precedent proposals achieve the necessary vote outlined below. Only FS Development</w:t>
      </w:r>
    </w:p>
    <w:p>
      <w:pPr>
        <w:spacing w:after="0" w:line="1"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stockholders as of the close of business on , 2021, the record date for the Special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vote at the Special Meeting. The Board unanimously recommends that such FS Development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Nasdaq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Charter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each of the Advisory Charter Proposals,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Incentive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 if presented.</w:t>
      </w:r>
    </w:p>
    <w:p>
      <w:pPr>
        <w:spacing w:after="0" w:line="117" w:lineRule="exact"/>
        <w:rPr>
          <w:sz w:val="20"/>
          <w:szCs w:val="20"/>
          <w:color w:val="auto"/>
        </w:rPr>
      </w:pPr>
    </w:p>
    <w:p>
      <w:pPr>
        <w:ind w:left="880" w:right="459" w:hanging="426"/>
        <w:spacing w:after="0" w:line="286" w:lineRule="auto"/>
        <w:tabs>
          <w:tab w:leader="none" w:pos="9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64" w:lineRule="exact"/>
        <w:rPr>
          <w:sz w:val="20"/>
          <w:szCs w:val="20"/>
          <w:color w:val="auto"/>
        </w:rPr>
      </w:pPr>
    </w:p>
    <w:p>
      <w:pPr>
        <w:jc w:val="both"/>
        <w:ind w:left="880" w:right="459" w:hanging="426"/>
        <w:spacing w:after="0" w:line="254"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FS Development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bank, broker or other nominee to vote your shares in accordance with directions you provide.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5" w:lineRule="exact"/>
        <w:rPr>
          <w:sz w:val="20"/>
          <w:szCs w:val="20"/>
          <w:color w:val="auto"/>
        </w:rPr>
      </w:pPr>
    </w:p>
    <w:p>
      <w:pPr>
        <w:jc w:val="both"/>
        <w:ind w:left="880" w:right="459" w:hanging="426"/>
        <w:spacing w:after="0" w:line="258" w:lineRule="auto"/>
        <w:tabs>
          <w:tab w:leader="none" w:pos="8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02" w:lineRule="exact"/>
        <w:rPr>
          <w:rFonts w:ascii="Times New Roman" w:cs="Times New Roman" w:eastAsia="Times New Roman" w:hAnsi="Times New Roman"/>
          <w:sz w:val="18"/>
          <w:szCs w:val="18"/>
          <w:color w:val="auto"/>
        </w:rPr>
      </w:pPr>
    </w:p>
    <w:p>
      <w:pPr>
        <w:jc w:val="both"/>
        <w:ind w:left="88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or the Adjournment Proposal.</w:t>
      </w:r>
    </w:p>
    <w:p>
      <w:pPr>
        <w:spacing w:after="0" w:line="96"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3" w:lineRule="auto"/>
        <w:tabs>
          <w:tab w:leader="none" w:pos="8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Business Combination Proposal is approved, the Nasdaq Stock Issuance Proposal, the Charter Amendment Proposal, the Advisory Charter Proposals, and the Incentive Plan Proposal will not be presented to the stockholders of FS Development at the Special Meeting. The approval of the Business Combination Proposal, the Nasdaq Stock Issuance Proposal, the Charter Amendment Proposal, and the Incentive Plan Proposal are preconditions to the Closing. The Adjournment Proposal is not conditioned on the approval of any other proposal set forth in this proxy statement/prospectus. It is important for you to note that in the event that the Business Combination Proposal does not receive the requisite vote for approval, then we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its public stockholders.</w:t>
      </w:r>
    </w:p>
    <w:p>
      <w:pPr>
        <w:spacing w:after="0" w:line="10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4"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Merger Agreement, including the approval by the stockholders of FS Development of the Business Combination Proposal, the Nasdaq Stock Issuance Proposal, the Charter Amendment Proposal, and the Incentive Plan Proposal. The Nasdaq Stock Issuance Proposal, the Charter Amendment Proposal, and the Incentive Plan Proposal are subject to and conditioned on the approval of the Business Combination Proposal. The Business Combination Proposal is subject to and conditioned on the approval of the Nasdaq Stock Issuance Proposal, the Charter Amendment Proposal, and the Incentive Plan Proposal. For a summary of the conditions that must be satisfied or waived prior to the Closing of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80" w:hanging="426"/>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2" w:lineRule="auto"/>
        <w:tabs>
          <w:tab w:leader="none" w:pos="8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Business Combination, Merger Sub will merge with and into Gemini, with Gemini surviving such merger as the surviving entity. Upon the Closing, Gemini will become a wholly-owned subsidiary of FS Development. In connection with the Business Combination, the cash held in the Trust Account after giving effect to any redemption of shares by FS Development’s public stockholders and the proceeds from the PIPE Investment will be used to pay (i) FS Development stockholders who properly exercise their redemption rights, (ii) the underwriters their deferred underwriting commissions from the FS Development IPO, (iii) 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 (iv) unpaid franchise and income taxes of FS Development, and</w:t>
      </w:r>
    </w:p>
    <w:p>
      <w:pPr>
        <w:spacing w:after="0" w:line="5" w:lineRule="exact"/>
        <w:rPr>
          <w:rFonts w:ascii="Times New Roman" w:cs="Times New Roman" w:eastAsia="Times New Roman" w:hAnsi="Times New Roman"/>
          <w:sz w:val="18"/>
          <w:szCs w:val="18"/>
          <w:color w:val="auto"/>
        </w:rPr>
      </w:pPr>
    </w:p>
    <w:p>
      <w:pPr>
        <w:ind w:left="880" w:right="459" w:firstLine="6"/>
        <w:spacing w:after="0" w:line="260" w:lineRule="auto"/>
        <w:tabs>
          <w:tab w:leader="none" w:pos="11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right="459" w:hanging="426"/>
        <w:spacing w:after="0" w:line="286" w:lineRule="auto"/>
        <w:tabs>
          <w:tab w:leader="none" w:pos="91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FS Development and Gemini Equityholders hold in the Combined Entity after the Closing</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880" w:right="459" w:hanging="426"/>
        <w:spacing w:after="0" w:line="253" w:lineRule="auto"/>
        <w:tabs>
          <w:tab w:leader="none" w:pos="11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(i) the redemption of any shares by FS Development’s public stockholders, or (ii) the issuance of any shares upon the Closing under the Equity Incentive Plan, which is intended to be adopted following the Closing. If the actual facts are different than these assumptions (which they are likely to be), the percentage ownership retained by FS Development’s existing stockholders in the Combined Entity will be different.</w:t>
      </w:r>
    </w:p>
    <w:p>
      <w:pPr>
        <w:spacing w:after="0" w:line="120" w:lineRule="exact"/>
        <w:rPr>
          <w:sz w:val="20"/>
          <w:szCs w:val="20"/>
          <w:color w:val="auto"/>
        </w:rPr>
      </w:pPr>
    </w:p>
    <w:p>
      <w:pPr>
        <w:ind w:left="880" w:right="459"/>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Summary 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89" w:lineRule="exact"/>
        <w:rPr>
          <w:sz w:val="20"/>
          <w:szCs w:val="20"/>
          <w:color w:val="auto"/>
        </w:rPr>
      </w:pPr>
    </w:p>
    <w:p>
      <w:pPr>
        <w:ind w:left="880" w:right="479" w:hanging="426"/>
        <w:spacing w:after="0" w:line="286" w:lineRule="auto"/>
        <w:tabs>
          <w:tab w:leader="none" w:pos="90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Board obtain a third-party valuation or fairness opinion in determining whether or not to proceed with the Business Combination?</w:t>
      </w:r>
    </w:p>
    <w:p>
      <w:pPr>
        <w:spacing w:after="0" w:line="77" w:lineRule="exact"/>
        <w:rPr>
          <w:rFonts w:ascii="Times New Roman" w:cs="Times New Roman" w:eastAsia="Times New Roman" w:hAnsi="Times New Roman"/>
          <w:sz w:val="18"/>
          <w:szCs w:val="18"/>
          <w:b w:val="1"/>
          <w:bCs w:val="1"/>
          <w:color w:val="auto"/>
        </w:rPr>
      </w:pPr>
    </w:p>
    <w:p>
      <w:pPr>
        <w:jc w:val="both"/>
        <w:ind w:left="880" w:right="459" w:hanging="426"/>
        <w:spacing w:after="0" w:line="254" w:lineRule="auto"/>
        <w:tabs>
          <w:tab w:leader="none" w:pos="8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did not obtain a third-party valuation or fairness opinion in connection with its determination to approve the Business Combination. The Board believes that based upon the financial skills and background of its directors, it was qualified to conclude that the Business Combination was fair from a financial perspective to its stockholders. The Board also determined, without seeking a valuation from a financial advisor, that Gemini’s fair market value was at least 80% of the assets held in the Trust Account (excluding the deferred underwriting commissions and taxes payable on the income earned on the Trust Account). Accordingly, investors will be relying on the judgment of the Board as described above in valuing Gemini’s business and assuming the risk that the Board may not have properly valued such business.</w:t>
      </w:r>
    </w:p>
    <w:p>
      <w:pPr>
        <w:spacing w:after="0" w:line="117" w:lineRule="exact"/>
        <w:rPr>
          <w:sz w:val="20"/>
          <w:szCs w:val="20"/>
          <w:color w:val="auto"/>
        </w:rPr>
      </w:pPr>
    </w:p>
    <w:p>
      <w:pPr>
        <w:ind w:left="880" w:right="459" w:hanging="426"/>
        <w:spacing w:after="0" w:line="286" w:lineRule="auto"/>
        <w:tabs>
          <w:tab w:leader="none" w:pos="103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providing stockholders with the opportunity to vote on the Business Combination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880" w:right="459" w:hanging="426"/>
        <w:spacing w:after="0" w:line="254" w:lineRule="auto"/>
        <w:tabs>
          <w:tab w:leader="none" w:pos="10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Charter, FS Development must provide all holders of its Public Shares with the opportunity to have their Public Shares redeemed upon the consummation of FS Development’s initial business combination either in conjunction with a tender offer or in conjunction with a stockholder vote. For business and other reasons, FS Development has elected to provide its stockholders with the opportunity to have their Public Shares redeemed in connection with a stockholder vote rather than a tender offer. Therefore, FS Development is seeking to obtain the approval of its stockholders of the Business Combination Proposal in order to allow its public stockholders to effectuate redemptions of their Public Shares in connection with the Closing.</w:t>
      </w:r>
    </w:p>
    <w:p>
      <w:pPr>
        <w:spacing w:after="0" w:line="107" w:lineRule="exact"/>
        <w:rPr>
          <w:sz w:val="20"/>
          <w:szCs w:val="20"/>
          <w:color w:val="auto"/>
        </w:rPr>
      </w:pPr>
    </w:p>
    <w:p>
      <w:pPr>
        <w:ind w:left="880" w:right="479" w:hanging="426"/>
        <w:spacing w:after="0" w:line="286" w:lineRule="auto"/>
        <w:tabs>
          <w:tab w:leader="none" w:pos="89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the Combined Company will have sufficient funds, together with the proceeds in its Trust Account, to fund the Business Combination?</w:t>
      </w:r>
    </w:p>
    <w:p>
      <w:pPr>
        <w:spacing w:after="0" w:line="91" w:lineRule="exact"/>
        <w:rPr>
          <w:sz w:val="20"/>
          <w:szCs w:val="20"/>
          <w:color w:val="auto"/>
        </w:rPr>
      </w:pPr>
    </w:p>
    <w:p>
      <w:pPr>
        <w:jc w:val="both"/>
        <w:ind w:left="880" w:right="459" w:hanging="426"/>
        <w:spacing w:after="0" w:line="258" w:lineRule="auto"/>
        <w:tabs>
          <w:tab w:leader="none" w:pos="9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October 15, 2020, FS Development entered into Subscription Agreements with the investors named therein providing for the issuance by FS Development of 9,506,000 shares of FS Development Class A Common Stock through the PIPE Investment (subject to certain conditions, including that all conditions precedent to the Closing will have been satisfied or waived (other than those conditions that are to be satisfied at the Closing) for gross proceeds to FS Development of $95,060,000.</w:t>
      </w:r>
    </w:p>
    <w:p>
      <w:pPr>
        <w:spacing w:after="0" w:line="11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To the extent not utilized to consummate the Business Combination, the proceeds from the Trust Account will be used for general corporate purposes, including, but not limited to, working capital for operations, capital expenditures and future acquisitions. FS Development will agree that it (or its successor) will file with the SEC a registration statement registering the resale of the shares purchased in the PIPE Investment and maintain an effective registration statement under the Securities Act covering such securities and certain other securities of the Combined Entity.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 at the Special Meeting?</w:t>
      </w:r>
    </w:p>
    <w:p>
      <w:pPr>
        <w:spacing w:after="0" w:line="162" w:lineRule="exact"/>
        <w:rPr>
          <w:sz w:val="20"/>
          <w:szCs w:val="20"/>
          <w:color w:val="auto"/>
        </w:rPr>
      </w:pPr>
    </w:p>
    <w:p>
      <w:pPr>
        <w:jc w:val="both"/>
        <w:ind w:left="880" w:right="459" w:hanging="42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entitled to one vote at the Special Meeting for each share of FS Development Common Stock held as of the Record Date. As of the close of business on the Record Date, there were [•] outstanding shares of FS Development Common Stock.</w:t>
      </w:r>
    </w:p>
    <w:p>
      <w:pPr>
        <w:spacing w:after="0" w:line="104" w:lineRule="exact"/>
        <w:rPr>
          <w:sz w:val="20"/>
          <w:szCs w:val="20"/>
          <w:color w:val="auto"/>
        </w:rPr>
      </w:pPr>
    </w:p>
    <w:p>
      <w:pPr>
        <w:ind w:left="880" w:right="479" w:hanging="426"/>
        <w:spacing w:after="0" w:line="286" w:lineRule="auto"/>
        <w:tabs>
          <w:tab w:leader="none" w:pos="10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FS Development, the Sponsor or FS Development’s directors, officers, advisors or their affiliates purchase shares in connection with the Business Combination?</w:t>
      </w:r>
    </w:p>
    <w:p>
      <w:pPr>
        <w:spacing w:after="0" w:line="78" w:lineRule="exact"/>
        <w:rPr>
          <w:sz w:val="20"/>
          <w:szCs w:val="20"/>
          <w:color w:val="auto"/>
        </w:rPr>
      </w:pPr>
    </w:p>
    <w:p>
      <w:pPr>
        <w:jc w:val="both"/>
        <w:ind w:left="880" w:right="459" w:hanging="426"/>
        <w:spacing w:after="0" w:line="252" w:lineRule="auto"/>
        <w:tabs>
          <w:tab w:leader="none" w:pos="9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24" w:lineRule="exact"/>
        <w:rPr>
          <w:sz w:val="20"/>
          <w:szCs w:val="20"/>
          <w:color w:val="auto"/>
        </w:rPr>
      </w:pPr>
    </w:p>
    <w:p>
      <w:pPr>
        <w:ind w:left="880" w:hanging="426"/>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62" w:lineRule="exact"/>
        <w:rPr>
          <w:sz w:val="20"/>
          <w:szCs w:val="20"/>
          <w:color w:val="auto"/>
        </w:rPr>
      </w:pPr>
    </w:p>
    <w:p>
      <w:pPr>
        <w:jc w:val="both"/>
        <w:ind w:left="880" w:right="459" w:hanging="426"/>
        <w:spacing w:after="0" w:line="261" w:lineRule="auto"/>
        <w:tabs>
          <w:tab w:leader="none" w:pos="9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voting power of FS Development Common Stock issued and outstanding and entitled to vote at the Special Meeting constitute a quorum. In the absence of a quorum, the chairman of</w:t>
      </w:r>
    </w:p>
    <w:p>
      <w:pPr>
        <w:ind w:left="880"/>
        <w:spacing w:after="0"/>
        <w:tabs>
          <w:tab w:leader="none" w:pos="7840" w:val="left"/>
        </w:tabs>
        <w:rPr>
          <w:sz w:val="20"/>
          <w:szCs w:val="20"/>
          <w:color w:val="auto"/>
        </w:rPr>
      </w:pPr>
      <w:r>
        <w:rPr>
          <w:rFonts w:ascii="Times New Roman" w:cs="Times New Roman" w:eastAsia="Times New Roman" w:hAnsi="Times New Roman"/>
          <w:sz w:val="18"/>
          <w:szCs w:val="18"/>
          <w:color w:val="auto"/>
        </w:rPr>
        <w:t>the meeting has power to adjourn the Special Meeting. As of the Record Date,</w:t>
      </w:r>
      <w:r>
        <w:rPr>
          <w:sz w:val="20"/>
          <w:szCs w:val="20"/>
          <w:color w:val="auto"/>
        </w:rPr>
        <w:tab/>
      </w:r>
      <w:r>
        <w:rPr>
          <w:rFonts w:ascii="Times New Roman" w:cs="Times New Roman" w:eastAsia="Times New Roman" w:hAnsi="Times New Roman"/>
          <w:sz w:val="18"/>
          <w:szCs w:val="18"/>
          <w:color w:val="auto"/>
        </w:rPr>
        <w:t>shares of</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Common Stock would be required to achieve a quorum.</w:t>
      </w:r>
    </w:p>
    <w:p>
      <w:pPr>
        <w:spacing w:after="0" w:line="122" w:lineRule="exact"/>
        <w:rPr>
          <w:sz w:val="20"/>
          <w:szCs w:val="20"/>
          <w:color w:val="auto"/>
        </w:rPr>
      </w:pPr>
    </w:p>
    <w:p>
      <w:pPr>
        <w:ind w:left="880" w:hanging="426"/>
        <w:spacing w:after="0"/>
        <w:tabs>
          <w:tab w:leader="none" w:pos="8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Sponsor, directors and officers vote?</w:t>
      </w:r>
    </w:p>
    <w:p>
      <w:pPr>
        <w:spacing w:after="0" w:line="162" w:lineRule="exact"/>
        <w:rPr>
          <w:sz w:val="20"/>
          <w:szCs w:val="20"/>
          <w:color w:val="auto"/>
        </w:rPr>
      </w:pPr>
    </w:p>
    <w:p>
      <w:pPr>
        <w:jc w:val="both"/>
        <w:ind w:left="880" w:right="459" w:hanging="426"/>
        <w:spacing w:after="0" w:line="254" w:lineRule="auto"/>
        <w:tabs>
          <w:tab w:leader="none" w:pos="8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as FS Development’s initial stockholder, has agreed to vote its Founders Shares (as well as any Public Shares purchased during or after the FS Development IPO) in favor of the Business Combination. As of the date of this proxy statement/prospectus, the Sponsor owns approximately 21.7% of the issued and outstanding shares of FS Development Common Stock, including all of the Founders Shares, and will be able to vote all such shares at the Special Meeting. Accordingly, it is more likely that the necessary stockholder approval will be received than would be the case if the Sponsor agreed to vote their Founders Shares in accordance with the majority of the votes cast by FS Development’s public stockholders.</w:t>
      </w:r>
    </w:p>
    <w:p>
      <w:pPr>
        <w:spacing w:after="0" w:line="120" w:lineRule="exact"/>
        <w:rPr>
          <w:sz w:val="20"/>
          <w:szCs w:val="20"/>
          <w:color w:val="auto"/>
        </w:rPr>
      </w:pPr>
    </w:p>
    <w:p>
      <w:pPr>
        <w:ind w:left="880" w:right="479" w:hanging="426"/>
        <w:spacing w:after="0" w:line="286" w:lineRule="auto"/>
        <w:tabs>
          <w:tab w:leader="none" w:pos="1159"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FS Development’s current officers and directors have in the Business Combination?</w:t>
      </w:r>
    </w:p>
    <w:p>
      <w:pPr>
        <w:spacing w:after="0" w:line="78" w:lineRule="exact"/>
        <w:rPr>
          <w:sz w:val="20"/>
          <w:szCs w:val="20"/>
          <w:color w:val="auto"/>
        </w:rPr>
      </w:pPr>
    </w:p>
    <w:p>
      <w:pPr>
        <w:jc w:val="both"/>
        <w:ind w:left="880" w:right="459" w:hanging="42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members of the Board and its executive officers have interests in the Business Combination that are different from or in addition to (and which may conflict with) your interest. These interests include, among other things: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5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Robert Carey, Daniel Dubin and Deepa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shares of FS Development Class A Common Stock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of $10.00 per share in a private placement to the Sponsor. If FS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89" w:lineRule="auto"/>
        <w:tabs>
          <w:tab w:leader="none" w:pos="131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0" w:lineRule="exact"/>
        <w:rPr>
          <w:rFonts w:ascii="Times New Roman" w:cs="Times New Roman" w:eastAsia="Times New Roman" w:hAnsi="Times New Roman"/>
          <w:sz w:val="17"/>
          <w:szCs w:val="17"/>
          <w:color w:val="auto"/>
        </w:rPr>
      </w:pPr>
    </w:p>
    <w:p>
      <w:pPr>
        <w:jc w:val="both"/>
        <w:ind w:left="1320" w:right="459" w:hanging="434"/>
        <w:spacing w:after="0" w:line="254" w:lineRule="auto"/>
        <w:tabs>
          <w:tab w:leader="none" w:pos="14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FS Development will continue to indemnify FS Development’s existing directors and officers and will maintain a directors’ and officers’ liability insurance policy.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0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These interests may influence FS Development’s directors in making their recommendation that you vote in favor of the approval of the Business Combination.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FS Development Common Stock before the Special Meeting?</w:t>
      </w:r>
    </w:p>
    <w:p>
      <w:pPr>
        <w:spacing w:after="0" w:line="162" w:lineRule="exact"/>
        <w:rPr>
          <w:sz w:val="20"/>
          <w:szCs w:val="20"/>
          <w:color w:val="auto"/>
        </w:rPr>
      </w:pPr>
    </w:p>
    <w:p>
      <w:pPr>
        <w:jc w:val="both"/>
        <w:ind w:left="880" w:right="459" w:hanging="426"/>
        <w:spacing w:after="0" w:line="255" w:lineRule="auto"/>
        <w:tabs>
          <w:tab w:leader="none" w:pos="10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the date of the Special Meeting. If you transfer your shares of FS Development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Closing. If you transfer your shares of FS Development Common Stock prior to the Record Date, you will have no right to vote those shares at the Special Meeting or redeem those shares for a pro rata portion of the proceeds held in our Trust Account.</w:t>
      </w:r>
    </w:p>
    <w:p>
      <w:pPr>
        <w:spacing w:after="0" w:line="117" w:lineRule="exact"/>
        <w:rPr>
          <w:sz w:val="20"/>
          <w:szCs w:val="20"/>
          <w:color w:val="auto"/>
        </w:rPr>
      </w:pPr>
    </w:p>
    <w:p>
      <w:pPr>
        <w:ind w:left="880" w:hanging="426"/>
        <w:spacing w:after="0"/>
        <w:tabs>
          <w:tab w:leader="none" w:pos="8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the Business Combination Proposal?</w:t>
      </w:r>
    </w:p>
    <w:p>
      <w:pPr>
        <w:spacing w:after="0" w:line="148" w:lineRule="exact"/>
        <w:rPr>
          <w:sz w:val="20"/>
          <w:szCs w:val="20"/>
          <w:color w:val="auto"/>
        </w:rPr>
      </w:pPr>
    </w:p>
    <w:p>
      <w:pPr>
        <w:jc w:val="both"/>
        <w:ind w:left="880" w:right="459" w:hanging="431"/>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A:</w:t>
        <w:tab/>
        <w:t>Pursuant to the Current Charter, if the Business Combination Proposal is not approved and FS Development does not otherwise consummate an alternative business combination by August 14, 2022, FS Development will be required to dissolve and liquidate its Trust Account by returning the then remaining funds in such account to the public stockholders.</w:t>
      </w:r>
    </w:p>
    <w:p>
      <w:pPr>
        <w:spacing w:after="0" w:line="108"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62" w:lineRule="exact"/>
        <w:rPr>
          <w:sz w:val="20"/>
          <w:szCs w:val="20"/>
          <w:color w:val="auto"/>
        </w:rPr>
      </w:pPr>
    </w:p>
    <w:p>
      <w:pPr>
        <w:jc w:val="both"/>
        <w:ind w:left="880" w:right="459" w:hanging="426"/>
        <w:spacing w:after="0" w:line="254" w:lineRule="auto"/>
        <w:tabs>
          <w:tab w:leader="none" w:pos="8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Current Charter, holders of Public Shares may elect to have their shares redeemed for cash at the applicable redemption price per share calculated in accordance with the Current Charter. As of September 30, 2020, based on funds in the Trust Account of approximately $120,751,489, this would have amounted to approximately $10.73 per share. If a holder exercises its redemption rights, then such holder will be exchanging its Public Shares for cash. Such a holder will be entitled to receive cash for its Public Shares only if it properly demands redemption and delivers its shares (either physically or electronically) to FS Development’s transfer agent prior to the Special Meeting.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103" w:lineRule="exact"/>
        <w:rPr>
          <w:sz w:val="20"/>
          <w:szCs w:val="20"/>
          <w:color w:val="auto"/>
        </w:rPr>
      </w:pPr>
    </w:p>
    <w:p>
      <w:pPr>
        <w:ind w:left="880" w:hanging="426"/>
        <w:spacing w:after="0"/>
        <w:tabs>
          <w:tab w:leader="none" w:pos="8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62" w:lineRule="exact"/>
        <w:rPr>
          <w:sz w:val="20"/>
          <w:szCs w:val="20"/>
          <w:color w:val="auto"/>
        </w:rPr>
      </w:pPr>
    </w:p>
    <w:p>
      <w:pPr>
        <w:jc w:val="both"/>
        <w:ind w:left="880" w:right="459" w:hanging="426"/>
        <w:spacing w:after="0" w:line="256" w:lineRule="auto"/>
        <w:tabs>
          <w:tab w:leader="none" w:pos="1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Public Shares “FOR” or “AGAINST” the Business Combination Proposal or any other proposal described by this proxy statement/prospectus. As a result, the Merger Agreement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listing standards of the Nasdaq Capital Market.</w:t>
      </w:r>
    </w:p>
    <w:p>
      <w:pPr>
        <w:spacing w:after="0" w:line="116"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48" w:lineRule="exact"/>
        <w:rPr>
          <w:sz w:val="20"/>
          <w:szCs w:val="20"/>
          <w:color w:val="auto"/>
        </w:rPr>
      </w:pPr>
    </w:p>
    <w:p>
      <w:pPr>
        <w:jc w:val="both"/>
        <w:ind w:left="880" w:right="479" w:hanging="431"/>
        <w:spacing w:after="0" w:line="257" w:lineRule="auto"/>
        <w:tabs>
          <w:tab w:leader="none" w:pos="860" w:val="left"/>
        </w:tabs>
        <w:rPr>
          <w:sz w:val="20"/>
          <w:szCs w:val="20"/>
          <w:color w:val="auto"/>
        </w:rPr>
      </w:pPr>
      <w:r>
        <w:rPr>
          <w:rFonts w:ascii="Times New Roman" w:cs="Times New Roman" w:eastAsia="Times New Roman" w:hAnsi="Times New Roman"/>
          <w:sz w:val="18"/>
          <w:szCs w:val="18"/>
          <w:color w:val="auto"/>
        </w:rPr>
        <w:t>A:</w:t>
        <w:tab/>
        <w:t xml:space="preserve">In order to exercise your redemption rights, you must prior to 5:00 PM, Eastern time, on , 2021 (two (2) business days before the Special Meeting), tender your shares physically or electronically and submit a request in writing that FS Development redeem your Public Shares for cash to </w:t>
      </w:r>
      <w:r>
        <w:rPr>
          <w:rFonts w:ascii="Times New Roman" w:cs="Times New Roman" w:eastAsia="Times New Roman" w:hAnsi="Times New Roman"/>
          <w:sz w:val="18"/>
          <w:szCs w:val="18"/>
          <w:b w:val="1"/>
          <w:bCs w:val="1"/>
          <w:color w:val="auto"/>
        </w:rPr>
        <w:t>Continental</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Stock Transfer &amp; Trust Company, our transfer agent, at the following address: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 Company</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One State Street Plaza, 30</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Attn: Mark Zimkind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E-mail: mzimkind@continentalstock.com</w:t>
      </w:r>
    </w:p>
    <w:p>
      <w:pPr>
        <w:spacing w:after="0" w:line="135"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 the written request to redeem your Public Share for cash to Continental Stock Transfer &amp; Trust Company, please provide a </w:t>
      </w:r>
      <w:r>
        <w:rPr>
          <w:rFonts w:ascii="Times New Roman" w:cs="Times New Roman" w:eastAsia="Times New Roman" w:hAnsi="Times New Roman"/>
          <w:sz w:val="18"/>
          <w:szCs w:val="18"/>
          <w:color w:val="auto"/>
        </w:rPr>
        <w:t>“Stockholder Certification” if you are not acting in concert or as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Section 13d-3 of the Exchange Act) with any other stockholder with respect to shares of FS Development Class A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20% or more of the shares of FS Development Class A Common Stock issued in the FS Development IPO, which is referred to as the “20% threshold” in this proxy statement/prospectus. Accordingly, all Public Shares in excess of the 20% threshold beneficially owned by a public stockholder or group will not be redeemed for cash.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21"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under the question “Who can help answer my questions?” below.</w:t>
      </w:r>
    </w:p>
    <w:p>
      <w:pPr>
        <w:spacing w:after="0" w:line="117"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exercising my redemption rights?</w:t>
      </w:r>
    </w:p>
    <w:p>
      <w:pPr>
        <w:spacing w:after="0" w:line="148" w:lineRule="exact"/>
        <w:rPr>
          <w:sz w:val="20"/>
          <w:szCs w:val="20"/>
          <w:color w:val="auto"/>
        </w:rPr>
      </w:pPr>
    </w:p>
    <w:p>
      <w:pPr>
        <w:jc w:val="both"/>
        <w:ind w:left="880" w:right="459" w:hanging="426"/>
        <w:spacing w:after="0" w:line="252" w:lineRule="auto"/>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FS Development stockholders who exercise their redemption rights to receive cash in exchange for their Public Shares depend on the stockholder’s particular facts and circumstances. Such stockholder generally will be required to treat the transaction as a sale of such shares and recognize gain or loss upon the redemption in an amount equal to the difference, if any, between the amount of cash received and the tax basis of the Public Shares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Public Shares, and any remaining amount will be treated as gain realized on the sale or other disposition of Public Shares. These tax consequences are described in more detail in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The Merger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Certain Material U.S. Federal Income Tax Considerations of the Redemption</w:t>
      </w:r>
      <w:r>
        <w:rPr>
          <w:rFonts w:ascii="Times New Roman" w:cs="Times New Roman" w:eastAsia="Times New Roman" w:hAnsi="Times New Roman"/>
          <w:sz w:val="18"/>
          <w:szCs w:val="18"/>
          <w:color w:val="auto"/>
        </w:rPr>
        <w:t>.” We urge you to consult your tax advisor regarding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exercising your redemption rights.</w:t>
      </w:r>
    </w:p>
    <w:p>
      <w:pPr>
        <w:spacing w:after="0" w:line="119" w:lineRule="exact"/>
        <w:rPr>
          <w:sz w:val="20"/>
          <w:szCs w:val="20"/>
          <w:color w:val="auto"/>
        </w:rPr>
      </w:pPr>
    </w:p>
    <w:p>
      <w:pPr>
        <w:ind w:left="880" w:hanging="426"/>
        <w:spacing w:after="0"/>
        <w:tabs>
          <w:tab w:leader="none" w:pos="8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dissenter rights if I object to the proposed Business Combination?</w:t>
      </w:r>
    </w:p>
    <w:p>
      <w:pPr>
        <w:spacing w:after="0" w:line="162" w:lineRule="exact"/>
        <w:rPr>
          <w:sz w:val="20"/>
          <w:szCs w:val="20"/>
          <w:color w:val="auto"/>
        </w:rPr>
      </w:pPr>
    </w:p>
    <w:p>
      <w:pPr>
        <w:jc w:val="both"/>
        <w:ind w:left="880" w:right="459" w:hanging="426"/>
        <w:spacing w:after="0" w:line="253" w:lineRule="auto"/>
        <w:tabs>
          <w:tab w:leader="none" w:pos="9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FS Development stockholders are not entitled to exercise dissenters’ rights under Delaware law in connection with the Business Combination. Dissenters’ rights are unavailable under Delaware law in connection with the Business Combination to holders of FS Development Class A Common Stock because it is currently listed on a national securities exchange and such holders are not required to receive any consideration (other than continuing to hold their shares of FS Development Class A Common Stock, which will become an equal number of shares of Common Stock of the Combined Entity after giving effect to the Business Combination). Holders of FS Development Class A Common Stock may vote against the Business Combination Proposal or redeem their Public Shares if they are not in favor of the adoption of the Merger Agreement or the Business Combination. Dissenters’ rights are unavailable under Delaware law in connection with the Business Combination to holders of FS Development Class B Common Stock because they have agreed to vote in favor of the Business Combination.</w:t>
      </w:r>
    </w:p>
    <w:p>
      <w:pPr>
        <w:spacing w:after="0" w:line="107" w:lineRule="exact"/>
        <w:rPr>
          <w:sz w:val="20"/>
          <w:szCs w:val="20"/>
          <w:color w:val="auto"/>
        </w:rPr>
      </w:pPr>
    </w:p>
    <w:p>
      <w:pPr>
        <w:ind w:left="880" w:hanging="426"/>
        <w:spacing w:after="0"/>
        <w:tabs>
          <w:tab w:leader="none" w:pos="8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Closing?</w:t>
      </w:r>
    </w:p>
    <w:p>
      <w:pPr>
        <w:spacing w:after="0" w:line="162" w:lineRule="exact"/>
        <w:rPr>
          <w:sz w:val="20"/>
          <w:szCs w:val="20"/>
          <w:color w:val="auto"/>
        </w:rPr>
      </w:pPr>
    </w:p>
    <w:p>
      <w:pPr>
        <w:ind w:left="860" w:hanging="40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consummated, the funds held in the Trust Account will be released to pay: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who properly exercise their redemption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their deferred underwriting commissions;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franchise and income taxes of FS Development;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90"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48" w:lineRule="exact"/>
        <w:rPr>
          <w:sz w:val="20"/>
          <w:szCs w:val="20"/>
          <w:color w:val="auto"/>
        </w:rPr>
      </w:pPr>
    </w:p>
    <w:p>
      <w:pPr>
        <w:jc w:val="both"/>
        <w:ind w:left="880" w:right="459" w:hanging="426"/>
        <w:spacing w:after="0" w:line="266" w:lineRule="auto"/>
        <w:tabs>
          <w:tab w:leader="none" w:pos="9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Merger Agreement may be terminated. See the section titled “</w:t>
      </w:r>
      <w:r>
        <w:rPr>
          <w:rFonts w:ascii="Times New Roman" w:cs="Times New Roman" w:eastAsia="Times New Roman" w:hAnsi="Times New Roman"/>
          <w:sz w:val="18"/>
          <w:szCs w:val="18"/>
          <w:i w:val="1"/>
          <w:iCs w:val="1"/>
          <w:color w:val="auto"/>
        </w:rPr>
        <w:t>The Business Combination Proposal — The Merger Agreement — Termination</w:t>
      </w:r>
      <w:r>
        <w:rPr>
          <w:rFonts w:ascii="Times New Roman" w:cs="Times New Roman" w:eastAsia="Times New Roman" w:hAnsi="Times New Roman"/>
          <w:sz w:val="18"/>
          <w:szCs w:val="18"/>
          <w:color w:val="auto"/>
        </w:rPr>
        <w:t>” for information regarding the parties’ specific termination rights.</w:t>
      </w:r>
    </w:p>
    <w:p>
      <w:pPr>
        <w:spacing w:after="0" w:line="10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If, as a result of the termination of the Merger Agreement or otherwise, FS Development is unable to complete the Business Combination or another initial business combination transaction by August 14, 2022, the Current Charter provides that it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the DGCL to provide for claims of creditors and the requirements of other applicable law.</w:t>
      </w:r>
    </w:p>
    <w:p>
      <w:pPr>
        <w:spacing w:after="0" w:line="120"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FS Development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FS Development’s obligations under the DGCL to provide for claims of creditors and other requirements of applicable law. Holders of Founders Shares have waived any right to any liquidating distribution with respect to those shares.</w:t>
      </w:r>
    </w:p>
    <w:p>
      <w:pPr>
        <w:spacing w:after="0" w:line="102" w:lineRule="exact"/>
        <w:rPr>
          <w:sz w:val="20"/>
          <w:szCs w:val="20"/>
          <w:color w:val="auto"/>
        </w:rPr>
      </w:pPr>
    </w:p>
    <w:p>
      <w:pPr>
        <w:ind w:left="880" w:hanging="426"/>
        <w:spacing w:after="0"/>
        <w:tabs>
          <w:tab w:leader="none" w:pos="8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62" w:lineRule="exact"/>
        <w:rPr>
          <w:sz w:val="20"/>
          <w:szCs w:val="20"/>
          <w:color w:val="auto"/>
        </w:rPr>
      </w:pPr>
    </w:p>
    <w:p>
      <w:pPr>
        <w:jc w:val="both"/>
        <w:ind w:left="880" w:right="459" w:hanging="426"/>
        <w:spacing w:after="0" w:line="256" w:lineRule="auto"/>
        <w:tabs>
          <w:tab w:leader="none" w:pos="8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is expected to take place (a) the second business day following the satisfaction or waiver of the conditions described below under the section titled </w:t>
      </w:r>
      <w:r>
        <w:rPr>
          <w:rFonts w:ascii="Times New Roman" w:cs="Times New Roman" w:eastAsia="Times New Roman" w:hAnsi="Times New Roman"/>
          <w:sz w:val="18"/>
          <w:szCs w:val="18"/>
          <w:i w:val="1"/>
          <w:iCs w:val="1"/>
          <w:color w:val="auto"/>
        </w:rPr>
        <w:t>“The Business Combination Proposal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Conditions to Closing”</w:t>
      </w:r>
      <w:r>
        <w:rPr>
          <w:rFonts w:ascii="Times New Roman" w:cs="Times New Roman" w:eastAsia="Times New Roman" w:hAnsi="Times New Roman"/>
          <w:sz w:val="18"/>
          <w:szCs w:val="18"/>
          <w:color w:val="auto"/>
        </w:rPr>
        <w:t>; or (b) such other date as agreed to by FS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in writing, in each case, subject to the satisfaction or waiver of the closing conditions. The Merger Agreement may be terminated by either FS Development or Gemini if the Closing has not occurred by April 15, 2021, subject to certain exceptions.</w:t>
      </w:r>
    </w:p>
    <w:p>
      <w:pPr>
        <w:spacing w:after="0" w:line="120"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titled “</w:t>
      </w:r>
      <w:r>
        <w:rPr>
          <w:rFonts w:ascii="Times New Roman" w:cs="Times New Roman" w:eastAsia="Times New Roman" w:hAnsi="Times New Roman"/>
          <w:sz w:val="18"/>
          <w:szCs w:val="18"/>
          <w:i w:val="1"/>
          <w:iCs w:val="1"/>
          <w:color w:val="auto"/>
        </w:rPr>
        <w:t>The Business Combination Proposal — The Merger Agreement — Conditions to Closing.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8" w:lineRule="auto"/>
        <w:tabs>
          <w:tab w:leader="none" w:pos="8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112" w:lineRule="exact"/>
        <w:rPr>
          <w:sz w:val="20"/>
          <w:szCs w:val="20"/>
          <w:color w:val="auto"/>
        </w:rPr>
      </w:pPr>
    </w:p>
    <w:p>
      <w:pPr>
        <w:ind w:left="46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Q:</w:t>
        <w:tab/>
        <w:t>How do I vote?</w:t>
      </w:r>
    </w:p>
    <w:p>
      <w:pPr>
        <w:spacing w:after="0" w:line="148" w:lineRule="exact"/>
        <w:rPr>
          <w:sz w:val="20"/>
          <w:szCs w:val="20"/>
          <w:color w:val="auto"/>
        </w:rPr>
      </w:pPr>
    </w:p>
    <w:p>
      <w:pPr>
        <w:ind w:left="460"/>
        <w:spacing w:after="0"/>
        <w:tabs>
          <w:tab w:leader="none" w:pos="860" w:val="left"/>
          <w:tab w:leader="none" w:pos="6420" w:val="left"/>
        </w:tabs>
        <w:rPr>
          <w:sz w:val="20"/>
          <w:szCs w:val="20"/>
          <w:color w:val="auto"/>
        </w:rPr>
      </w:pPr>
      <w:r>
        <w:rPr>
          <w:rFonts w:ascii="Times New Roman" w:cs="Times New Roman" w:eastAsia="Times New Roman" w:hAnsi="Times New Roman"/>
          <w:sz w:val="18"/>
          <w:szCs w:val="18"/>
          <w:color w:val="auto"/>
        </w:rPr>
        <w:t>A.</w:t>
        <w:tab/>
        <w:t>If you were a holder of record of FS Development Common Stock on</w:t>
      </w:r>
      <w:r>
        <w:rPr>
          <w:sz w:val="20"/>
          <w:szCs w:val="20"/>
          <w:color w:val="auto"/>
        </w:rPr>
        <w:tab/>
      </w:r>
      <w:r>
        <w:rPr>
          <w:rFonts w:ascii="Times New Roman" w:cs="Times New Roman" w:eastAsia="Times New Roman" w:hAnsi="Times New Roman"/>
          <w:sz w:val="18"/>
          <w:szCs w:val="18"/>
          <w:color w:val="auto"/>
        </w:rPr>
        <w:t>, 2021, the Record Date, you</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may vote with respect to the applicable proposals online at the Special Meeting or by completing, signing, dating and returning the enclosed proxy card in the postage-paid envelope provided. If you choose to participate in the Special Meeting, you can vote your shares electronically during the Special Meeting via live webcast by visiting. You will need the 12-digit meeting control number that is printed on your proxy card to enter the Special Meeting. FS Development recommends that you log in at least 15 minutes before the Special Meeting to ensure you are logged in when the Special Meeting starts.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 other agent. You must then e-mail a copy (a legible photograph is sufficient) of your legal proxy to </w:t>
      </w:r>
      <w:r>
        <w:rPr>
          <w:rFonts w:ascii="Times New Roman" w:cs="Times New Roman" w:eastAsia="Times New Roman" w:hAnsi="Times New Roman"/>
          <w:sz w:val="18"/>
          <w:szCs w:val="18"/>
          <w:b w:val="1"/>
          <w:bCs w:val="1"/>
          <w:color w:val="auto"/>
        </w:rPr>
        <w:t>Continental Stock Transfer &amp; Trust Company (“CST”)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w:t>
      </w:r>
    </w:p>
    <w:p>
      <w:pPr>
        <w:spacing w:after="0" w:line="4" w:lineRule="exact"/>
        <w:rPr>
          <w:sz w:val="20"/>
          <w:szCs w:val="20"/>
          <w:color w:val="auto"/>
        </w:rPr>
      </w:pPr>
    </w:p>
    <w:p>
      <w:pPr>
        <w:ind w:left="88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CST no later than</w:t>
      </w:r>
      <w:r>
        <w:rPr>
          <w:sz w:val="20"/>
          <w:szCs w:val="20"/>
          <w:color w:val="auto"/>
        </w:rPr>
        <w:tab/>
      </w:r>
      <w:r>
        <w:rPr>
          <w:rFonts w:ascii="Times New Roman" w:cs="Times New Roman" w:eastAsia="Times New Roman" w:hAnsi="Times New Roman"/>
          <w:sz w:val="18"/>
          <w:szCs w:val="18"/>
          <w:b w:val="1"/>
          <w:bCs w:val="1"/>
          <w:color w:val="auto"/>
        </w:rPr>
        <w:t>, 2021 to obtain this information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880" w:hanging="426"/>
        <w:spacing w:after="0"/>
        <w:tabs>
          <w:tab w:leader="none" w:pos="8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62" w:lineRule="exact"/>
        <w:rPr>
          <w:sz w:val="20"/>
          <w:szCs w:val="20"/>
          <w:color w:val="auto"/>
        </w:rPr>
      </w:pPr>
    </w:p>
    <w:p>
      <w:pPr>
        <w:jc w:val="both"/>
        <w:ind w:left="880" w:right="459" w:hanging="426"/>
        <w:spacing w:after="0" w:line="255" w:lineRule="auto"/>
        <w:tabs>
          <w:tab w:leader="none" w:pos="8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FS Development will count a properly executed proxy card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and the Adjournment Proposal.</w:t>
      </w:r>
    </w:p>
    <w:p>
      <w:pPr>
        <w:spacing w:after="0" w:line="104" w:lineRule="exact"/>
        <w:rPr>
          <w:sz w:val="20"/>
          <w:szCs w:val="20"/>
          <w:color w:val="auto"/>
        </w:rPr>
      </w:pPr>
    </w:p>
    <w:p>
      <w:pPr>
        <w:ind w:left="880" w:hanging="426"/>
        <w:spacing w:after="0"/>
        <w:tabs>
          <w:tab w:leader="none" w:pos="8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62" w:lineRule="exact"/>
        <w:rPr>
          <w:sz w:val="20"/>
          <w:szCs w:val="20"/>
          <w:color w:val="auto"/>
        </w:rPr>
      </w:pPr>
    </w:p>
    <w:p>
      <w:pPr>
        <w:jc w:val="both"/>
        <w:ind w:left="880" w:right="479" w:hanging="426"/>
        <w:spacing w:after="0" w:line="261" w:lineRule="auto"/>
        <w:tabs>
          <w:tab w:leader="none" w:pos="9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FS Development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08" w:lineRule="exact"/>
        <w:rPr>
          <w:sz w:val="20"/>
          <w:szCs w:val="20"/>
          <w:color w:val="auto"/>
        </w:rPr>
      </w:pPr>
    </w:p>
    <w:p>
      <w:pPr>
        <w:ind w:left="860" w:hanging="406"/>
        <w:spacing w:after="0"/>
        <w:tabs>
          <w:tab w:leader="none" w:pos="8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Special Meeting?</w:t>
      </w:r>
    </w:p>
    <w:p>
      <w:pPr>
        <w:spacing w:after="0" w:line="148" w:lineRule="exact"/>
        <w:rPr>
          <w:sz w:val="20"/>
          <w:szCs w:val="20"/>
          <w:color w:val="auto"/>
        </w:rPr>
      </w:pPr>
    </w:p>
    <w:p>
      <w:pPr>
        <w:ind w:left="960" w:hanging="506"/>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your shares online during the Special Meeting via live</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webcast by visiting . As a registered stockholder, you received a proxy card 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below.</w:t>
      </w:r>
    </w:p>
    <w:p>
      <w:pPr>
        <w:spacing w:after="0" w:line="121"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You can pre-register to attend the Special Meeting online starting, 2021. Enter the URL address into your browser, and enter your 12-digit meeting control number, name and email address. Once you pre-register you can vote or enter questions in the chat box. Prior to or at the start of the Special Meeting you will need to re-log in using your 12-digit meeting control number and will also be prompted to enter your 12-digit meeting control number if you vote online during the Special Meeting. FS Development recommends that you log in at least 15 minutes before the Special Meeting to ensure you are logged in when the Special Meeting starts.</w:t>
      </w:r>
    </w:p>
    <w:p>
      <w:pPr>
        <w:spacing w:after="0" w:line="121"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02" w:lineRule="exact"/>
        <w:rPr>
          <w:sz w:val="20"/>
          <w:szCs w:val="20"/>
          <w:color w:val="auto"/>
        </w:rPr>
      </w:pPr>
    </w:p>
    <w:p>
      <w:pPr>
        <w:ind w:left="880"/>
        <w:spacing w:after="0"/>
        <w:tabs>
          <w:tab w:leader="none" w:pos="8480" w:val="left"/>
        </w:tabs>
        <w:rPr>
          <w:sz w:val="20"/>
          <w:szCs w:val="20"/>
          <w:color w:val="auto"/>
        </w:rPr>
      </w:pPr>
      <w:r>
        <w:rPr>
          <w:rFonts w:ascii="Times New Roman" w:cs="Times New Roman" w:eastAsia="Times New Roman" w:hAnsi="Times New Roman"/>
          <w:sz w:val="18"/>
          <w:szCs w:val="18"/>
          <w:color w:val="auto"/>
        </w:rPr>
        <w:t>If you do not have Internet capabilities, you can listen only to the Special Meeting by dialing</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880"/>
        <w:spacing w:after="0"/>
        <w:tabs>
          <w:tab w:leader="none" w:pos="3680" w:val="left"/>
        </w:tabs>
        <w:rPr>
          <w:sz w:val="20"/>
          <w:szCs w:val="20"/>
          <w:color w:val="auto"/>
        </w:rPr>
      </w:pPr>
      <w:r>
        <w:rPr>
          <w:rFonts w:ascii="Times New Roman" w:cs="Times New Roman" w:eastAsia="Times New Roman" w:hAnsi="Times New Roman"/>
          <w:sz w:val="18"/>
          <w:szCs w:val="18"/>
          <w:color w:val="auto"/>
        </w:rPr>
        <w:t>when prompted enter the pin #</w:t>
      </w:r>
      <w:r>
        <w:rPr>
          <w:sz w:val="20"/>
          <w:szCs w:val="20"/>
          <w:color w:val="auto"/>
        </w:rPr>
        <w:tab/>
      </w:r>
      <w:r>
        <w:rPr>
          <w:rFonts w:ascii="Times New Roman" w:cs="Times New Roman" w:eastAsia="Times New Roman" w:hAnsi="Times New Roman"/>
          <w:sz w:val="18"/>
          <w:szCs w:val="18"/>
          <w:color w:val="auto"/>
        </w:rPr>
        <w:t>. This is listen only, you will not be able to vote or enter questions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the Special Meeting.</w:t>
      </w:r>
    </w:p>
    <w:p>
      <w:pPr>
        <w:spacing w:after="0" w:line="135" w:lineRule="exact"/>
        <w:rPr>
          <w:sz w:val="20"/>
          <w:szCs w:val="20"/>
          <w:color w:val="auto"/>
        </w:rPr>
      </w:pPr>
    </w:p>
    <w:p>
      <w:pPr>
        <w:ind w:left="880" w:hanging="426"/>
        <w:spacing w:after="0"/>
        <w:tabs>
          <w:tab w:leader="none" w:pos="8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62" w:lineRule="exact"/>
        <w:rPr>
          <w:sz w:val="20"/>
          <w:szCs w:val="20"/>
          <w:color w:val="auto"/>
        </w:rPr>
      </w:pPr>
    </w:p>
    <w:p>
      <w:pPr>
        <w:jc w:val="both"/>
        <w:ind w:left="880" w:right="479" w:hanging="426"/>
        <w:spacing w:after="0" w:line="266" w:lineRule="auto"/>
        <w:tabs>
          <w:tab w:leader="none" w:pos="11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 xml:space="preserve">In order to exercise your redemption rights, you must properly demand redemption and deliver your shares (either physically or electronically) to our transfer agent at least two business days prior to the Special Meeting. See “— </w:t>
      </w:r>
      <w:r>
        <w:rPr>
          <w:rFonts w:ascii="Times New Roman" w:cs="Times New Roman" w:eastAsia="Times New Roman" w:hAnsi="Times New Roman"/>
          <w:sz w:val="18"/>
          <w:szCs w:val="18"/>
          <w:i w:val="1"/>
          <w:iCs w:val="1"/>
          <w:color w:val="auto"/>
        </w:rPr>
        <w:t>How do I exercise my redemption rights</w:t>
      </w:r>
      <w:r>
        <w:rPr>
          <w:rFonts w:ascii="Times New Roman" w:cs="Times New Roman" w:eastAsia="Times New Roman" w:hAnsi="Times New Roman"/>
          <w:sz w:val="18"/>
          <w:szCs w:val="18"/>
          <w:color w:val="auto"/>
        </w:rPr>
        <w:t>” above.</w:t>
      </w:r>
    </w:p>
    <w:p>
      <w:pPr>
        <w:spacing w:after="0" w:line="104" w:lineRule="exact"/>
        <w:rPr>
          <w:sz w:val="20"/>
          <w:szCs w:val="20"/>
          <w:color w:val="auto"/>
        </w:rPr>
      </w:pPr>
    </w:p>
    <w:p>
      <w:pPr>
        <w:ind w:left="880" w:hanging="426"/>
        <w:spacing w:after="0"/>
        <w:tabs>
          <w:tab w:leader="none" w:pos="8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62" w:lineRule="exact"/>
        <w:rPr>
          <w:sz w:val="20"/>
          <w:szCs w:val="20"/>
          <w:color w:val="auto"/>
        </w:rPr>
      </w:pPr>
    </w:p>
    <w:p>
      <w:pPr>
        <w:jc w:val="both"/>
        <w:ind w:left="880" w:right="459" w:hanging="426"/>
        <w:spacing w:after="0" w:line="266" w:lineRule="auto"/>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stockholder of record of FS Development Common Stock as of the close of business on the Record Date, you can change or revoke your proxy before it is voted at the meeting in one of the following ways:</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95"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04" w:lineRule="exact"/>
        <w:rPr>
          <w:sz w:val="20"/>
          <w:szCs w:val="20"/>
          <w:color w:val="auto"/>
        </w:rPr>
      </w:pPr>
    </w:p>
    <w:p>
      <w:pPr>
        <w:ind w:left="880" w:hanging="426"/>
        <w:spacing w:after="0"/>
        <w:tabs>
          <w:tab w:leader="none" w:pos="8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62" w:lineRule="exact"/>
        <w:rPr>
          <w:sz w:val="20"/>
          <w:szCs w:val="20"/>
          <w:color w:val="auto"/>
        </w:rPr>
      </w:pPr>
    </w:p>
    <w:p>
      <w:pPr>
        <w:jc w:val="both"/>
        <w:ind w:left="880" w:right="459" w:hanging="426"/>
        <w:spacing w:after="0" w:line="255" w:lineRule="auto"/>
        <w:tabs>
          <w:tab w:leader="none" w:pos="10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04" w:lineRule="exact"/>
        <w:rPr>
          <w:sz w:val="20"/>
          <w:szCs w:val="20"/>
          <w:color w:val="auto"/>
        </w:rPr>
      </w:pPr>
    </w:p>
    <w:p>
      <w:pPr>
        <w:ind w:left="880" w:hanging="426"/>
        <w:spacing w:after="0"/>
        <w:tabs>
          <w:tab w:leader="none" w:pos="8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62" w:lineRule="exact"/>
        <w:rPr>
          <w:sz w:val="20"/>
          <w:szCs w:val="20"/>
          <w:color w:val="auto"/>
        </w:rPr>
      </w:pPr>
    </w:p>
    <w:p>
      <w:pPr>
        <w:jc w:val="both"/>
        <w:ind w:left="880" w:right="459" w:hanging="426"/>
        <w:spacing w:after="0" w:line="253" w:lineRule="auto"/>
        <w:tabs>
          <w:tab w:leader="none" w:pos="96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will pay the cost of soliciting proxies for the Special Meeting. FS Development has engaged Morrow Sodali LLC, which we refer to as “Morrow Sodali LLC,” to assist in the solicitation of proxies for the Special Meeting. FS Development has agreed to pay Morrow Sodali LLC a fee of $22,500, plus disbursements. FS Development will reimburse Morrow Sodali LLC for reasonable out-of-pocket expenses and will indemnify Morrow Sodali LLC and its affiliates against certain claims, liabilities, losses, damages and expenses. FS Development will also reimburse banks, brokers and other custodians, nominees and fiduciaries representing beneficial owners of shares of FS Development Common Stock for their expenses in forwarding soliciting materials to beneficial owners of the FS Development Common Stock and in obtaining voting instructions from those owners. FS Development’s directors, officers and employees may also solicit proxies by telephone, by facsimile, by mail, on the Internet or in person. They will not be paid any additional amounts for soliciting proxies.</w:t>
      </w:r>
    </w:p>
    <w:p>
      <w:pPr>
        <w:spacing w:after="0" w:line="120" w:lineRule="exact"/>
        <w:rPr>
          <w:sz w:val="20"/>
          <w:szCs w:val="20"/>
          <w:color w:val="auto"/>
        </w:rPr>
      </w:pPr>
    </w:p>
    <w:p>
      <w:pPr>
        <w:ind w:left="880" w:right="479" w:hanging="426"/>
        <w:spacing w:after="0" w:line="286" w:lineRule="auto"/>
        <w:tabs>
          <w:tab w:leader="none" w:pos="881"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as a FS Development stockholder in deciding how to vote or whether to exercise my redemption rights?</w:t>
      </w:r>
    </w:p>
    <w:p>
      <w:pPr>
        <w:spacing w:after="0" w:line="76" w:lineRule="exact"/>
        <w:rPr>
          <w:sz w:val="20"/>
          <w:szCs w:val="20"/>
          <w:color w:val="auto"/>
        </w:rPr>
      </w:pPr>
    </w:p>
    <w:p>
      <w:pPr>
        <w:ind w:left="880" w:right="479" w:hanging="426"/>
        <w:spacing w:after="0" w:line="284" w:lineRule="auto"/>
        <w:tabs>
          <w:tab w:leader="none" w:pos="8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w:t>
      </w:r>
    </w:p>
    <w:p>
      <w:pPr>
        <w:spacing w:after="0" w:line="89" w:lineRule="exact"/>
        <w:rPr>
          <w:sz w:val="20"/>
          <w:szCs w:val="20"/>
          <w:color w:val="auto"/>
        </w:rPr>
      </w:pPr>
    </w:p>
    <w:p>
      <w:pPr>
        <w:ind w:left="880" w:hanging="426"/>
        <w:spacing w:after="0"/>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62" w:lineRule="exact"/>
        <w:rPr>
          <w:sz w:val="20"/>
          <w:szCs w:val="20"/>
          <w:color w:val="auto"/>
        </w:rPr>
      </w:pPr>
    </w:p>
    <w:p>
      <w:pPr>
        <w:ind w:left="880" w:right="479" w:hanging="426"/>
        <w:spacing w:after="0" w:line="282"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please call us at (415) 877-4887.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also contact our proxy solicitor at: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FSDC.info@investor.morrowsodali.com</w:t>
      </w:r>
    </w:p>
    <w:p>
      <w:pPr>
        <w:spacing w:after="0" w:line="12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To obtain timely delivery, FS Development stockholders must request the materials no later than five (5) business days prior to the Special Meeting.</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FS Development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If you intend to seek redemption of your Public Shares, you will need to send a letter demanding redemption and deliver your stock (either physically or electronically) to FS Development’s transfer agent prior to the Special Meeting in accordance with the procedures detailed under the question “— </w:t>
      </w:r>
      <w:r>
        <w:rPr>
          <w:rFonts w:ascii="Times New Roman" w:cs="Times New Roman" w:eastAsia="Times New Roman" w:hAnsi="Times New Roman"/>
          <w:sz w:val="18"/>
          <w:szCs w:val="18"/>
          <w:i w:val="1"/>
          <w:iCs w:val="1"/>
          <w:color w:val="auto"/>
        </w:rPr>
        <w:t>How do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 my redemption rights</w:t>
      </w:r>
      <w:r>
        <w:rPr>
          <w:rFonts w:ascii="Times New Roman" w:cs="Times New Roman" w:eastAsia="Times New Roman" w:hAnsi="Times New Roman"/>
          <w:sz w:val="18"/>
          <w:szCs w:val="18"/>
          <w:color w:val="auto"/>
        </w:rPr>
        <w:t>” If you have questions regarding the certification of your 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your stock, please contact: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05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1051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8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Summary of the Proxy Statement/Prospectus to the “Combined Entity” refer to FS Development and its consolidated subsidiaries after giving effect to the Business Combination. References to the “Company,” “FS Development”, “we”, “us” or “our” generally refer to FS Development Corp.</w:t>
      </w:r>
    </w:p>
    <w:p>
      <w:pPr>
        <w:spacing w:after="0" w:line="9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specified, all share calculations assume no exercise of redemption rights by the Company’s public stockholders.</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FS Development Corp.</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on June 25, 2020 as a Delaware corporation for the purpose of effecting a merger, capital stock exchange, asset acquisition, stock purchase, reorganization or similar business combination involving FS Development and one or more businesses. Upon the Closing, we intend to change our name from “FS Development Corp.” to “Gemini Therapeutics, Inc.”</w:t>
      </w:r>
    </w:p>
    <w:p>
      <w:pPr>
        <w:spacing w:after="0" w:line="11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600 Montgomery Street, Suite 4500, San Francisco, CA 94111.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FSG Merger Sub, Inc. is a Delaware corporation and wholly-owned subsidiary of FS Development, which was formed on October 9, 2020 to consummate the Business Combination. Following the Business Combination, Gemini will merge with Merger Sub with Gemini surviving the merger. As a result, Gemini will become a wholly-owned subsidiary of the Combined Entity.</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Gemini Therapeutics, Inc.</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AMD. Its lead candidate, GEM103, is a recombinant form of the CFH and is designed to address both complement hyperactivity and restore retinal health. Variations in the gene that encodes CFH strongly correlate with an increased risk for developing AMD.</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Below is a summary of Gemini’s product candidate pipeline as of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 the table above, IND enabled means Gemini has completed the necessary nonclinical studies, including without limitation absorption, distribution, metabolism, and excretion, or ADME and toxicology, as well as formulation and manufacturing development necessary to seek the permission of regulatory authorities to begin human clinical testing.</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additional information about Gemini, see the section titled “</w:t>
      </w:r>
      <w:r>
        <w:rPr>
          <w:rFonts w:ascii="Times New Roman" w:cs="Times New Roman" w:eastAsia="Times New Roman" w:hAnsi="Times New Roman"/>
          <w:sz w:val="18"/>
          <w:szCs w:val="18"/>
          <w:i w:val="1"/>
          <w:iCs w:val="1"/>
          <w:color w:val="auto"/>
        </w:rPr>
        <w:t>Information about Gemini</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Proposals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FS Development and Gemini have agreed to a Business Combination under the terms of the Merger Agreement. Pursuant to the terms and subject to the conditions set forth in the Merger Agreement, at the Closing, Merger Sub will merge with and into Gemini, with Gemini continuing as the surviving entity and becoming a wholly-owned subsidiary of FS Development. See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14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Upon the Closing, it is anticipated that FS Development will change its name to “Gemini Therapeutics, Inc.”</w:t>
      </w:r>
    </w:p>
    <w:p>
      <w:pPr>
        <w:spacing w:after="0" w:line="11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Under the Merger Agreement, FS Development has agreed to acquire all of the outstanding equity interests of Gemini in exchange for up to 21,500,000 shares of FS Development Class A Common Stock,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Acquisition of Gemini; Merger Consideration”</w:t>
      </w:r>
      <w:r>
        <w:rPr>
          <w:rFonts w:ascii="Times New Roman" w:cs="Times New Roman" w:eastAsia="Times New Roman" w:hAnsi="Times New Roman"/>
          <w:sz w:val="18"/>
          <w:szCs w:val="18"/>
          <w:color w:val="auto"/>
        </w:rPr>
        <w:t>, to be paid at the Effective Time.</w:t>
      </w:r>
    </w:p>
    <w:p>
      <w:pPr>
        <w:spacing w:after="0" w:line="11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of FS Development Class A Common Stock to be placed into escrow for indemnification purposes, as further described in the Merger Agreement.</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sections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The Business Combination Proposal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Ancillary Agreements Related to the Business Combination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400" w:right="559" w:hanging="424"/>
        <w:spacing w:after="0" w:line="282" w:lineRule="auto"/>
        <w:tabs>
          <w:tab w:leader="none" w:pos="14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Board’s Reasons for the Business Combination</w:t>
      </w:r>
    </w:p>
    <w:p>
      <w:pPr>
        <w:spacing w:after="0" w:line="160" w:lineRule="exact"/>
        <w:rPr>
          <w:sz w:val="20"/>
          <w:szCs w:val="20"/>
          <w:color w:val="auto"/>
        </w:rPr>
      </w:pPr>
    </w:p>
    <w:p>
      <w:pPr>
        <w:jc w:val="both"/>
        <w:ind w:left="540" w:right="559"/>
        <w:spacing w:after="0" w:line="281" w:lineRule="auto"/>
        <w:rPr>
          <w:sz w:val="20"/>
          <w:szCs w:val="20"/>
          <w:color w:val="auto"/>
        </w:rPr>
      </w:pPr>
      <w:r>
        <w:rPr>
          <w:rFonts w:ascii="Times New Roman" w:cs="Times New Roman" w:eastAsia="Times New Roman" w:hAnsi="Times New Roman"/>
          <w:sz w:val="17"/>
          <w:szCs w:val="17"/>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97"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77" w:lineRule="exact"/>
        <w:rPr>
          <w:sz w:val="20"/>
          <w:szCs w:val="20"/>
          <w:color w:val="auto"/>
        </w:rPr>
      </w:pPr>
    </w:p>
    <w:p>
      <w:pPr>
        <w:jc w:val="both"/>
        <w:ind w:left="1400" w:right="559" w:hanging="424"/>
        <w:spacing w:after="0" w:line="254" w:lineRule="auto"/>
        <w:tabs>
          <w:tab w:leader="none" w:pos="152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4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4"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58"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404"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1400" w:right="559" w:hanging="424"/>
        <w:spacing w:after="0" w:line="255" w:lineRule="auto"/>
        <w:tabs>
          <w:tab w:leader="none" w:pos="15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anticipates 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400" w:right="559" w:hanging="424"/>
        <w:spacing w:after="0" w:line="286" w:lineRule="auto"/>
        <w:tabs>
          <w:tab w:leader="none" w:pos="139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1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6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 Development’s management team and reviewed by the Board supported the equity valuation of Gemini.</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4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Equityholders comprising a relative majority of the voting power of the Combined Entity, Gemini’s operations prior to the Merger comprising the only ongoing operations of the Combined Entity, and Gemini’s senior management comprising the senior management of the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Dissenter Rights</w:t>
      </w:r>
    </w:p>
    <w:p>
      <w:pPr>
        <w:spacing w:after="0" w:line="160"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Dissenter rights are not available to FS Development stockholders in connection with the Business Combination.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Impact of the Business Combination on FS Development’s Public Float</w:t>
      </w:r>
    </w:p>
    <w:p>
      <w:pPr>
        <w:spacing w:after="0" w:line="160"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the FS Development’s existing stockholders in the Combined Entity will be different.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71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sectPr>
      </w:pPr>
    </w:p>
    <w:p>
      <w:pPr>
        <w:spacing w:after="0" w:line="35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tables illustrate varying ownership levels in FS Development assuming the factors mentioned above:</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1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 redemption</w:t>
            </w: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212"/>
        </w:trPr>
        <w:tc>
          <w:tcPr>
            <w:tcW w:w="3660" w:type="dxa"/>
            <w:vAlign w:val="bottom"/>
          </w:tcPr>
          <w:p>
            <w:pPr>
              <w:spacing w:after="0"/>
              <w:rPr>
                <w:sz w:val="18"/>
                <w:szCs w:val="18"/>
                <w:color w:val="auto"/>
              </w:rPr>
            </w:pPr>
          </w:p>
        </w:tc>
        <w:tc>
          <w:tcPr>
            <w:tcW w:w="136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3660" w:type="dxa"/>
            <w:vAlign w:val="bottom"/>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660" w:type="dxa"/>
            <w:vAlign w:val="bottom"/>
          </w:tcPr>
          <w:p>
            <w:pPr>
              <w:spacing w:after="0"/>
              <w:rPr>
                <w:sz w:val="20"/>
                <w:szCs w:val="20"/>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6"/>
        </w:trPr>
        <w:tc>
          <w:tcPr>
            <w:tcW w:w="3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Corp. public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Corp. Sponsor and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41"/>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40"/>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Other Investors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Upon Closing, the Board anticipates having seven directors, with each Class I director having an initial term that expires at the Combined Entity’s annual meeting of stockholders in 2021, each Class II director having an initial term that expires at the Combined Entity’s annual meeting of stockholders in 2022, and each Class</w:t>
      </w:r>
    </w:p>
    <w:p>
      <w:pPr>
        <w:spacing w:after="0" w:line="1" w:lineRule="exact"/>
        <w:rPr>
          <w:sz w:val="20"/>
          <w:szCs w:val="20"/>
          <w:color w:val="auto"/>
        </w:rPr>
      </w:pPr>
    </w:p>
    <w:p>
      <w:pPr>
        <w:jc w:val="both"/>
        <w:ind w:left="540" w:right="559" w:firstLine="4"/>
        <w:spacing w:after="0" w:line="253" w:lineRule="auto"/>
        <w:tabs>
          <w:tab w:leader="none" w:pos="7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having an initial term that expires at the Combined Entity’s annual meeting of stockholders in 2023, or in each case until their respective successors are duly elected and qualified, or until their earlier resignation, removal or death.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for additional information.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Nasdaq Stock Issuance Proposal</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 xml:space="preserve">As the consideration for the Business Combination, FS Development is obligated to issue up to 21,500,000 shares of FS Development Class A Common Stock to the Gemini Equityholders,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In addition, in connection with the Business Combination, 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entered into the Subscription Agreements with investors to purchase 9,506,000 shares of Class A Common Stock for an aggregate amount of $95,060,000, subject to certain conditions, including that all conditions precedent to the Closing will have been satisfied or waived (other than those conditions that are to be satisfied at Closing).</w:t>
      </w:r>
    </w:p>
    <w:p>
      <w:pPr>
        <w:spacing w:after="0" w:line="12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for purposes of complying with the Nasdaq Listing Rules, the issuance of up to 21,500,000 newly issued shares of FS Development Class A Common Stock pursuant to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9,506,000 newly issued shares of FS Development Class A Common Stock in the PIPE Investment. See the section titled “</w:t>
      </w:r>
      <w:r>
        <w:rPr>
          <w:rFonts w:ascii="Times New Roman" w:cs="Times New Roman" w:eastAsia="Times New Roman" w:hAnsi="Times New Roman"/>
          <w:sz w:val="18"/>
          <w:szCs w:val="18"/>
          <w:i w:val="1"/>
          <w:iCs w:val="1"/>
          <w:color w:val="auto"/>
        </w:rPr>
        <w:t>The Nasdaq Stock Issuance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and adopt, subject to and conditional on (but with immediate effect therefrom) approval of the Business Combination Proposal, the Nasdaq Stock Issuance Proposal, the Incentive Plan Proposal and the Closing, an amendment and restatement of the Current Charter, as set out in the Proposed Charter appended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See the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Advisory Proposals</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00" w:right="559" w:hanging="424"/>
        <w:spacing w:after="0" w:line="286" w:lineRule="auto"/>
        <w:tabs>
          <w:tab w:leader="none" w:pos="14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shares;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1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662/3% of the Combined Entity’s then-outstanding shares of capital stock entitled to vote on such amendment;</w:t>
      </w:r>
    </w:p>
    <w:p>
      <w:pPr>
        <w:sectPr>
          <w:pgSz w:w="11900" w:h="16838" w:orient="portrait"/>
          <w:cols w:equalWidth="0" w:num="1">
            <w:col w:w="9019"/>
          </w:cols>
          <w:pgMar w:left="1440" w:top="270" w:right="1440" w:bottom="812" w:gutter="0" w:footer="0" w:header="0"/>
          <w:type w:val="continuous"/>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type w:val="continuous"/>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04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80478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39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 the approval of at least 66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Incentive Plan Proposal</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 is proposing that its stockholders approve and adopt the Equity Incentive Plan of the Combined Entity, which will become effective as of the date immediately preceding the date of the Closing and will have the following principal features:</w:t>
      </w:r>
    </w:p>
    <w:p>
      <w:pPr>
        <w:spacing w:after="0" w:line="104" w:lineRule="exact"/>
        <w:rPr>
          <w:sz w:val="20"/>
          <w:szCs w:val="20"/>
          <w:color w:val="auto"/>
        </w:rPr>
      </w:pPr>
    </w:p>
    <w:p>
      <w:pPr>
        <w:jc w:val="both"/>
        <w:ind w:left="1400" w:right="559" w:hanging="424"/>
        <w:spacing w:after="0" w:line="255" w:lineRule="auto"/>
        <w:tabs>
          <w:tab w:leader="none" w:pos="14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Equity Incentive Plan provides for the grant of incentive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options, stock appreciation rights, restricted stock awards, restricted stock unit awards, unrestricted stock awards, and dividend equivalent rights, or collectively, stock awards, all of which may be granted to employees, including officers, non-employee directors and consultants of the Combined Entity and its affiliates. Additionally, the Equity Incentive Plan provides for the grant of performance-based cash awards. Incentive stock options may be granted only to employees. All other awards may be granted to employees, including officers, and to non-employee directors and consultants.</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Available for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the aggregate number of shares of Common Stock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issued pursuant to stock awards under the Equity Incentive Plan after the Equity Incentive Plan becomes effective will not exceed [•] shares. Additionally,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5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Non-Employee Director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of all awards awarded under the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and all other cash compensation paid by the Combined Entity to any non-employee director in any calendar year for services as a non-employee director will not exceed $750,000, or $1,000,000 for the year in which a non-employee director is first appointed or elected to the Combined Entity’s board of directors.</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A summary of the Equity Incentive Plan is set forth in the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xml:space="preserve">” section of this proxy statement/prospectus and a complete copy of the Equity Incentive Plan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Date, Time and Place of Special Meeting</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 , 2021, at , Eastern time, conducted via live webcast at the following address . You will need the 12-digit meeting control number that is printed on your</w:t>
      </w: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holders of record of issued and outstanding FS Development Common Stock as of the close of business</w:t>
      </w:r>
    </w:p>
    <w:p>
      <w:pPr>
        <w:spacing w:after="0" w:line="27"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on , 2021, the Record Date for the Special Meeting, are entitled to notice of, and to vote at, the Special Meeting or any adjournment or postponement of the Special Meeting. You may cast one vote for each share of FS Development Common Stock that you owned as of the close of business on the Record Date.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Times New Roman" w:cs="Times New Roman" w:eastAsia="Times New Roman" w:hAnsi="Times New Roman"/>
          <w:sz w:val="18"/>
          <w:szCs w:val="18"/>
          <w:i w:val="1"/>
          <w:iCs w:val="1"/>
          <w:color w:val="auto"/>
        </w:rPr>
        <w:t>Special Meeting of FS Development Stockholders — Revoking Your Proxy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the holders of a majority of the FS Development Common Stock outstanding and entitled to vote at the Special Meeting is represented in person (which would include presence at a virtual meeting) or by proxy at the Special Meeting. Abstentions will count as present for the purposes of establishing a quorum. Broker non-votes will not be counted for purposes of establishing a quorum.</w:t>
      </w:r>
    </w:p>
    <w:p>
      <w:pPr>
        <w:spacing w:after="0" w:line="10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1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and the Adjournment Proposal.</w:t>
      </w:r>
    </w:p>
    <w:p>
      <w:pPr>
        <w:spacing w:after="0" w:line="1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Unless the Business Combination Proposal is approved, the Nasdaq Stock Issuance Proposal, the Charter Amendment Proposal, and the Incentive Plan Proposal will not be presented to the stockholders of FS Development at the Special Meeting. The Adjournment Proposal is not conditioned on any other Proposal and does not require the approval of any other Proposal to be effective. It is important for you to note that in the event the Business Combination Proposal, the Nasdaq Stock Issuance Proposal, the Charter Amendment Proposal, and the Incentive Plan Proposal do not receive the requisite vote for approval, then FS Development will not consummate the Business Combination. If FS Development does not consummate the Business Combination and fails to complete an initial business combination by August 14, 2022, it will be required to dissolve and liquidate its Trust Account by returning the then remaining funds in such account to its public stockholders.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 to FS Development Stockholders</w:t>
      </w:r>
    </w:p>
    <w:p>
      <w:pPr>
        <w:spacing w:after="0" w:line="144" w:lineRule="exact"/>
        <w:rPr>
          <w:sz w:val="20"/>
          <w:szCs w:val="20"/>
          <w:color w:val="auto"/>
        </w:rPr>
      </w:pPr>
    </w:p>
    <w:p>
      <w:pPr>
        <w:jc w:val="both"/>
        <w:ind w:left="540" w:right="559"/>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the Proposals to be presented at the Special Meeting are in the best interests of FS Development and its stockholders and unanimously recommends that FS Development stockholders vote “FOR” the Proposals.</w:t>
      </w:r>
    </w:p>
    <w:p>
      <w:pPr>
        <w:spacing w:after="0" w:line="107"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these Proposals, you should keep in mind that FS Development directors and officers have interests in the Business Combination that are different from or in addition to (and which may conflict with) your interests as a stockholder. These interests include, among other things:</w:t>
      </w:r>
    </w:p>
    <w:p>
      <w:pPr>
        <w:spacing w:after="0" w:line="112" w:lineRule="exact"/>
        <w:rPr>
          <w:sz w:val="20"/>
          <w:szCs w:val="20"/>
          <w:color w:val="auto"/>
        </w:rPr>
      </w:pPr>
    </w:p>
    <w:p>
      <w:pPr>
        <w:jc w:val="both"/>
        <w:ind w:left="1400" w:right="559" w:hanging="424"/>
        <w:spacing w:after="0" w:line="258" w:lineRule="auto"/>
        <w:tabs>
          <w:tab w:leader="none" w:pos="14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spacing w:after="0" w:line="270" w:lineRule="auto"/>
        <w:rPr>
          <w:sz w:val="20"/>
          <w:szCs w:val="20"/>
          <w:color w:val="auto"/>
        </w:rPr>
      </w:pPr>
      <w:r>
        <w:rPr>
          <w:rFonts w:ascii="Times New Roman" w:cs="Times New Roman" w:eastAsia="Times New Roman" w:hAnsi="Times New Roman"/>
          <w:sz w:val="17"/>
          <w:szCs w:val="17"/>
          <w:color w:val="auto"/>
        </w:rPr>
        <w:t>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3" w:lineRule="exact"/>
        <w:rPr>
          <w:sz w:val="20"/>
          <w:szCs w:val="20"/>
          <w:color w:val="auto"/>
        </w:rPr>
      </w:pPr>
    </w:p>
    <w:p>
      <w:pPr>
        <w:jc w:val="both"/>
        <w:ind w:left="1400" w:right="559"/>
        <w:spacing w:after="0" w:line="253" w:lineRule="auto"/>
        <w:rPr>
          <w:sz w:val="20"/>
          <w:szCs w:val="20"/>
          <w:color w:val="auto"/>
        </w:rPr>
      </w:pPr>
      <w:r>
        <w:rPr>
          <w:rFonts w:ascii="Times New Roman" w:cs="Times New Roman" w:eastAsia="Times New Roman" w:hAnsi="Times New Roman"/>
          <w:sz w:val="18"/>
          <w:szCs w:val="18"/>
          <w:color w:val="auto"/>
        </w:rPr>
        <w:t>(iii)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21" w:lineRule="exact"/>
        <w:rPr>
          <w:sz w:val="20"/>
          <w:szCs w:val="20"/>
          <w:color w:val="auto"/>
        </w:rPr>
      </w:pPr>
    </w:p>
    <w:p>
      <w:pPr>
        <w:jc w:val="both"/>
        <w:ind w:left="1400" w:right="559" w:hanging="424"/>
        <w:spacing w:after="0" w:line="258" w:lineRule="auto"/>
        <w:tabs>
          <w:tab w:leader="none" w:pos="14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5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5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Business Combination, FS Development will continue to indemnify FS Development’s existing directors and officers and will maintain a directors’ and officers’ liability insurance policy.</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44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9244965"/>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sectPr>
      </w:pPr>
    </w:p>
    <w:p>
      <w:pPr>
        <w:spacing w:after="0" w:line="358" w:lineRule="exact"/>
        <w:rPr>
          <w:sz w:val="20"/>
          <w:szCs w:val="20"/>
          <w:color w:val="auto"/>
        </w:rPr>
      </w:pPr>
    </w:p>
    <w:p>
      <w:pPr>
        <w:jc w:val="both"/>
        <w:ind w:left="1400" w:right="559" w:hanging="424"/>
        <w:spacing w:after="0" w:line="255" w:lineRule="auto"/>
        <w:tabs>
          <w:tab w:leader="none" w:pos="15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Class A Common Stock is publicly traded on Nasdaq, under the symbol “FSDC.” FS Development intends to apply to list the common stock of the Combined Entity on Nasdaq under the symbol “GMNI”, upon the Closing.</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Sources and Uses for the Business Combination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summarizes the sources and uses for funding the Business Combination based on (i) the assumption that there will be no redemptions and (ii) the assumption that there will be maximum redemptions. See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112" w:lineRule="exact"/>
        <w:rPr>
          <w:sz w:val="20"/>
          <w:szCs w:val="20"/>
          <w:color w:val="auto"/>
        </w:rPr>
      </w:pPr>
    </w:p>
    <w:p>
      <w:pPr>
        <w:ind w:left="940" w:hanging="396"/>
        <w:spacing w:after="0"/>
        <w:tabs>
          <w:tab w:leader="none" w:pos="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redemptions</w:t>
      </w: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120,751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2"/>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(ii) Maximum redemptions</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5,001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Following the Closing, the rights of the Combined Entity’s Stockholders will be governed by the Proposed Charter and the Amended By-laws. See the section 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5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w:t>
      </w:r>
    </w:p>
    <w:p>
      <w:pPr>
        <w:sectPr>
          <w:pgSz w:w="11900" w:h="16838" w:orient="portrait"/>
          <w:cols w:equalWidth="0" w:num="1">
            <w:col w:w="9019"/>
          </w:cols>
          <w:pgMar w:left="1440" w:top="270" w:right="1440" w:bottom="852"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07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340741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80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our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4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33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913384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GEMINI</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summary statements of operations data for the years ended December 31, 2018 and 2019 and the balance sheet data as of December 31, 2019 from its audited financial statements included elsewhere in this proxy statement/prospectus. The summary statements of operations data for the nine months ended September 30, 2019 and 2020 and the summary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Gemini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Nine Months Ended September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4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40" w:type="dxa"/>
            <w:vAlign w:val="bottom"/>
          </w:tcPr>
          <w:p>
            <w:pPr>
              <w:spacing w:after="0"/>
              <w:rPr>
                <w:sz w:val="21"/>
                <w:szCs w:val="21"/>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160" w:type="dxa"/>
            <w:vAlign w:val="bottom"/>
            <w:gridSpan w:val="2"/>
            <w:vMerge w:val="continue"/>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3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20"/>
                <w:szCs w:val="20"/>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4,811,641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5,171,537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18,528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380" w:type="dxa"/>
            <w:vAlign w:val="bottom"/>
            <w:gridSpan w:val="4"/>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47,113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(70,797)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014"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935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593598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FS DEVELOPMENT</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in conjunction with FS Development’s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FS Development</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From June 25,</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452,486</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Pr>
          <w:p>
            <w:pPr>
              <w:spacing w:after="0"/>
              <w:rPr>
                <w:sz w:val="21"/>
                <w:szCs w:val="21"/>
                <w:color w:val="auto"/>
              </w:rPr>
            </w:pPr>
          </w:p>
        </w:tc>
      </w:tr>
      <w:tr>
        <w:trPr>
          <w:trHeight w:val="41"/>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12,516,500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r>
      <w:tr>
        <w:trPr>
          <w:trHeight w:val="403"/>
        </w:trPr>
        <w:tc>
          <w:tcPr>
            <w:tcW w:w="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6340" w:type="dxa"/>
            <w:vAlign w:val="bottom"/>
            <w:tcBorders>
              <w:bottom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64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87649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UNAUDITED PRO FORMA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13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has been derived from the unaudited pro forma condensed combined balance sheet as of September 30, 2020 and the unaudited pro forma condensed combined statements of operations for the year ended December 31, 2019 and the nine months ended September 30, 2020 included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 Development and Gemini, including the accompanying notes, which are included elsewhere in this proxy statement/prospectus.</w:t>
      </w:r>
    </w:p>
    <w:p>
      <w:pPr>
        <w:spacing w:after="0" w:line="10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capitalization, with no goodwill or other intangible assets recorded, in accordance with GAAP. Under this method of accounting, FS Development is treated as the “acquired” company for financial reporting purposes.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are stated at historical cost, with no goodwill or other intangible assets recorded. Operations prior to the Business Combination are those of Gemini.</w:t>
      </w:r>
    </w:p>
    <w:p>
      <w:pPr>
        <w:spacing w:after="0" w:line="12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into cash of FS Development Common Stock:</w:t>
      </w:r>
    </w:p>
    <w:p>
      <w:pPr>
        <w:spacing w:after="0" w:line="92" w:lineRule="exact"/>
        <w:rPr>
          <w:sz w:val="20"/>
          <w:szCs w:val="20"/>
          <w:color w:val="auto"/>
        </w:rPr>
      </w:pPr>
    </w:p>
    <w:p>
      <w:pPr>
        <w:ind w:left="1400" w:right="559" w:hanging="424"/>
        <w:spacing w:after="0" w:line="284" w:lineRule="auto"/>
        <w:tabs>
          <w:tab w:leader="none" w:pos="16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No Redemptions</w:t>
      </w:r>
      <w:r>
        <w:rPr>
          <w:rFonts w:ascii="Times New Roman" w:cs="Times New Roman" w:eastAsia="Times New Roman" w:hAnsi="Times New Roman"/>
          <w:sz w:val="18"/>
          <w:szCs w:val="18"/>
          <w:color w:val="auto"/>
        </w:rPr>
        <w:t>: This presentation assumes that no FS Development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exercise redemption rights with respect to their Public Shares.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5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stockholders, without giving effect to the Subscription Agreements entered into by certain FS Development public stockholders participating in the PIPE Investment, exercise redemption rights with respect to their shares of FS Development Class A Common Stock. This scenario assumes that 11,152,375 FS Development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6"/>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For the Nine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Months Ended September 30, 2020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FSDC</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24,748</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(24,748)</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(33,827)</w:t>
            </w:r>
          </w:p>
        </w:tc>
      </w:tr>
      <w:tr>
        <w:trPr>
          <w:trHeight w:val="24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A</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(0.96)</w:t>
            </w:r>
          </w:p>
        </w:tc>
      </w:tr>
      <w:tr>
        <w:trPr>
          <w:trHeight w:val="40"/>
        </w:trPr>
        <w:tc>
          <w:tcPr>
            <w:tcW w:w="30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B</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Historical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6"/>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6"/>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Year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FSDC</w:t>
            </w: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41,225</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(41,225)</w:t>
            </w:r>
          </w:p>
        </w:tc>
      </w:tr>
      <w:tr>
        <w:trPr>
          <w:trHeight w:val="41"/>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(41,400)</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98"/>
        </w:trPr>
        <w:tc>
          <w:tcPr>
            <w:tcW w:w="8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80" w:type="dxa"/>
            <w:vAlign w:val="bottom"/>
            <w:tcBorders>
              <w:left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 Sheet – As of September 30, 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FSDC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8"/>
              </w:rPr>
              <w:t>Gemini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6"/>
        </w:trPr>
        <w:tc>
          <w:tcPr>
            <w:tcW w:w="3040" w:type="dxa"/>
            <w:vAlign w:val="bottom"/>
            <w:tcBorders>
              <w:left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2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95,491</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16,253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18,033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24,531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Borders>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50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9150985"/>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per share data of FS Development on a stand-alone basis and the unaudited pro forma condensed combined per share data for the year ended December 31, 2019 and the nine months ended September 30, 2020 after giving effect to the Business Combination, (1) assuming no FS Development stockholders exercise redemption rights with respect to their Public Shares upon the Closing; and</w:t>
      </w:r>
    </w:p>
    <w:p>
      <w:pPr>
        <w:spacing w:after="0" w:line="3" w:lineRule="exact"/>
        <w:rPr>
          <w:sz w:val="20"/>
          <w:szCs w:val="20"/>
          <w:color w:val="auto"/>
        </w:rPr>
      </w:pPr>
    </w:p>
    <w:p>
      <w:pPr>
        <w:ind w:left="540" w:right="559" w:firstLine="4"/>
        <w:spacing w:after="0" w:line="260" w:lineRule="auto"/>
        <w:tabs>
          <w:tab w:leader="none" w:pos="8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FS Development stockholders exercise their redemption rights with respect to a maximum of 11,152,375 Public Shares upon the Closing.</w:t>
      </w:r>
    </w:p>
    <w:p>
      <w:pPr>
        <w:spacing w:after="0" w:line="11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You should read the information in the following table in conjunction with the selected historical financial information summary included elsewhere in this proxy statement/prospectus, and the historical financial statements of FS Development and Gemini and related notes that are included elsewhere in this proxy statement/prospectus. The unaudited FS Development and Gemini pro forma combined per share information is derived from, and should be read in conjunction with, the unaudited pro forma condensed combined financial statements and related notes included elsewhere in this proxy statement/prospectus.</w:t>
      </w:r>
    </w:p>
    <w:p>
      <w:pPr>
        <w:spacing w:after="0" w:line="10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FS Development and Gemini would have been had the companies been combined during the periods presented.</w:t>
      </w:r>
    </w:p>
    <w:p>
      <w:pPr>
        <w:spacing w:after="0" w:line="1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Gemini equivalent pro forma</w:t>
      </w:r>
    </w:p>
    <w:p>
      <w:pPr>
        <w:spacing w:after="0" w:line="11" w:lineRule="exact"/>
        <w:rPr>
          <w:sz w:val="20"/>
          <w:szCs w:val="20"/>
          <w:color w:val="auto"/>
        </w:rPr>
      </w:pPr>
    </w:p>
    <w:p>
      <w:pPr>
        <w:ind w:left="3160"/>
        <w:spacing w:after="0"/>
        <w:tabs>
          <w:tab w:leader="none" w:pos="4760" w:val="left"/>
          <w:tab w:leader="none" w:pos="6960" w:val="left"/>
        </w:tabs>
        <w:rPr>
          <w:sz w:val="20"/>
          <w:szCs w:val="20"/>
          <w:color w:val="auto"/>
        </w:rPr>
      </w:pPr>
      <w:r>
        <w:rPr>
          <w:rFonts w:ascii="Times New Roman" w:cs="Times New Roman" w:eastAsia="Times New Roman" w:hAnsi="Times New Roman"/>
          <w:sz w:val="14"/>
          <w:szCs w:val="14"/>
          <w:b w:val="1"/>
          <w:bCs w:val="1"/>
          <w:color w:val="auto"/>
        </w:rPr>
        <w:t>Historical</w:t>
      </w:r>
      <w:r>
        <w:rPr>
          <w:sz w:val="20"/>
          <w:szCs w:val="20"/>
          <w:color w:val="auto"/>
        </w:rPr>
        <w:tab/>
      </w:r>
      <w:r>
        <w:rPr>
          <w:rFonts w:ascii="Times New Roman" w:cs="Times New Roman" w:eastAsia="Times New Roman" w:hAnsi="Times New Roman"/>
          <w:sz w:val="14"/>
          <w:szCs w:val="14"/>
          <w:b w:val="1"/>
          <w:bCs w:val="1"/>
          <w:color w:val="auto"/>
        </w:rPr>
        <w:t>Pro Forma Combined</w:t>
      </w:r>
      <w:r>
        <w:rPr>
          <w:sz w:val="20"/>
          <w:szCs w:val="20"/>
          <w:color w:val="auto"/>
        </w:rPr>
        <w:tab/>
      </w: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9"/>
          <w:szCs w:val="19"/>
          <w:b w:val="1"/>
          <w:bCs w:val="1"/>
          <w:color w:val="auto"/>
          <w:vertAlign w:val="superscript"/>
        </w:rPr>
        <w:t>(3)</w:t>
      </w:r>
    </w:p>
    <w:p>
      <w:pPr>
        <w:spacing w:after="0" w:line="13" w:lineRule="exact"/>
        <w:rPr>
          <w:sz w:val="20"/>
          <w:szCs w:val="20"/>
          <w:color w:val="auto"/>
        </w:rPr>
      </w:pPr>
    </w:p>
    <w:tbl>
      <w:tblPr>
        <w:tblLayout w:type="fixed"/>
        <w:tblInd w:w="540" w:type="dxa"/>
        <w:tblCellMar>
          <w:top w:w="0" w:type="dxa"/>
          <w:left w:w="0" w:type="dxa"/>
          <w:bottom w:w="0" w:type="dxa"/>
          <w:right w:w="0" w:type="dxa"/>
        </w:tblCellMar>
      </w:tblPr>
      <w:tr>
        <w:trPr>
          <w:trHeight w:val="183"/>
        </w:trPr>
        <w:tc>
          <w:tcPr>
            <w:tcW w:w="1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(in thousands, except share</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02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Assuming Max</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83"/>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per share amounts)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center"/>
              <w:ind w:right="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10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Max</w:t>
            </w:r>
          </w:p>
        </w:tc>
        <w:tc>
          <w:tcPr>
            <w:tcW w:w="0" w:type="dxa"/>
            <w:vAlign w:val="bottom"/>
          </w:tcPr>
          <w:p>
            <w:pPr>
              <w:spacing w:after="0"/>
              <w:rPr>
                <w:sz w:val="1"/>
                <w:szCs w:val="1"/>
                <w:color w:val="auto"/>
              </w:rPr>
            </w:pPr>
          </w:p>
        </w:tc>
      </w:tr>
      <w:tr>
        <w:trPr>
          <w:trHeight w:val="190"/>
        </w:trPr>
        <w:tc>
          <w:tcPr>
            <w:tcW w:w="1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 of and for the Nine</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r>
              <w:rPr>
                <w:rFonts w:ascii="Times New Roman" w:cs="Times New Roman" w:eastAsia="Times New Roman" w:hAnsi="Times New Roman"/>
                <w:sz w:val="21"/>
                <w:szCs w:val="21"/>
                <w:b w:val="1"/>
                <w:bCs w:val="1"/>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Book value per share, basic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r>
              <w:rPr>
                <w:rFonts w:ascii="Times New Roman" w:cs="Times New Roman" w:eastAsia="Times New Roman" w:hAnsi="Times New Roman"/>
                <w:sz w:val="21"/>
                <w:szCs w:val="21"/>
                <w:color w:val="auto"/>
                <w:vertAlign w:val="superscript"/>
              </w:rPr>
              <w:t>(1)(2)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21"/>
                <w:szCs w:val="21"/>
                <w:b w:val="1"/>
                <w:bCs w:val="1"/>
                <w:color w:val="auto"/>
                <w:vertAlign w:val="superscript"/>
              </w:rPr>
              <w:t>(4)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100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 Total equity (deficit)/shares outstanding at September 30, 2020 for FSDC, Gemini and the pro forma.</w:t>
      </w:r>
    </w:p>
    <w:p>
      <w:pPr>
        <w:ind w:left="980" w:right="559" w:hanging="436"/>
        <w:spacing w:after="0" w:line="264" w:lineRule="auto"/>
        <w:tabs>
          <w:tab w:leader="none" w:pos="101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Book value per share and Net income (loss) per share are based on Class A and Class B common stock for FSDC and total common stock for Gemini.</w:t>
      </w:r>
    </w:p>
    <w:p>
      <w:pPr>
        <w:jc w:val="both"/>
        <w:ind w:left="980" w:right="559" w:hanging="436"/>
        <w:spacing w:after="0" w:line="264" w:lineRule="auto"/>
        <w:tabs>
          <w:tab w:leader="none" w:pos="102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Gemini is based on the expected exchange ratio of 0.2385 for both No Redemptions and Max Redemptions scenarios. The equivalent pro forma shares outstanding for Gemini represent the total consideration shares of up to 21.5 million, less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ind w:left="980" w:hanging="436"/>
        <w:spacing w:after="0"/>
        <w:tabs>
          <w:tab w:leader="none" w:pos="9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periods presented.</w:t>
      </w:r>
    </w:p>
    <w:p>
      <w:pPr>
        <w:sectPr>
          <w:pgSz w:w="11900" w:h="16838" w:orient="portrait"/>
          <w:cols w:equalWidth="0" w:num="1">
            <w:col w:w="9019"/>
          </w:cols>
          <w:pgMar w:left="1440" w:top="270" w:right="1440" w:bottom="1001" w:gutter="0" w:footer="0" w:header="0"/>
          <w:type w:val="continuous"/>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will apply to our business and operations following the completion of the Business Combination. These risk factors are not exhaustive and we may face additional risks and uncertainties that are not presently known to us, or that we currently deem immaterial, which may also impair our business, prospects, financial condition or operating results.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FS Development Common Stock. The following discussion should be read in conjunction with our financial statements and the financial statements of Gemini and the notes to the financial statements included herein.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Gemini</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Gemini”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incurred significant losses since its inception and expects to incur losses for the foreseeable future.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years ended December 31, 2018 and 2019, respectively. For the nine months ended September 30, 2020, Gemini reported a net loss of $26.5 million. As of September 30, 2020, Gemini had an accumulated deficit of $98.5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13" w:lineRule="exact"/>
        <w:rPr>
          <w:sz w:val="20"/>
          <w:szCs w:val="20"/>
          <w:color w:val="auto"/>
        </w:rPr>
      </w:pPr>
    </w:p>
    <w:p>
      <w:pPr>
        <w:ind w:left="1320" w:right="479" w:hanging="434"/>
        <w:spacing w:after="0" w:line="282" w:lineRule="auto"/>
        <w:tabs>
          <w:tab w:leader="none" w:pos="13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larger scale clinical trials for its lead product candidate, GEM103, and any other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discovers and develops new product candidates, and conducts nonclinical studies and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or has manufactured, clinical and commercial supplies of its product candidates;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its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commercializes GEM103 or any other product candidates, if approved;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to transition from a company with a research focus to a company capable of supporting commercial activities, including establishing sales, marketing and distribution infrastructure;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scientific, and management personnel;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additional compounds or product candidates and acquires rights from third parties to those compounds or product candidates through licenses;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additional costs associated with operating as a public company following the Business Combination.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currently has a limited operating history, has not generated any revenue to date, and may never become profitable.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21" w:lineRule="exact"/>
        <w:rPr>
          <w:sz w:val="20"/>
          <w:szCs w:val="20"/>
          <w:color w:val="auto"/>
        </w:rPr>
      </w:pPr>
    </w:p>
    <w:p>
      <w:pPr>
        <w:ind w:left="1320" w:right="479" w:hanging="434"/>
        <w:spacing w:after="0" w:line="282" w:lineRule="auto"/>
        <w:tabs>
          <w:tab w:leader="none" w:pos="14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nonclinical studies and clinical trials for GEM103 and any other product candidates;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marketing approvals for any product candidates that complete clinical development;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any approved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technological and market developments;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Gemini may enter in the future and performing its obligations in such collaborations;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its intellectual property rights;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September 30, 2020, Gemini had $13.2 million of cash and cash equivalents. Gemini believes that the net proceeds from the Business Combination and the PIPE transaction, together with its existing cash and cash equivalents, will fund its projected operating requirements through at least the next 12 months.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21" w:lineRule="exact"/>
        <w:rPr>
          <w:sz w:val="20"/>
          <w:szCs w:val="20"/>
          <w:color w:val="auto"/>
        </w:rPr>
      </w:pPr>
    </w:p>
    <w:p>
      <w:pPr>
        <w:jc w:val="both"/>
        <w:ind w:left="1320" w:right="479" w:hanging="434"/>
        <w:spacing w:after="0" w:line="266" w:lineRule="auto"/>
        <w:tabs>
          <w:tab w:leader="none" w:pos="15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as well as product coverage and the adequacy of reimbursement by third-party payors;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need to implement additional internal systems and infrastructure, including financial and reporting systems.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is heavily dependent on the success of GEM103, its lead product candidate.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2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11" w:lineRule="exact"/>
        <w:rPr>
          <w:sz w:val="20"/>
          <w:szCs w:val="20"/>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its product candidates obsolete;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Gemini develop may nevertheless be covered by third parties’ patents or other exclusive rights;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6" w:lineRule="auto"/>
        <w:tabs>
          <w:tab w:leader="none" w:pos="159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3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12" w:lineRule="exact"/>
        <w:rPr>
          <w:sz w:val="20"/>
          <w:szCs w:val="20"/>
          <w:color w:val="auto"/>
        </w:rPr>
      </w:pPr>
    </w:p>
    <w:p>
      <w:pPr>
        <w:jc w:val="both"/>
        <w:ind w:left="1320" w:right="459" w:hanging="434"/>
        <w:spacing w:after="0" w:line="255" w:lineRule="auto"/>
        <w:tabs>
          <w:tab w:leader="none" w:pos="15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9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0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encounter difficulties in managing its growth, which could adversely affect its operations.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November 30, 2020,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Gemini’s disclosure controls and procedures may not prevent or detect all errors or acts of fraud.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its Chief Technology Officer, Scott Lauder, Ph.D., its Chief Medical Officer, Marc Uknis, M.D., and its interim Chief Financial Officer, Gregg Beloff.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3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generally affect patient enrollment include:</w:t>
      </w:r>
    </w:p>
    <w:p>
      <w:pPr>
        <w:spacing w:after="0" w:line="144" w:lineRule="exact"/>
        <w:rPr>
          <w:sz w:val="20"/>
          <w:szCs w:val="20"/>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where patients are to be enrolled;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faces substantial competition, which may result in others discovering, developing or commercializing products before or more successfully than us.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its business and financial condition.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might not be able to utilize a significant portion of its U.S. NOL carryforwards and U.S. research and development tax credit carryforwards.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uses and generates materials that may expose it to material liability.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Government Regulation”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GEM103 or its other product candidates could fail to receive regulatory approval from the FDA or an applicable foreign regulatory authority for many reasons, including:</w:t>
      </w:r>
    </w:p>
    <w:p>
      <w:pPr>
        <w:spacing w:after="0" w:line="94" w:lineRule="exact"/>
        <w:rPr>
          <w:sz w:val="20"/>
          <w:szCs w:val="20"/>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its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its interpretation of data from nonclinical studies or clinical trials;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its product candidates to obtain regulatory approval;</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facilities of third-party manufacturers with whom Gemini contract for clinical and commercial supplies; or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its nonclinical and clinical data insufficient for approval.</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108" w:lineRule="exact"/>
        <w:rPr>
          <w:sz w:val="20"/>
          <w:szCs w:val="20"/>
          <w:color w:val="auto"/>
        </w:rPr>
      </w:pPr>
    </w:p>
    <w:p>
      <w:pPr>
        <w:jc w:val="both"/>
        <w:ind w:left="1320" w:right="459" w:hanging="434"/>
        <w:spacing w:after="0" w:line="261" w:lineRule="auto"/>
        <w:tabs>
          <w:tab w:leader="none" w:pos="1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allowance of additional IND applications that may be required;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its clinical trials and nonclinical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its ongoing nonclinical studies;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CROs to perform under these agreements, including due to impacts from the COVID-19 pandemic on their workforce;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trials, for example delays in the manufacturing of sufficient supply of finished drug product;</w:t>
      </w:r>
    </w:p>
    <w:p>
      <w:pPr>
        <w:spacing w:after="0" w:line="72" w:lineRule="exact"/>
        <w:rPr>
          <w:rFonts w:ascii="Times New Roman" w:cs="Times New Roman" w:eastAsia="Times New Roman" w:hAnsi="Times New Roman"/>
          <w:sz w:val="17"/>
          <w:szCs w:val="17"/>
          <w:color w:val="auto"/>
        </w:rPr>
      </w:pPr>
    </w:p>
    <w:p>
      <w:pPr>
        <w:ind w:left="1320" w:right="459" w:hanging="434"/>
        <w:spacing w:after="0" w:line="282" w:lineRule="auto"/>
        <w:tabs>
          <w:tab w:leader="none" w:pos="1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ethics committee or Institutional Review Board, or IRB, approval to conduct a clinical study at a prospective site or sites;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subjects in a clinical trial;</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decide, or regulatory authorities may require us, to conduct additional nonclinical or clinical trials or abandon product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or inability to validate, any endpoints utilized in a clinical trial;</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16" w:lineRule="exact"/>
        <w:rPr>
          <w:sz w:val="20"/>
          <w:szCs w:val="20"/>
          <w:color w:val="auto"/>
        </w:rPr>
      </w:pPr>
    </w:p>
    <w:p>
      <w:pPr>
        <w:ind w:left="1320" w:right="479" w:hanging="434"/>
        <w:spacing w:after="0" w:line="282" w:lineRule="auto"/>
        <w:tabs>
          <w:tab w:leader="none" w:pos="151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its clinical protocols;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safety signals, including any that could be identified in its ongoing nonclinical studies or clinical trials, adverse side effects or lack of effectiveness;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clinical trials.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its ability to profitably sell its product candidates, if approved.</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United States and many foreign jurisdictions has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2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has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2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21" w:lineRule="exact"/>
        <w:rPr>
          <w:sz w:val="20"/>
          <w:szCs w:val="20"/>
          <w:color w:val="auto"/>
        </w:rPr>
      </w:pPr>
    </w:p>
    <w:p>
      <w:pPr>
        <w:jc w:val="both"/>
        <w:ind w:left="1320" w:right="459" w:hanging="434"/>
        <w:spacing w:after="0" w:line="256" w:lineRule="auto"/>
        <w:tabs>
          <w:tab w:leader="none" w:pos="151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and civil monetary penalty laws, including the federal False Claims Act, which can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0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12" w:lineRule="exact"/>
        <w:rPr>
          <w:sz w:val="20"/>
          <w:szCs w:val="20"/>
          <w:color w:val="auto"/>
        </w:rPr>
      </w:pPr>
    </w:p>
    <w:p>
      <w:pPr>
        <w:ind w:left="1320" w:right="479" w:hanging="434"/>
        <w:spacing w:after="0" w:line="282" w:lineRule="auto"/>
        <w:tabs>
          <w:tab w:leader="none" w:pos="158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Gemini conduct post-marketing studies;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its ability to commercialize its products and generate revenue.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has a material adverse effect on its business, financial condition and results of operations.</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95" w:lineRule="exact"/>
        <w:rPr>
          <w:sz w:val="20"/>
          <w:szCs w:val="20"/>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GEM103 and other product candidates for which Gemini intends to seek approval as biologic products may face competition sooner than anticipated.</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has a material adverse effect on the future commercial prospects for its biological products.</w:t>
      </w:r>
    </w:p>
    <w:p>
      <w:pPr>
        <w:spacing w:after="0" w:line="11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Intellectual Property”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6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5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7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8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95" w:lineRule="exact"/>
        <w:rPr>
          <w:sz w:val="20"/>
          <w:szCs w:val="20"/>
          <w:color w:val="auto"/>
        </w:rPr>
      </w:pPr>
    </w:p>
    <w:p>
      <w:pPr>
        <w:jc w:val="both"/>
        <w:ind w:left="1320" w:right="479" w:hanging="434"/>
        <w:spacing w:after="0" w:line="261" w:lineRule="auto"/>
        <w:tabs>
          <w:tab w:leader="none" w:pos="133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7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addition, although Gemini enters into non-disclosure and confidentiality agreements with parties who have access to patentable aspects of our research and development output, such as our employees, outside scientific collaborators,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be unable to obtain intellectual property rights or technology necessary to develop and commercialize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Disputes may also arise between Gemini and Sanquin Blood Supply Foundation, as well as any future potential licensors, regarding intellectual property subject to a license agreement, including:</w:t>
      </w:r>
    </w:p>
    <w:p>
      <w:pPr>
        <w:spacing w:after="0" w:line="94" w:lineRule="exact"/>
        <w:rPr>
          <w:sz w:val="20"/>
          <w:szCs w:val="20"/>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its technology and processes infringe on intellectual property of the licensor that is not subject to the licensing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right to sublicense patent and other rights to third parties under collaborative development relationships;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its licensors and us and its partners;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its competitive position on its product candidates for an adequate amount of time.</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not be able to protect its intellectual property rights throughout the world.</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9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1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2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inability to protect its confidential information and trade secrets would harm its business and competitive position.</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08" w:lineRule="exact"/>
        <w:rPr>
          <w:sz w:val="20"/>
          <w:szCs w:val="20"/>
          <w:color w:val="auto"/>
        </w:rPr>
      </w:pPr>
    </w:p>
    <w:p>
      <w:pPr>
        <w:jc w:val="both"/>
        <w:ind w:left="1320" w:right="459" w:hanging="434"/>
        <w:spacing w:after="0" w:line="266" w:lineRule="auto"/>
        <w:tabs>
          <w:tab w:leader="none" w:pos="13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file patent applications covering certain of its or their inventions;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its technologies without infringing its owned or licensed intellectual property rights;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Gemini’s pending patent applications or those that it may own in the future will not lead to issued patents;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Gemini holds rights to may be held invalid or unenforceable, including as a result of legal challenges by its competitors;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not develop additional proprietary technologies that are patentable;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its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choose not to file a patent application in order to maintain certain trade secrets or know-how, and a third party may subsequently file a patent covering such intellectual property.</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its business, financial condition, results of operations and prospects.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that ultimately issue that cover its product candidates could be found invalid or unenforceable if challenged in court or the USPTO.</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its ability to protect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Reliance on Third Parties”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will depend upon third parties, including independent investigators, to conduct its clinical trials under agreements with universities, medical institutions, CROs, strategic partners and others. Gemini expects to has to negotiate budgets and contracts with CROs and trial sites, which may result in delays to its development timelines and increased costs.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manufacturing facilities. Gemini currently relies, and expect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27" w:lineRule="exact"/>
        <w:rPr>
          <w:sz w:val="20"/>
          <w:szCs w:val="20"/>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7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72"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Commercialization”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12" w:lineRule="exact"/>
        <w:rPr>
          <w:sz w:val="20"/>
          <w:szCs w:val="20"/>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 as demonstrated in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clinics and patients;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its product candidates.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Gemini may develop and insurance coverage may not be adequate.</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21" w:lineRule="exact"/>
        <w:rPr>
          <w:sz w:val="20"/>
          <w:szCs w:val="20"/>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Gemini may develop;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its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its business operations;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Gemini may develop;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its stock price.</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FS Development and the Business Combination</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FS Development and Combination”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Sponsor, directors and officers have interests in the Business Combination which may be different from or in addition to (and which may conflict with) the interests of its stockholders.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Development’s Sponsor, officers and directors and their respective affiliates and associates have interests in and arising from the Business Combination that are different from, or in addition to, (and which may conflict with) the interests of FS Development’s public stockholders, which could result in a real or perceived conflict of interest. These interests include, among other things, the interests listed below:</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 .</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our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39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our Sponsor would be entitled to the repayment of any working capital loan and advances that have been made to FS Development and remain outstanding. As of the date of this proxy statement/prospectus, our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our Sponsor or certain of our officers and directors to finance transaction costs in connection with an intended initial business combination.</w:t>
      </w:r>
    </w:p>
    <w:p>
      <w:pPr>
        <w:spacing w:after="0" w:line="11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These financial interests of the Sponsor as well as FS Development’s directors and officers may have influenced their motivation in identifying and selecting Gemini as a business combination target, and their decision to approve the Business Combination. In considering the recommendations of the Board to vote for the proposals, its stockholders should consider these interests.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FS Development’s affiliates to purchase, directly or indirectly, Public Shares will increase the likelihood of approval of the Business Combination Proposal and the other Proposals and may affect the market price of the FS Development’s securities.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Sponsor, directors, officers, advisors or their affiliates may purchase shares in privately negotiated transactions either prior to or following the Closing, although they are under no obligation to do so. None of FS Development’s Sponsor, directors, officers, advisors or their affiliates will make any such purchases when such parties are in possession of any material non-public information not disclosed to the seller or during a restricted period under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Regulation M under the Exchange Act. Although none of FS Development’s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FS Development’s Sponsor, directors, officers, advisors or their affiliates, or the price such parties may pay, subject to compliance with applicable law and Nasdaq rules.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FS Development’s securities. In addition, the termination of the support provided by these purchases may materially adversely affect the market price of FS Development’s securities. In addition, if such purchases are made, the public “float” of FS Development Class A Common Stock and the number of beneficial holders of FS Development Class A Common Stock may be reduced, possibly making it difficult to obtain or maintain the quotation, listing or trading of FS Development Class A Common Stock on a national securities exchange.</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 than as expressly stated herein, there are no current commitments, plans or intentions to engage in any such transactions and no terms or conditions for any such transaction have been formulated. None of the funds in the Trust Account will be used to purchase shares in such transactions.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 did not obtain an opinion from an independent investment banking or accounting firm, and consequently, there can be no assurance from an independent source that the price FS Development is paying for is fair to FS Development from a financial point of view.</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is not required to obtain an opinion from an independent investment banking or accounting firm that the price FS Development is paying in connection with the Business Combination is fair to FS Development from a financial point of view. The Board did not obtain a third-party valuation or fairness opinion in connection with its initial determination to approve and recommend the Business Combination. Accordingly, investors will be relying solely on the judgment of the Board in valuing Gemini’s business, and assuming the risk that the Board may not have properly valued the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FS Development’s public stockholders vote.</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pursuant to the Parent Support Agreement, have agreed, among other things, to vote their shares in favor of the Business Combination. Our initial stockholders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own approximately % of our outstanding shares prior to the Business Combination. As a result, FS Development would need only , or approximately %, of the shares of FS Development Common</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Stock to be voted in favor of the Business Combination in order to have the Business Combination approved. Accordingly, it is more likely that the necessary stockholder approval will be received than would be the case if the Sponsor agreed to vote its Founders Shares in accordance with the majority of the votes cast by FS Development’s public stockholders.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 has no operating history and is subject to a mandatory liquidation and subsequent dissolution requirement. If FS Development is unable to consummate a business combination, including the Business Combination, its public stockholders may be forced to wait more than 24 months before receiving distributions from the Trust Account.</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is a development stage blank check company, and it has no operating history and is subject to a mandatory liquidation and subsequent dissolution requirement. FS Development has until August 14, 2022 to complete a business combination. FS Development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FS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Development. Only after the expiration of this full time period will public stockholders be entitled to distributions from the Trust Account if FS Development is unable to complete a business combination. Accordingly, investors’ funds may be unavailable to them until after such date and to liquidate their investment, public security holders may be forced to sell their Public Shares, potentially at a loss.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the Combined Entity’s only significant asset will be ownership of 100% of Gemini and such ownership may not be sufficient to pay dividends or make distributions or loans to enable it to pay any dividends on its Common Stock.</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Closing, the Combined Entity will have no direct operations and no significant assets other than the ownership of 100% of Gemini. The Combined Entity will depend on Gemini for distributions, loans and other payments to generate the funds necessary to meet the Combined Entity’s financial obligations, including expenses related to operating as a publicly traded company, and to pay any dividends with respect to its Common Stock. In addition, there are legal and contractual restrictions in agreements governing current and future indebtedness of Gemini under its loan and security agreement with SVB. The earnings from, or other available assets of, Gemini, may not be sufficient to pay dividends or make distributions or loans to enable the Combined Entity to pay any dividends on its Common Stock.</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Closing, FS Development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Although FS Development has conducted due diligence on Gemini, FS Development cannot assure you that this diligence revealed all material issues that may be present in Gemini’s business, that it would be possible to uncover all material issues through a customary amount of due diligence, or that factors outside of FS Development’s and Gemini’s control will not later arise. As a result, FS Development may be forced to later write-down or write-off assets, restructure its operations, or incur impairment or other charges that could result in losses. Even if FS Development’s due diligence successfully identifies certain risks, unexpected risks may arise and previously known risks may materialize in a manner not consistent with FS Development’s preliminary risk analysis. Even though these charges may be non-cash items and may not have an immediate impact on FS Development’s liquidity, the fact that FS Development reports charges of this nature could contribute to negative market perceptions about the Combined Entity’s or FS Development’s securities. In addition, charges of this nature may cause FS Development to be unable to obtain future financing on favorable terms or at all. Accordingly, any FS Development stockholder who chooses to remain a stockholder of the Combined Entity following the Business Combination could suffer a reduction in the value of their shares. Such stockholders are unlikely to have a remedy for such reduction in value unless they are able to successfully claim that the reduction was due to the breach by FS Development’s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condensed combined financial information included in this proxy statement/prospectus may not be indicative of what FS Development’s actual financial position or results of operations would have been.</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proxy statement/prospectus is presented for illustrative purposes only and is not necessarily indicative of what FS Development’s actual financial position or results of operations would have been had the Business Combination been completed on the dates indicated. See the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FS Development or if FS Development files a bankruptcy petition or an involuntary bankruptcy petition is filed against FS Development that is not dismissed, the proceeds held in trust could be reduced and the per-share redemption price received by stockholders may be less than $10.00 (which was the offering price in our initial public offering).</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placing of funds in trust may not protect those funds from third party claims against FS Development. Although FS Development will seek to have all vendors and service providers (except for our independent registered public accounting firm) FS Development engages and prospective target businesses FS Development negotiates with execute agreements with FS Development waiving any right, title, interest or claim of any kind in or to any monies held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Trust Account for the benefit of FS Development’s public stockholders, they may not execute such agreements. Furthermore, even if such entities execute such agreements with FS Development, they may seek recourse against the Trust Account. Additionally, a court may not uphold the validity of such agreements. Accordingly, the proceeds held in trust could be subject to claims which could take priority over those of FS Development’s public stockholders.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if FS Development is forced to file a bankruptcy case or an involuntary bankruptcy case is filed against FS Development’s which is not dismissed, the proceeds held in the Trust Account could be subject to applicable bankruptcy law, and may be included in FS Development’s bankruptcy estate and subject to the claims of third parties with priority over the claims of FS Development’s stockholders. To the extent any bankruptcy claims deplete the Trust Account, FS Development may not be able to return to FS Development’s public stockholders at least $10.00 (which was the offering price in our initial public offering). As a result, if any such claims were successfully made against the Trust Account, the funds available for FS Development’s initial business combination, including the Business Combination, and redemptions could be reduced to less than $10.00 per Public Share.</w:t>
      </w:r>
    </w:p>
    <w:p>
      <w:pPr>
        <w:spacing w:after="0" w:line="11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may be held liable for claims by third parties against FS Development to the extent of distributions received by them.</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Current Charter provides that FS Development will continue in existence only until April 14, 2022. If FS Development has not completed a business combination by such date, FS Development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FS Development is forced to file a bankruptcy case or an involuntary bankruptcy case is filed against FS Development which is not dismissed, any distributions received by stockholders could be viewed under applicable debtor/creditor and/or bankruptcy laws as either a “preferential transfer” or a “fraudulent conveyance.” As a result, a bankruptcy court could seek to recover all amounts received by FS Development’s stockholders. Furthermore, because FS Development intends to distribute the proceeds held in the Public Shares to FS Development’s public stockholders promptly after expiration of the time FS Development has to complete an initial business combination, this may be viewed or interpreted as giving preference to FS Development’s public stockholders over any potential creditors with respect to access to or distributions from FS Development’s assets. Furthermore, the Board may be viewed as having breached their fiduciary duties to FS Development’s creditors and/or may have acted in bad faith, and thereby exposing itself and FS Development to claims of punitive damages, by paying public stockholders from the Trust Account prior to addressing the claims of creditors. FS Development cannot assure you that claims will not be brought against it for these reasons.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FS Development’s ability to successfully effect the Business Combination and to be successful thereafter will be totally dependent upon the efforts of its key personnel, including Gemini’s key personnel, all of whom are expected to join FS Development following the Business Combination. While FS Development intends to closely scrutinize any individuals it engages after the Business Combination, it cannot assure you that its assessment of these individuals will prove to be correct.</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ability to successfully effect the Business Combination is dependent upon the efforts of FS Development’s key personnel, including key personnel of Gemini. Although FS Development expects all of such key personnel to remain with Gemini following the Business Combination, it is possible that FS Development will lose some key personnel, the loss of which could negatively impact the operations and profitability of the Combined Entity. While FS Development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FS Development to have to expend time and resources helping them become familiar with such requirements. This could be expensive and time-consuming and could lead to various regulatory issues which may adversely affect its operations. Additionally, FS Development</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cannot assure you that FS Development will be successful in integrating and retaining such key personnel, or in identifying and recruiting additional key individuals FS Development determines may be necessary following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FS Development’s securities may not continue, which would adversely affect the liquidity and price of its securities.</w:t>
      </w:r>
    </w:p>
    <w:p>
      <w:pPr>
        <w:spacing w:after="0" w:line="9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the price of FS Development’s securities may fluctuate significantly due to the market’s reaction to the Business Combination and general market and economic conditions. An active trading market for FS Development’s securities following the Business Combination may never develop or, if developed, it may not be sustained. In addition, the price of FS Development’s securities after the Business Combination can vary due to general economic conditions and forecasts, FS Development’s general business condition and the release of FS Development’s financial reports. Additionally, if FS Development’s securities are not listed on, or become delisted from the Nasdaq for any reason, and are quoted on the OTC Bulletin Board, an inter-dealer automated quotation system for equity securities that is not a national securities exchange, the liquidity and price of FS Development’s securities may be more limited than if FS Development were quoted or listed on the NYSE American, LLC, the Nasdaq or another national securities exchange. You may be unable to sell your securities unless a market can be established or sustained.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FS Development will be able to comply with the continued listing standards of the Nasdaq.</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Class A Common Stock is expected to be listed on Nasdaq following the Business Combination. FS Development’s continued eligibility for listing may depend on the number of shares that are redeemed. If, after the Business Combination, the Nasdaq delists FS Development’s securities from trading on its exchange for failure to meet the listing standards, FS Development and its stockholders could face significant material adverse consequences including:</w:t>
      </w:r>
    </w:p>
    <w:p>
      <w:pPr>
        <w:spacing w:after="0" w:line="102" w:lineRule="exact"/>
        <w:rPr>
          <w:sz w:val="20"/>
          <w:szCs w:val="20"/>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FS Development’s securities;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FS Development Class A Common Stock is a “penny stock” which will require brokers trading in its FS Development Class A Common Stock to adhere to more stringent rules, possibly resulting in a reduced level of trading activity in the secondary trading market for FS Development Class A Common Stock;</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w:t>
      </w:r>
    </w:p>
    <w:p>
      <w:pPr>
        <w:spacing w:after="0" w:line="27" w:lineRule="exact"/>
        <w:rPr>
          <w:sz w:val="20"/>
          <w:szCs w:val="20"/>
          <w:color w:val="auto"/>
        </w:rPr>
      </w:pPr>
    </w:p>
    <w:p>
      <w:pPr>
        <w:jc w:val="both"/>
        <w:ind w:left="460" w:right="459" w:hanging="6"/>
        <w:spacing w:after="0" w:line="251" w:lineRule="auto"/>
        <w:tabs>
          <w:tab w:leader="none" w:pos="7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FS Development’s securities may decline.</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benefits of the Business Combination do not meet the expectations of investors or securities analysts, the market price of FS Development’s securities prior to the Closing may decline. The market values of FS Development’s securities at the time of the Business Combination may vary significantly from their prices on the date the Merger Agreement was executed, the date of this proxy statement/prospectus, or the date on which FS Development’s stockholders vote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the Business Combination. Because the number of shares to be issued pursuant to the Merger Agreement is fixed and will not be adjusted to reflect any changes in the market price of FS Development Class A Common Stock, the market value of FS Development stock issued in the Business Combination may be higher or lower than the value of these shares on an earlier date.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following the Business Combination, fluctuations in the price of FS Development’s securities could contribute to the loss of all or part of your investment. Accordingly, the valuation ascribed to Gemini and FS Development Class A Common Stock in the Business Combination may not be indicative of the actual price that will prevail in the trading market following the Business Combination. If an active market for FS Development’s Class A Common Stock develops and continues, the trading price of FS Development’s Class A Common Stock following the Business Combination could be volatile and subject to wide fluctuations in response to various factors, some of which are beyond FS Development’s control. Any of the factors listed below could have a material adverse effect on your investment in FS Development’s Class A Common Stock and FS Development’s Class A Common Stock may trade at prices significantly below the price you paid for them. In such circumstances, the trading price of FS Development’s Class A Common Stock may not recover and may experience a further decline.</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Factors affecting the trading price of the Combined Entity’s securities following the Business Combination may include:</w:t>
      </w:r>
    </w:p>
    <w:p>
      <w:pPr>
        <w:spacing w:after="0" w:line="81" w:lineRule="exact"/>
        <w:rPr>
          <w:sz w:val="20"/>
          <w:szCs w:val="20"/>
          <w:color w:val="auto"/>
        </w:rPr>
      </w:pPr>
    </w:p>
    <w:p>
      <w:pPr>
        <w:ind w:left="1320" w:right="479" w:hanging="434"/>
        <w:spacing w:after="0" w:line="282" w:lineRule="auto"/>
        <w:tabs>
          <w:tab w:leader="none" w:pos="13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Combined Entity’s quarterly financial results or the quarterly financial results of companies perceived to be similar to the Combined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Combined Entity’s operating results;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operating results failing to meet the expectation of securities analysts or investors in a particular period;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Combined Entity or the market in general;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Combined Entity;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ability to develop product candidates;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Combined Entity’s business, including any changes that affect development of Gemini’s product candidates, including GEM103, Gemini’s lead product candidate;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Combined Entity;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Combined Entity’s capital structure, such as future issuances of securities or the incurrence of additional debt;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Combined Entity’s securities available for public sale;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FS Development’s directors, executive officers or significant stockholders or the perception that such sales could occur;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Combined Entity’s securities irrespective of its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the Combined Entity’s securities, may not be predictable. A loss of investor confidence in the market for biopharmaceutical stocks or the stocks of other companies which investors perceive to be similar to the Combined Entity could depress the Combined Entity’s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price regardless of the Combined Entity’s business, prospects, financial conditions or results of operations. A decline in the market price of the Combined Entity’s securities also could adversely affect the Combined Entity’s ability to issue additional securities and the Combined Entity’s ability to obtain additional financing in the future.</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Business Combination, if securities or industry analysts do not publish or cease publishing research or reports about the Combined Entity, its business, or its market, or if they change their recommendations regarding the Combined Entity’s securities adversely, the price and trading volume of the Combined Entity’s securities could decline.</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trading market for the Combined Entity’s securities will be influenced by the research and reports that industry or securities analysts may publish about FS Development, its business, its market, or its competitors. Securities and industry analysts do not currently, and may never, publish research on FS Development or the Combined Entity. Because the Business Combination will result in Gemini being acquired by a special purpose acquisition company, research coverage from industry analysts may be limited. If no securities or industry analysts commence coverage of the Combined Entity, FS Development’s stock price and trading volume could be negatively impacted. If any of the analysts who may cover the Combined Entity change their recommendation regarding FS Development’s stock adversely, provide more favorable relative recommendations about FS Development’s competitors or publishes inaccurate or unfavorable research about the Combined Entity’s business, the price of the Combined Entity’s securities would likely decline. If any analyst who may cover the Combined Entity were to cease coverage of the Combined Entity or fail to regularly publish reports on it, FS Development could lose visibility in the financial markets, demand for the Combined Entity’s securities could decrease, which could cause its stock price or trading volume to decline.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sales of shares by existing stockholders and future exercise of registration rights may adversely affect the market price of the Combined Entity’s common stock.</w:t>
      </w:r>
    </w:p>
    <w:p>
      <w:pPr>
        <w:spacing w:after="0" w:line="9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the Combined Entity’s common stock in the public market could occur at any time. If the Combined Entity’s stockholders sell, or the market perceives that the Combined Entity’s stockholders intend to sell, substantial amounts of the Combined Entity’s common stock in the public market, the market price of the Combined Entity’s common stock could decline.</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to be entered into in connection with the Business Combination,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the Combined Entity’s securities.</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Development’s public stockholders will experience immediate dilution as a consequence of, among other transactions, the issuance of FS Development Class A Common Stock as consideration in the Business Combination and the PIPE Investment. Having a minority share position may reduce the influence that FS Development’s current stockholders have on the management of the Combined Entity.</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FS Development’s existing stockholders in the Combined Entity will be different.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Entity expects to incur significant additional costs as a result of being a public company, which may adversely affect its operating results and financial condition.</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Combined Entity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the Combined Entity expects these rules and regulations are expected to increase its accounting, legal and financial compliance costs and make some activities more time-consuming and costly. In addition, the Combined Entity will incur additional costs associated with its public company reporting requirements and the Combined Entity expects those costs to increase in the future. For example, the Combined Entity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date, the Combined Entity has not conducted a review of its internal control for the purpose of providing the reports required by these rules. During its review and testing, the Combined Entity may identify deficiencies and be unable to remediate them before the Combined Entity must provide the required reports. Furthermore, if the Combined Entity fails to remediate its existing material weakness in its internal control over financial reporting or if new material weaknesses are identified or arise in the future, the Combined Entity may not detect errors on a timely basis and its consolidated financial statements may be materially misstated. the Combined Entity or its independent registered public accounting firm may not be able to conclude on an ongoing basis that the Combined Entity has effective internal control over financial reporting, which could harm its operating results, cause investors to lose confidence in its reported financial information and cause the trading price of its stock to fall. In addition, as a public company the Combined Entity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The Combined Entity will incur significant costs to remediate any material weaknesses the Combined Entity identifies through these efforts. The increased costs will increase its net loss and may require us to reduce costs in other areas of its business or increase the prices of its products or services. The Combined Entity also expects these rules and regulations to make it more expensive for us to maintain directors’ and officers’ liability insurance and the Combined Entity may be required to accept reduced policy limits and coverage or incur substantially higher costs to obtain the same or similar coverage. As a result, it may be more difficult for the Combined Entity to attract and retain qualified persons to serve on its board of directors, its board committees, or as executive officers. The Combined Entity cannot predict or estimate the amount of additional costs the Combined Entity may incur or the timing of such costs.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the Combined Entity responds to their requirements, which may adversely affect its operating results and financial condition.</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Proposed Charter and the Amended By-laws, as well as provisions of Delaware law, could impair a takeover attempt.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Proposed Charter will contain provisions that may discourage unsolicited takeover proposals that stockholders may consider to be in their best interests. FS Development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the Combined Entity’s stockholders. These provisions provide for, among other things:</w:t>
      </w:r>
    </w:p>
    <w:p>
      <w:pPr>
        <w:spacing w:after="0" w:line="93" w:lineRule="exact"/>
        <w:rPr>
          <w:sz w:val="20"/>
          <w:szCs w:val="20"/>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a three-year staggered term;</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Entity’s board of directors to issue one or more series of “blank check” preferred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the Combined Entity’s annual meetings;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3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the organizational documents only by the affirmative vote of at least two-thirds of the Combined Entity’s then-outstanding shares of capital stock entitled to vote generally at an election of directors.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anti-takeover provisions as well as certain provisions of Delaware law could make it more difficult for a third party to acquire the Combined Entity, even if the third party’s offer may be considered beneficial by many of the Combined Entity’s stockholders. As a result, the Combined Entity’s stockholders may be limited in their ability to obtain a premium for their shares. If prospective takeovers are not consummated for any reason, the Combined Entity may experience negative reactions from the financial markets, including negative impacts on the price of the Combined Entity common stock. These provisions could also discourage proxy contests and make it more difficult for the Combined Entity’s stockholders to elect directors of their choosing and to cause the Combined Entity to take other corporate actions that the Combined Entity’s stockholders desire. For more information, see “Charter Amendment Proposal.”</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is subject to conditions, including certain conditions that may not be satisfied on a timely basis, if at all.</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completion of the Business Combination is subject to a number of conditions. The completion of the Business Combination is not assured and is subject to risks, including the risk that approval of the Business Combination by FS Development stockholders is not obtained or that there are not sufficient funds in the Trust Account, in each case subject to certain terms specified in the Merger Agreement (as described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 or that other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not satisfied. If FS Development does not complete the Business Combination, it could be subject to several risks, including:</w:t>
      </w:r>
    </w:p>
    <w:p>
      <w:pPr>
        <w:spacing w:after="0" w:line="108" w:lineRule="exact"/>
        <w:rPr>
          <w:sz w:val="20"/>
          <w:szCs w:val="20"/>
          <w:color w:val="auto"/>
        </w:rPr>
      </w:pPr>
    </w:p>
    <w:p>
      <w:pPr>
        <w:ind w:left="1320" w:right="479" w:hanging="434"/>
        <w:spacing w:after="0" w:line="282" w:lineRule="auto"/>
        <w:tabs>
          <w:tab w:leader="none" w:pos="13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be liable for damages to one another under the terms and conditions of the Merger Agreement;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 of FS Development’s Class A Common Stock due to the fact that current prices may reflect a market assumption that the Business Combination will be completed;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FS Development’s management will have been diverted to the Business Combination rather than the pursuit of other opportunities in respect of an initial business combination.</w:t>
      </w:r>
    </w:p>
    <w:p>
      <w:pPr>
        <w:spacing w:after="0" w:line="93"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 or Gemini may waive one or more of the closing conditions without re-soliciting stockholder approval.</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conditions to FS Development’s or Gemini’s obligations to complete the Business Combination may be waived, in whole or in part, to the extent legally allowed, either unilaterally or by agreement of FS Development and Gemini. In the event of a waiver of a condition, the Board will evaluate the materiality of any such waiver to determine whether amendment of this proxy statement/prospectus and re-solicitation of proxies is necessary. In the event that the Board determines any such waiver is not significant enough to require re-solicitation of its stockholders, it will have the discretion to complete the Business Combination without seeking further stockholder approval.</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“The Business Combination Proposal — The Merger Agreement — Conditions to Closing.”</w:t>
      </w:r>
    </w:p>
    <w:p>
      <w:pPr>
        <w:spacing w:after="0" w:line="15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Amended By-laws will provide that the Court of Chancery of the State of Delaware and the federal district courts of the District of Massachusetts will be the exclusive forums for substantially all disputes between the Combined Entity and its stockholders, which could limit the Combined Entity’s stockholders’ ability to obtain a favorable judicial forum for disputes with the Combined Entity or its directors, officers, or employees.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Amended By-laws will provide that the Court of Chancery of the State of Delaware is the exclusive forum for:</w:t>
      </w:r>
    </w:p>
    <w:p>
      <w:pPr>
        <w:spacing w:after="0" w:line="94" w:lineRule="exact"/>
        <w:rPr>
          <w:sz w:val="20"/>
          <w:szCs w:val="20"/>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its behalf;</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1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arising under the Delaware General Corporation Law, the Proposed Charter, or the Amended By-laws;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Proposed Charter or the Amended By-laws;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that is governed by the internal-affairs doctrine.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Amended By-laws provides that the federal district courts of the District of Massachusetts will be the exclusive forum for resolving any complaint asserting a cause of action arising under the Securities Act.</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the Combined Entity or its directors, officers, or other employees, which may discourage lawsuits against the Combined Entity and its directors, officers, and other employees. If a court were to find either exclusive-forum provision in the Amended By-laws to be inapplicable or unenforceable in an action, it may incur additional costs associated with resolving the dispute in other jurisdictions, which could harm the Combined Entity’s business.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and Gemini intend for the Business Combination to be treated for U.S. federal income tax purposes as a reorganization within the meaning of Section 368(a) of the Code. However, neither FS Development nor Gemini has requested, or intends to request, an opinion of tax counsel or a ruling from the Internal Revenue Service, or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 For a more complete discussion of U.S. federal income tax consequences of the Business Combination, see the section titled “</w:t>
      </w:r>
      <w:r>
        <w:rPr>
          <w:rFonts w:ascii="Times New Roman" w:cs="Times New Roman" w:eastAsia="Times New Roman" w:hAnsi="Times New Roman"/>
          <w:sz w:val="18"/>
          <w:szCs w:val="18"/>
          <w:i w:val="1"/>
          <w:iCs w:val="1"/>
          <w:color w:val="auto"/>
        </w:rPr>
        <w:t>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Business Combination to Gemini Equityholders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Redemption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the Redemption”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stockholders of which you are a part are deemed to hold an aggregate of 20.0% or more of FS Development Class A Common Stock issued in the FS Development IPO, you (or, if a member of such a group, all of the members of such group in the aggregate) will lose the ability to redeem all such shares of 20.0% or more of FS Development Class A Common Stock issued in the FS Development IPO.</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20% or more of the shares of FS Development Class A Common Stock issued in the FS Development IPO. FS Development refers to such shares in excess of an aggregation of 20% or more of the shares issued in the FS Development IPO as “Unredeemable Shares.” In order to determine whether a stockholder is acting in concert or as a group with another stockholder, FS Development will require each public stockholder seeking to exercise redemption rights to certify to FS Development whether such stockholder is acting in concert or as a group with any other stockholder. Such certifications, together with other public information relating to stock ownership available to FS Development at that time, such as Section 13D, Section 13G and Section 16 filings under the Exchange Act, will be the sole basis on which FS Development makes the above-referenced determination. Your inability to redeem any Unredeemable Shares will reduce your influence over FS Development’s ability to</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consummate the Business Combination and you could suffer a material loss on your investment in FS Development if you sell Unredeemable Shares in open market transactions. Additionally, you will not receive redemption distributions with respect to the Unredeemable Shares if FS Development consummates the Business Combination. As a result, in order to dispose of such shares, you would be required to sell your stock in open market transactions, potentially at a loss. Notwithstanding the foregoing, stockholders may challenge FS Development’s determination as to whether a stockholder is acting in concert or as a group with another stockholder in a court of competent jurisdiction.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FS Development’s share price, and may result in a lower value realized now for a stockholder redeeming their shares than a stockholder of FS Development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FS Development’s stockholders fail to comply with the redemption requirements specified in this proxy statement/prospectus, they will not be entitled to redeem their shares of FS Development Class A Common Stock for a pro rata portion of the funds held in the Trust Account.</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Holders of Public Shares are required to submit a request in writing and deliver their stock (either physically or electronically) to FS Development’s transfer agent at least two (2) business days prior to the Special Meeting in order to exercise their rights to redeem their shares for a pro rata portion of the Trust Account. Stockholders electing to redeem their shares will receive their pro rata portion of the aggregate amount then on deposit in the Trust Account, including interest earned on the funds held in the Trust Account and not previously released to it to pay the Company’s franchise and income taxes, calculated as of two (2) business days prior to the anticipated Closing.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FS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Redemption Rights,</w:t>
      </w:r>
      <w:r>
        <w:rPr>
          <w:rFonts w:ascii="Times New Roman" w:cs="Times New Roman" w:eastAsia="Times New Roman" w:hAnsi="Times New Roman"/>
          <w:sz w:val="18"/>
          <w:szCs w:val="18"/>
          <w:color w:val="auto"/>
        </w:rPr>
        <w:t>” tender their certificates to FS Development’s transfer agent or deliver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the transfer agent electronically through the Depository Trust Company, or DTC, at least two (2) business days prior to the Special Meeting. In order to obtain a physical stock certificate, a stockholder’s broker and/or clearing broker, DTC and FS Development’s transfer agent will need to act to facilitate this request. It is FS Development’s understanding that stockholders should generally allot at least two (2) weeks to obtain physical certificates from the transfer agent. However, because FS Development does not have any control over this process or over the brokers or DTC, it may take significantly longer than two (2)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FS Development’s strategic plan could be negatively impacted to the extent a significant number of stockholders choose to redeem their shares in connection with the Business Combination.</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the aggregate cash consideration FS Development would be required to pay for all shares of FS Development Class A Common Stock that are validly submitted for redemption plus any amount required to satisfy cash conditions pursuant to the terms of the Merger Agreement exceeds the aggregate amount of cash available to FS Development, FS Development may be required to increase the financial leverage FS Development’s business would have to support. This may negatively impact FS Development’s ability to execute on its own future strategic plan.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Forward-looking statements provide FS Development’s and Gemini’s current expectations or forecasts of future events. Forward-looking statements include statements about FS Development’s and Gemini’s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FS Development in this proxy statement/prospectus include, but are not limited to, statements about FS Development’s:</w:t>
      </w:r>
    </w:p>
    <w:p>
      <w:pPr>
        <w:spacing w:after="0" w:line="121" w:lineRule="exact"/>
        <w:rPr>
          <w:sz w:val="20"/>
          <w:szCs w:val="20"/>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complete an initial business combination, including the Business Combination;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Closing conditions to the Business Combination, including approval by the stockholders of FS Development and the availability of at least $170 million of cash from the proceeds received from the PIPE Investment and in the Trust Account, after giving effect to redemptions of Public Shares, if any;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following the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 following an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allocating their time to other businesses and potentially having conflicts of interest with Gemini’s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securities’ potential liquidity and trading;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not held in the Trust Account;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the outcome of any known and unknown litigation.</w:t>
      </w:r>
    </w:p>
    <w:p>
      <w:pPr>
        <w:spacing w:after="0" w:line="15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Forward-looking statements relating to Gemini and the Combined Entity following the Closing in this proxy statement/prospectus include, but are not limited to, statements about:</w:t>
      </w:r>
    </w:p>
    <w:p>
      <w:pPr>
        <w:spacing w:after="0" w:line="81" w:lineRule="exact"/>
        <w:rPr>
          <w:sz w:val="20"/>
          <w:szCs w:val="20"/>
          <w:color w:val="auto"/>
        </w:rPr>
      </w:pPr>
    </w:p>
    <w:p>
      <w:pPr>
        <w:jc w:val="both"/>
        <w:ind w:left="1320" w:right="479" w:hanging="434"/>
        <w:spacing w:after="0" w:line="282" w:lineRule="auto"/>
        <w:tabs>
          <w:tab w:leader="none" w:pos="147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Gemini’s clinical trials to demonstrate acceptable safety and efficacy of Gemini’s product candidates, including GEM103, Gemini’s lead product candidate, and other positive results;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2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will become available, and Gemini’s research and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obtain marketing approvals of its product candidates and to meet existing or future regulatory standards or comply with post-approval requirements;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expectations regarding the potential market size and the size of the patient populations for its product candidates, if approved for commercial use;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commercialization, marketing and manufacturing capabilities and strategy;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intellectual property position and expectations regarding its ability to obtain and maintain intellectual property protection;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identify additional products, product candidates or technologies with significant commercial potential that are consistent with its commercial objectives;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competitive position and expectations regarding developments and projections relating to its competitors and any competing therapies that are or become available;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Gemini’s competitors and industry.</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statements that FS Development or Gemini “believes” and similar statements reflect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FS Development or Gemini has conducted an exhaustive inquiry into, or review of, all potentially available relevant information. These statements are inherently uncertain and investors are cautioned not to unduly rely upon these statements.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forward-looking statements. Some factors that could cause the Combined Entity’s actual results to differ include:</w:t>
      </w:r>
    </w:p>
    <w:p>
      <w:pPr>
        <w:spacing w:after="0" w:line="116" w:lineRule="exact"/>
        <w:rPr>
          <w:sz w:val="20"/>
          <w:szCs w:val="20"/>
          <w:color w:val="auto"/>
        </w:rPr>
      </w:pPr>
    </w:p>
    <w:p>
      <w:pPr>
        <w:ind w:left="1320" w:right="479" w:hanging="434"/>
        <w:spacing w:after="0" w:line="282" w:lineRule="auto"/>
        <w:tabs>
          <w:tab w:leader="none" w:pos="132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FS Development, Gemini or others following announcement of the Business Combination and the transactions contemplated therein;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due to the failure to obtain approval of the stockholders of FS Development or Gemini or other conditions to closing in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as a result of the announcement and the Closing;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FS Development or Gemini may be adversely impacted by other economic, business, and/or competitive factors;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6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statement/prospectus, including those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other filings that have been made or will be made with the SEC.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FS DEVELOPMENT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is furnishing this proxy statement/prospectus to its stockholders as part of the solicitation of</w:t>
      </w:r>
    </w:p>
    <w:p>
      <w:pPr>
        <w:spacing w:after="0" w:line="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proxies by the Board for use at the Special Meeting to be held on , 2021 and at any adjournment or postponement thereof. This proxy statement/prospectus provides FS Development’s stockholders with information they need to know to be able to vote or direct their vote to be cast at the Special Meeting.</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Time and Place</w:t>
            </w:r>
          </w:p>
        </w:tc>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The Special Meeting will be held on</w:t>
            </w: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2021, at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Eastern Time, via live webcast at the following</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address: . In light of the COVID-19 pandemic and to support the well-being of FS Development’s stockholders, directors and management, the Special Meeting will be completely virtual.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be entitled to vote or direct votes to be cast at the Special Meeting if you owned shares of FS</w:t>
      </w:r>
    </w:p>
    <w:p>
      <w:pPr>
        <w:spacing w:after="0" w:line="27"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Development Common Stock at the close of business on , 2021, which is the Record Date. You are entitled to one vote for each share of FS Development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w:t>
      </w:r>
    </w:p>
    <w:p>
      <w:pPr>
        <w:spacing w:after="0" w:line="2" w:lineRule="exact"/>
        <w:rPr>
          <w:sz w:val="20"/>
          <w:szCs w:val="20"/>
          <w:color w:val="auto"/>
        </w:rPr>
      </w:pPr>
    </w:p>
    <w:p>
      <w:pPr>
        <w:ind w:left="460"/>
        <w:spacing w:after="0"/>
        <w:tabs>
          <w:tab w:leader="none" w:pos="4180" w:val="left"/>
        </w:tabs>
        <w:rPr>
          <w:sz w:val="20"/>
          <w:szCs w:val="20"/>
          <w:color w:val="auto"/>
        </w:rPr>
      </w:pPr>
      <w:r>
        <w:rPr>
          <w:rFonts w:ascii="Times New Roman" w:cs="Times New Roman" w:eastAsia="Times New Roman" w:hAnsi="Times New Roman"/>
          <w:sz w:val="18"/>
          <w:szCs w:val="18"/>
          <w:color w:val="auto"/>
        </w:rPr>
        <w:t>counted. On the Record Date, there were</w:t>
      </w:r>
      <w:r>
        <w:rPr>
          <w:sz w:val="20"/>
          <w:szCs w:val="20"/>
          <w:color w:val="auto"/>
        </w:rPr>
        <w:tab/>
      </w:r>
      <w:r>
        <w:rPr>
          <w:rFonts w:ascii="Times New Roman" w:cs="Times New Roman" w:eastAsia="Times New Roman" w:hAnsi="Times New Roman"/>
          <w:sz w:val="18"/>
          <w:szCs w:val="18"/>
          <w:color w:val="auto"/>
        </w:rPr>
        <w:t>shares of FS Development Common Stock outstanding, of</w:t>
      </w:r>
    </w:p>
    <w:p>
      <w:pPr>
        <w:spacing w:after="0" w:line="9" w:lineRule="exact"/>
        <w:rPr>
          <w:sz w:val="20"/>
          <w:szCs w:val="20"/>
          <w:color w:val="auto"/>
        </w:rPr>
      </w:pPr>
    </w:p>
    <w:p>
      <w:pPr>
        <w:ind w:left="460"/>
        <w:spacing w:after="0"/>
        <w:tabs>
          <w:tab w:leader="none" w:pos="1240" w:val="left"/>
          <w:tab w:leader="none" w:pos="3420" w:val="left"/>
        </w:tabs>
        <w:rPr>
          <w:sz w:val="20"/>
          <w:szCs w:val="20"/>
          <w:color w:val="auto"/>
        </w:rPr>
      </w:pPr>
      <w:r>
        <w:rPr>
          <w:rFonts w:ascii="Times New Roman" w:cs="Times New Roman" w:eastAsia="Times New Roman" w:hAnsi="Times New Roman"/>
          <w:sz w:val="18"/>
          <w:szCs w:val="18"/>
          <w:color w:val="auto"/>
        </w:rPr>
        <w:t>which</w:t>
      </w:r>
      <w:r>
        <w:rPr>
          <w:sz w:val="20"/>
          <w:szCs w:val="20"/>
          <w:color w:val="auto"/>
        </w:rPr>
        <w:tab/>
      </w:r>
      <w:r>
        <w:rPr>
          <w:rFonts w:ascii="Times New Roman" w:cs="Times New Roman" w:eastAsia="Times New Roman" w:hAnsi="Times New Roman"/>
          <w:sz w:val="18"/>
          <w:szCs w:val="18"/>
          <w:color w:val="auto"/>
        </w:rPr>
        <w:t>are Public Shares and</w:t>
      </w:r>
      <w:r>
        <w:rPr>
          <w:sz w:val="20"/>
          <w:szCs w:val="20"/>
          <w:color w:val="auto"/>
        </w:rPr>
        <w:tab/>
      </w:r>
      <w:r>
        <w:rPr>
          <w:rFonts w:ascii="Times New Roman" w:cs="Times New Roman" w:eastAsia="Times New Roman" w:hAnsi="Times New Roman"/>
          <w:sz w:val="17"/>
          <w:szCs w:val="17"/>
          <w:color w:val="auto"/>
        </w:rPr>
        <w:t>are Founders Shares held by the Sponsor.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of the Sponsor, Directors and Officers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FS Development IPO, FS Development entered into agreements with each of its Sponsor, directors and officers pursuant to which each agreed to vote any shares of FS Development Common Stock owned by it in favor of the Business Combination Proposal and for all other proposals presented at the Special Meeting. These agreements apply to the Sponsor as it relates to the Founders Shares and the requirement to vote such shares in favor of the Business Combination Proposal and for all other proposals presented to FS Development stockholders in this proxy statement/prospectus.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Development’s Sponsor, directors and officers have waived any redemption rights, including with respect to shares of FS Development Common Stock issued or purchased in the FS Development IPO or in the aftermarket, in connection with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a majority of the FS Development Common Stock outstanding and entitled to vote at the Special Meeting is represented in person or by proxy at the Special Meeting.</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as of the Record Date for the Special Meeting, voting together as a single class. The approval of the Business Combination Proposal, the Nasdaq Stock Issuance Proposal, the Incentive Plan Proposal, the Advisory Charter Approvals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 The Nasdaq Stock Issuance Proposal, the Charter Amendment Proposal, the Advisory Charter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The Adjournment Proposal is not conditioned on the approval of any other proposal set forth in this proxy statement/prospectus.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important for you to note that in the event the Business Combination Proposal does not receive the requisite vote for approval, then FS Development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the public stockholders.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Special Meeting, FS Development will count a properly executed proxy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or the Adjournment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has unanimously determined that each of the Proposals is fair to and in the best interests of FS Development and its stockholders, and has unanimously approved such proposals. The Board unanimously recommends that stockholders:</w:t>
      </w:r>
    </w:p>
    <w:p>
      <w:pPr>
        <w:spacing w:after="0" w:line="95" w:lineRule="exact"/>
        <w:rPr>
          <w:sz w:val="20"/>
          <w:szCs w:val="20"/>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Business Combination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Nasdaq Stock Issuance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Charter Amendment Proposal;</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each of the Advisory Charter Proposals;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Incentive Plan Proposal;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Adjournment Proposal, if it is presented to the meeting.</w:t>
      </w:r>
    </w:p>
    <w:p>
      <w:pPr>
        <w:spacing w:after="0" w:line="144" w:lineRule="exact"/>
        <w:rPr>
          <w:sz w:val="20"/>
          <w:szCs w:val="20"/>
          <w:color w:val="auto"/>
        </w:rPr>
      </w:pPr>
    </w:p>
    <w:p>
      <w:pPr>
        <w:jc w:val="both"/>
        <w:ind w:left="460" w:right="479" w:firstLine="45"/>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Proposals, you should keep in mind that the Sponsor, members of the Board and officers of FS Development have interests in the Business Combination that are different from or in addition to (or which may conflict with) your interests as a stockholder.</w:t>
      </w:r>
    </w:p>
    <w:p>
      <w:pPr>
        <w:spacing w:after="0" w:line="11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share of FS Development Common Stock that you own in your name entitles you to one vote. If you are a record owner of your shares, there are two ways to vote your shares of FS Development Common Stock at the Special Meeting:</w:t>
      </w:r>
    </w:p>
    <w:p>
      <w:pPr>
        <w:spacing w:after="0" w:line="93" w:lineRule="exact"/>
        <w:rPr>
          <w:sz w:val="20"/>
          <w:szCs w:val="20"/>
          <w:color w:val="auto"/>
        </w:rPr>
      </w:pPr>
    </w:p>
    <w:p>
      <w:pPr>
        <w:jc w:val="both"/>
        <w:ind w:left="1320" w:right="459" w:hanging="434"/>
        <w:spacing w:after="0" w:line="256" w:lineRule="auto"/>
        <w:tabs>
          <w:tab w:leader="none" w:pos="1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Can Vote By Signing and Returning the Enclosed Proxy Card</w:t>
      </w:r>
      <w:r>
        <w:rPr>
          <w:rFonts w:ascii="Times New Roman" w:cs="Times New Roman" w:eastAsia="Times New Roman" w:hAnsi="Times New Roman"/>
          <w:sz w:val="18"/>
          <w:szCs w:val="18"/>
          <w:color w:val="auto"/>
        </w:rPr>
        <w:t>. If you vote by proxy card,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Stock Issuance Proposal, the Charter Amendment Proposal, the Advisory Charter Proposals, the Incentive Plan Proposal, and the Adjournment Proposal (if presented). Votes received after a matter has been voted upon at the Special Meeting will not be counted.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Can Attend the Special Meeting and Vote Through the Internet</w:t>
      </w:r>
      <w:r>
        <w:rPr>
          <w:rFonts w:ascii="Times New Roman" w:cs="Times New Roman" w:eastAsia="Times New Roman" w:hAnsi="Times New Roman"/>
          <w:sz w:val="18"/>
          <w:szCs w:val="18"/>
          <w:color w:val="auto"/>
        </w:rPr>
        <w:t>. You will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online and vote during the meeting by visiting and entering the control number included on your proxy card or on the instructions that accompanied your proxy materials, as applicable.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FS Development can be sure that the broker, bank or nominee has not already voted your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record owner of your shares and you give a proxy, you may change or revoke it at any time before it is exercised by doing any one of the following:</w:t>
      </w:r>
    </w:p>
    <w:p>
      <w:pPr>
        <w:spacing w:after="0" w:line="94" w:lineRule="exact"/>
        <w:rPr>
          <w:sz w:val="20"/>
          <w:szCs w:val="20"/>
          <w:color w:val="auto"/>
        </w:rPr>
      </w:pPr>
    </w:p>
    <w:p>
      <w:pPr>
        <w:ind w:left="1300" w:hanging="41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and have any questions about how to vote or direct a vote in respect of your FS Development Common Stock, you may call Morrow Sodali LLC, FS Development’s proxy solicitor, at (800)</w:t>
      </w:r>
    </w:p>
    <w:p>
      <w:pPr>
        <w:ind w:left="460"/>
        <w:spacing w:after="0"/>
        <w:tabs>
          <w:tab w:leader="none" w:pos="1480" w:val="left"/>
          <w:tab w:leader="none" w:pos="2780" w:val="left"/>
          <w:tab w:leader="none" w:pos="3300" w:val="left"/>
          <w:tab w:leader="none" w:pos="4060" w:val="left"/>
          <w:tab w:leader="none" w:pos="5120" w:val="left"/>
          <w:tab w:leader="none" w:pos="5960" w:val="left"/>
          <w:tab w:leader="none" w:pos="6600" w:val="left"/>
          <w:tab w:leader="none" w:pos="7560" w:val="left"/>
          <w:tab w:leader="none" w:pos="8080" w:val="left"/>
        </w:tabs>
        <w:rPr>
          <w:sz w:val="20"/>
          <w:szCs w:val="20"/>
          <w:color w:val="auto"/>
        </w:rPr>
      </w:pPr>
      <w:r>
        <w:rPr>
          <w:rFonts w:ascii="Times New Roman" w:cs="Times New Roman" w:eastAsia="Times New Roman" w:hAnsi="Times New Roman"/>
          <w:sz w:val="18"/>
          <w:szCs w:val="18"/>
          <w:color w:val="auto"/>
        </w:rPr>
        <w:t>662-5200</w:t>
      </w:r>
      <w:r>
        <w:rPr>
          <w:sz w:val="20"/>
          <w:szCs w:val="20"/>
          <w:color w:val="auto"/>
        </w:rPr>
        <w:tab/>
      </w:r>
      <w:r>
        <w:rPr>
          <w:rFonts w:ascii="Times New Roman" w:cs="Times New Roman" w:eastAsia="Times New Roman" w:hAnsi="Times New Roman"/>
          <w:sz w:val="18"/>
          <w:szCs w:val="18"/>
          <w:color w:val="auto"/>
        </w:rPr>
        <w:t>(Individuals)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658-9400</w:t>
      </w:r>
      <w:r>
        <w:rPr>
          <w:sz w:val="20"/>
          <w:szCs w:val="20"/>
          <w:color w:val="auto"/>
        </w:rPr>
        <w:tab/>
      </w:r>
      <w:r>
        <w:rPr>
          <w:rFonts w:ascii="Times New Roman" w:cs="Times New Roman" w:eastAsia="Times New Roman" w:hAnsi="Times New Roman"/>
          <w:sz w:val="18"/>
          <w:szCs w:val="18"/>
          <w:color w:val="auto"/>
        </w:rPr>
        <w:t>(banks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brokers)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7"/>
          <w:szCs w:val="17"/>
          <w:color w:val="auto"/>
        </w:rPr>
        <w:t>email: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FSDC.info@investor.morrowsodali.com.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Additional Matters May Be Presented at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Stock Issuance Proposal, the Charter Amendment Proposal, the Incentive Plan Proposal, the Advisory Charter Proposals and the Adjournment Proposal. Under the Current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any holders of Public Shares may demand that such shares be redeemed in exchange for a pro rata share of the aggregate amount on deposit in the Trust Account, less franchise and income taxes payable.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FS Development IPO (including interest earned on the funds held in the Trust Account and not previously released to it to pay the Company’s franchise and income taxes). For illustrative purposes, based on funds in the Trust Account of approximately $ million on September 30, 2020, the estimated per share redemption price would have been approximately $ .</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58" w:lineRule="exact"/>
        <w:rPr>
          <w:sz w:val="20"/>
          <w:szCs w:val="20"/>
          <w:color w:val="auto"/>
        </w:rPr>
      </w:pPr>
    </w:p>
    <w:p>
      <w:pPr>
        <w:ind w:left="1300" w:hanging="41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on the enclosed proxy card to elect redemption;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8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 the written request to redeem your Public Shares for cash to Continental Stock Transfer &amp; Trust Company, a “Stockholder Certification” if you are not acting in concert or as a “group” (as defined in Section 13d-3 of the Exchange Act) with any other stockholder with respect to shares of FS Development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300" w:val="left"/>
          <w:tab w:leader="none" w:pos="4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prior to 5:00 PM Eastern time on</w:t>
      </w:r>
      <w:r>
        <w:rPr>
          <w:sz w:val="20"/>
          <w:szCs w:val="20"/>
          <w:color w:val="auto"/>
        </w:rPr>
        <w:tab/>
      </w:r>
      <w:r>
        <w:rPr>
          <w:rFonts w:ascii="Times New Roman" w:cs="Times New Roman" w:eastAsia="Times New Roman" w:hAnsi="Times New Roman"/>
          <w:sz w:val="18"/>
          <w:szCs w:val="18"/>
          <w:color w:val="auto"/>
        </w:rPr>
        <w:t>, 2021 (two (2) business days before the Special Meeting),</w:t>
      </w:r>
    </w:p>
    <w:p>
      <w:pPr>
        <w:spacing w:after="0" w:line="27"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tender your shares physically or electronically and submit a request in writing that we redeem your Public Shares for cash to Continental Stock Transfer &amp; Trust Company, FS Development’s transfer agent, at the following address: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mzimkind@continentalstock.comand</w:t>
      </w:r>
    </w:p>
    <w:p>
      <w:pPr>
        <w:spacing w:after="0" w:line="126" w:lineRule="exact"/>
        <w:rPr>
          <w:sz w:val="20"/>
          <w:szCs w:val="20"/>
          <w:color w:val="auto"/>
        </w:rPr>
      </w:pPr>
    </w:p>
    <w:p>
      <w:pPr>
        <w:jc w:val="both"/>
        <w:ind w:left="1320" w:right="459" w:hanging="434"/>
        <w:spacing w:after="0" w:line="253" w:lineRule="auto"/>
        <w:tabs>
          <w:tab w:leader="none" w:pos="14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 to FS Development’s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above.</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FS Development Class A Common Stock as they may receive higher proceeds from the sale of their FS Development Class A Common Stock in the public market than from exercising their redemption rights if the market price per share is higher than the redemption price. We cannot assure you that you will be able to sell your shares of FS Development Class A Common Stock in the open market, even if the market price per share is higher than the redemption price stated above, as there may not be sufficient liquidity in FS Development Common Stock when you wish to sell your shares.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 exercise your redemption rights, your shares of FS Development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or completed for any reason, then public stockholders who elected to exercise their redemption rights will not be entitled to redeem their shares. In such case FS Development will promptly return any Public Shares previously delivered by the public 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 Rights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stockholders do not have dissenter rights in connection with the Business Combination or the other proposals.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Purchases of Shares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is soliciting proxies on behalf of the Board. This solicitation is being made by mail but also may be made by telephone or in person. FS Development and its directors, officers and employees may also solicit proxies in person. FS Development will file with the SEC all scripts and other electronic communications as proxy soliciting materials. FS Development will bear the cost of the solicitation.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FS Development has hired Morrow Sodali LLC to assist in the proxy solicitation process. FS Development will pay that firm a fee of $22,500, plus disbursements.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will ask banks, brokers and other institutions, nominees and fiduciaries to forward the proxy materials to their principals and to obtain their authority to execute proxies and voting instructions. FS Development will reimburse them for their reasonable expenses.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Special Meeting, please contact Morrow Sodali LLC, the proxy solicitation agent for FS Development, by calling (800) 662-5200 or banks and brokers can call collect at (203) 658-9400, or by emailing: FSDC.info@investor.morrowsodali.com.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balance sheet of Combined Entity as of September 30, 2020 and the unaudited pro forma combined statements of operations of Combined Entity for the year ended December 31, 2019 and nine months ended September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2019 and the nine months ended September 30, 2020 give pro forma effect to the Business Combination and PIPE Investment as if they had occurred as of January 1, 2019. The unaudited pro forma combined balance sheet as of September 30, 2020 gives pro forma effect to the Business Combination and PIPE Investment as if they were completed on September 30, 2020.</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Gemini and the Shareholders Representative, pursuant to which Merger Sub will merge with and into Gemini, with Gemini surviving the merger as a wholly-owned subsidiary of FS Development. Upon the Closing, FS Development will then change its name to “Gemini Therapeutics, Inc.” The aggregate consideration to be paid to Gemini Equityholders pursuant to the Merger Agreement (subject to certain adjustments as provided therein) will be up to 21,500,000 shares of Class A Common Stock. In connection with the Business Combination, FS Development will also expect to consummate the private placement of 9,506,000 shares of Class A Common Stock at $10.00 per share, for aggregate gross proceeds of $95,060,000, under the PIPE Investment.</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unaudited pro forma combined information contained herein assumes that FS Development stockholders approve the Business Combination. FS Development’s public stockholders may elect to redeem their Public Shares for cash even if they approve the Business Combination. FS Development Corp. cannot predict how many of its public stockholders will exercise their right to have their Public Shares redeemed for cash. As a result, the Combined Entity has elected to provide the unaudited pro forma combined financial information under two different redemption scenarios, which produce different allocations of total Combined Entity equity between holders of Public Shares. As described in greater detail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of the unaudited pro forma combined financial information, the first scenario, or “no redemption scenario,” assumes that none of FS Development’s public stockholders will exercise their right to have their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scenarios. However, there can be no assurance regarding which scenario will be closest to the actual results. Under both scenarios, Gemini is considered the accounting acquirer, as further discussed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of the unaudited pro forma combined financial information.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6"/>
                <w:szCs w:val="16"/>
                <w:color w:val="auto"/>
              </w:rPr>
            </w:pPr>
          </w:p>
        </w:tc>
        <w:tc>
          <w:tcPr>
            <w:tcW w:w="214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0"/>
                <w:szCs w:val="10"/>
                <w:color w:val="auto"/>
              </w:rPr>
            </w:pP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 (b)</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205,854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207,015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95,491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Cash held in Trust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100" w:type="dxa"/>
            <w:vAlign w:val="bottom"/>
          </w:tcPr>
          <w:p>
            <w:pPr>
              <w:spacing w:after="0"/>
              <w:rPr>
                <w:sz w:val="18"/>
                <w:szCs w:val="18"/>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122,359</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16,253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209,062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7,236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Franchise tax payable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Term loan,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portion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7,600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21"/>
                <w:szCs w:val="2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18,033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10,986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Deferred underwriting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 and discount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6,190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24,531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17,484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47,113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33,336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convertible</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7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80,449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subject to redemption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170,091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(105,311)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21"/>
                <w:szCs w:val="21"/>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275,305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191,578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163,781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100" w:name="page101"/>
    <w:bookmarkEnd w:id="100"/>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   $  122,359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$ 16,253</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70,450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$ 209,062</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(41,074)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97,538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-544195</wp:posOffset>
            </wp:positionV>
            <wp:extent cx="5143500" cy="582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58293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 NINE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FSDC</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10"/>
                <w:szCs w:val="10"/>
                <w:color w:val="auto"/>
              </w:rPr>
            </w:pPr>
          </w:p>
        </w:tc>
        <w:tc>
          <w:tcPr>
            <w:tcW w:w="8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0"/>
                <w:szCs w:val="10"/>
                <w:color w:val="auto"/>
              </w:rPr>
            </w:pPr>
          </w:p>
        </w:tc>
        <w:tc>
          <w:tcPr>
            <w:tcW w:w="8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14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1"/>
                <w:szCs w:val="21"/>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(24,246)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(6,800)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extinguishment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of debt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(2,311)</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(26,522)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46,541,250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 share – Class 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 share – Class 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140" w:type="dxa"/>
            <w:vAlign w:val="bottom"/>
          </w:tcPr>
          <w:p>
            <w:pPr>
              <w:spacing w:after="0"/>
              <w:rPr>
                <w:sz w:val="16"/>
                <w:szCs w:val="16"/>
                <w:color w:val="auto"/>
              </w:rPr>
            </w:pPr>
          </w:p>
        </w:tc>
        <w:tc>
          <w:tcPr>
            <w:tcW w:w="21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4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(Historical)  (Historical)</w:t>
            </w: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34,472</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6,753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41,225</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54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basic and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46,541,250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per share</w:t>
            </w:r>
          </w:p>
        </w:tc>
        <w:tc>
          <w:tcPr>
            <w:tcW w:w="54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and Gemini, pursuant to which Merger Sub will merge with and into Gemini, with Gemini as the surviving company in the Merger and, after giving effect to such Merger, Gemini shall be a wholly-owned subsidiary of FS Development. Upon the closing of the Business Combination,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the consideration to be received by the Gemini Equityholders in connection with the Business Combination will be an aggregate number of shares of Combined Entity common stock equal to (i) $215.0 million, divided by (ii) $10.00. In addition, immediately after the completion of the Business Combination, certain investors have agreed to subscribe for and purchase an aggregate of $95,060,000 of common stock of Combined Entity (the “PIPE Investment”).</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represents the aggregate merger consideration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No Redemption and</w:t>
            </w:r>
          </w:p>
        </w:tc>
      </w:tr>
      <w:tr>
        <w:trPr>
          <w:trHeight w:val="212"/>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Shares Issued</w:t>
            </w:r>
          </w:p>
        </w:tc>
      </w:tr>
      <w:tr>
        <w:trPr>
          <w:trHeight w:val="46"/>
        </w:trPr>
        <w:tc>
          <w:tcPr>
            <w:tcW w:w="5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 to Gemini</w:t>
            </w:r>
            <w:r>
              <w:rPr>
                <w:rFonts w:ascii="Times New Roman" w:cs="Times New Roman" w:eastAsia="Times New Roman" w:hAnsi="Times New Roman"/>
                <w:sz w:val="20"/>
                <w:szCs w:val="20"/>
                <w:color w:val="auto"/>
                <w:vertAlign w:val="superscript"/>
              </w:rPr>
              <w:t>(a)(b)</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215,000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9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common stock issued to Gemini included in the consideration is reflected at $10 per share as defined in the Merger Agreement.</w:t>
      </w:r>
    </w:p>
    <w:p>
      <w:pPr>
        <w:jc w:val="both"/>
        <w:ind w:left="880" w:right="479" w:hanging="426"/>
        <w:spacing w:after="0" w:line="272" w:lineRule="auto"/>
        <w:tabs>
          <w:tab w:leader="none" w:pos="1017"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up to 21.5 million consideration shares include 19.3 million shares to be issued for all issued and outstanding Gemini common and preferred stock plus 2.2 million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of the date of the signing of the Merger Agreement, the conversion ratio was 10.00. The closing conversion ratio will be calculated in accordance with the methodology and procedures set forth in the Merger Agreement, and FS Development will file with the SEC a Current Report on Form 8-K announcing the final conversion ratio no later than four business days prior to the special meeting of its stockholders.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unaudited pro form common stock shares outstanding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600" w:type="dxa"/>
            <w:vAlign w:val="bottom"/>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Assuming No</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240" w:type="dxa"/>
            <w:vAlign w:val="bottom"/>
          </w:tcPr>
          <w:p>
            <w:pPr>
              <w:spacing w:after="0"/>
              <w:rPr>
                <w:sz w:val="18"/>
                <w:szCs w:val="18"/>
                <w:color w:val="auto"/>
              </w:rPr>
            </w:pPr>
          </w:p>
        </w:tc>
        <w:tc>
          <w:tcPr>
            <w:tcW w:w="1600" w:type="dxa"/>
            <w:vAlign w:val="bottom"/>
            <w:gridSpan w:val="3"/>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6"/>
        </w:trPr>
        <w:tc>
          <w:tcPr>
            <w:tcW w:w="324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3,460,250</w:t>
            </w:r>
          </w:p>
        </w:tc>
        <w:tc>
          <w:tcPr>
            <w:tcW w:w="3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3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15,535,250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8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19,282,221</w:t>
            </w:r>
          </w:p>
        </w:tc>
        <w:tc>
          <w:tcPr>
            <w:tcW w:w="3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19,282,221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8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9,506,000</w:t>
            </w:r>
          </w:p>
        </w:tc>
        <w:tc>
          <w:tcPr>
            <w:tcW w:w="3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9,506,000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(excluding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8"/>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44,323,471</w:t>
            </w:r>
          </w:p>
        </w:tc>
        <w:tc>
          <w:tcPr>
            <w:tcW w:w="3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33,171,096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40"/>
        </w:trPr>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Gemini-Remaining Consideration Shares</w:t>
            </w:r>
            <w:r>
              <w:rPr>
                <w:rFonts w:ascii="Times New Roman" w:cs="Times New Roman" w:eastAsia="Times New Roman" w:hAnsi="Times New Roman"/>
                <w:sz w:val="20"/>
                <w:szCs w:val="20"/>
                <w:color w:val="auto"/>
                <w:vertAlign w:val="superscript"/>
              </w:rPr>
              <w:t>(A)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2,217,779</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2,217,779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(including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1" w:lineRule="auto"/>
        <w:tabs>
          <w:tab w:leader="none" w:pos="92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consideration to be issued to Gemini is up to $215.0 million or 21.5 million shares ($10 per share price). The total shares to be issued includes Gemini common and preferred stock plus shares underlying unvested stock options. Accordingly, the consideration shares outstanding at the closing of the Business Combination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116" w:lineRule="exact"/>
        <w:rPr>
          <w:sz w:val="20"/>
          <w:szCs w:val="20"/>
          <w:color w:val="auto"/>
        </w:rPr>
      </w:pPr>
    </w:p>
    <w:p>
      <w:pPr>
        <w:ind w:left="1320" w:right="479" w:hanging="434"/>
        <w:spacing w:after="0" w:line="282" w:lineRule="auto"/>
        <w:tabs>
          <w:tab w:leader="none" w:pos="135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hold the majority of voting rights in Combined Entity;</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have the right to appoint the majority of the directors on the Combined Entity Board;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Gemini will comprise the senior management of Combined Entity;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Gemini will comprise the ongoing operations of Combined Entity.</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Under the reverse recapitalization model, the Business Combination will be treated as Gemini issuing equity for the net assets of FS Development, with no goodwill or intangible assets recorded.</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prepared using the assumptions below with respect to the potential redemption of Public Shares into cash:</w:t>
      </w:r>
    </w:p>
    <w:p>
      <w:pPr>
        <w:spacing w:after="0" w:line="36" w:lineRule="exact"/>
        <w:rPr>
          <w:sz w:val="20"/>
          <w:szCs w:val="20"/>
          <w:color w:val="auto"/>
        </w:rPr>
      </w:pPr>
    </w:p>
    <w:p>
      <w:pPr>
        <w:ind w:left="1320" w:right="479" w:hanging="434"/>
        <w:spacing w:after="0" w:line="286" w:lineRule="auto"/>
        <w:tabs>
          <w:tab w:leader="none" w:pos="141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No Redemptions</w:t>
      </w:r>
      <w:r>
        <w:rPr>
          <w:rFonts w:ascii="Times New Roman" w:cs="Times New Roman" w:eastAsia="Times New Roman" w:hAnsi="Times New Roman"/>
          <w:sz w:val="18"/>
          <w:szCs w:val="18"/>
          <w:color w:val="auto"/>
        </w:rPr>
        <w:t>: This presentation assumes that no FS Development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redemption rights with respect to their Public Shares; and</w:t>
      </w:r>
    </w:p>
    <w:p>
      <w:pPr>
        <w:spacing w:after="0" w:line="19"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stockholders exercise redemption rights with respect to their Public Shares. This scenario assumes that 11,152,375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6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then the amounts and shares outstanding in the unaudited pro forma combined financial information will be different.</w:t>
      </w:r>
    </w:p>
    <w:p>
      <w:pPr>
        <w:spacing w:after="0" w:line="4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to enter into new equity awards with its employees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4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reflect the income tax effects of the pro forma adjustments as any change in the deferred tax balance would be offset by an increase in the valuation allowance given Gemini incurred significant losses during the historical periods presented.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 Forma Adjustments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Balance Sheet as of September 30, 2020</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balance sheet as of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2020 are as follows:</w:t>
      </w:r>
    </w:p>
    <w:p>
      <w:pPr>
        <w:spacing w:after="0" w:line="137" w:lineRule="exact"/>
        <w:rPr>
          <w:sz w:val="20"/>
          <w:szCs w:val="20"/>
          <w:color w:val="auto"/>
        </w:rPr>
      </w:pPr>
    </w:p>
    <w:p>
      <w:pPr>
        <w:ind w:left="1320" w:right="459" w:hanging="434"/>
        <w:spacing w:after="0" w:line="284" w:lineRule="auto"/>
        <w:tabs>
          <w:tab w:leader="none" w:pos="1443" w:val="left"/>
        </w:tabs>
        <w:numPr>
          <w:ilvl w:val="0"/>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Represents the impact of the Business Combination and PIPE Investment on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Combined Entity.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represents the sources and uses of funds as it relates to the Business Combination: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 redemption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7"/>
        </w:trPr>
        <w:tc>
          <w:tcPr>
            <w:tcW w:w="47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cash held in Trust Account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PIPE Investors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redeeming FS Development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(111,524)</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underwriting commissions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Excess cash to balance sheet from Business Combination</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191,201</w:t>
            </w:r>
          </w:p>
        </w:tc>
        <w:tc>
          <w:tcPr>
            <w:tcW w:w="100" w:type="dxa"/>
            <w:vAlign w:val="bottom"/>
          </w:tcPr>
          <w:p>
            <w:pPr>
              <w:spacing w:after="0"/>
              <w:rPr>
                <w:sz w:val="21"/>
                <w:szCs w:val="21"/>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6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the restricted investments and cash held in the trust account upon consummation of the Business Combination at Closing.</w:t>
      </w:r>
    </w:p>
    <w:p>
      <w:pPr>
        <w:ind w:left="880" w:right="479" w:hanging="426"/>
        <w:spacing w:after="0" w:line="264" w:lineRule="auto"/>
        <w:tabs>
          <w:tab w:leader="none" w:pos="1047"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issuance, in the PIPE Investment, to certain investors of 9,506,000 shares of Combined Entity common stock at a price of $10.00 per share.</w:t>
      </w:r>
    </w:p>
    <w:p>
      <w:pPr>
        <w:ind w:left="880" w:right="479" w:hanging="426"/>
        <w:spacing w:after="0" w:line="264" w:lineRule="auto"/>
        <w:tabs>
          <w:tab w:leader="none" w:pos="94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paid to FS Development stockholders who are assumed to exercise redemption rights under the maximum redemption scenario.</w:t>
      </w:r>
    </w:p>
    <w:p>
      <w:pPr>
        <w:ind w:left="880" w:hanging="426"/>
        <w:spacing w:after="0"/>
        <w:tabs>
          <w:tab w:leader="none" w:pos="8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deferred FS Development IPO underwriting commissions by FS Development.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other Business Combination transaction costs.</w:t>
      </w:r>
    </w:p>
    <w:p>
      <w:pPr>
        <w:spacing w:after="0" w:line="139" w:lineRule="exact"/>
        <w:rPr>
          <w:rFonts w:ascii="Times New Roman" w:cs="Times New Roman" w:eastAsia="Times New Roman" w:hAnsi="Times New Roman"/>
          <w:sz w:val="16"/>
          <w:szCs w:val="16"/>
          <w:color w:val="auto"/>
        </w:rPr>
      </w:pPr>
    </w:p>
    <w:p>
      <w:pPr>
        <w:ind w:left="1300" w:hanging="414"/>
        <w:spacing w:after="0"/>
        <w:tabs>
          <w:tab w:leader="none" w:pos="1300" w:val="left"/>
        </w:tabs>
        <w:numPr>
          <w:ilvl w:val="1"/>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 costs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i w:val="1"/>
          <w:iCs w:val="1"/>
          <w:color w:val="auto"/>
        </w:rPr>
      </w:pPr>
    </w:p>
    <w:p>
      <w:pPr>
        <w:jc w:val="both"/>
        <w:ind w:left="1760" w:right="479" w:hanging="442"/>
        <w:spacing w:after="0" w:line="261" w:lineRule="auto"/>
        <w:tabs>
          <w:tab w:leader="none" w:pos="1918"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112"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27"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incremental expenses related to the Business Combination and the PIPE Investment in the amount of $20.4 million (see Note 3(a)(5)). The unaudited pro forma combined balance sheet reflects these costs as a reduction of cash, with a corresponding decrease in additional paid-in capital (see Note 3(d)).</w:t>
      </w:r>
    </w:p>
    <w:p>
      <w:pPr>
        <w:spacing w:after="0" w:line="96"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298" w:val="left"/>
        </w:tabs>
        <w:numPr>
          <w:ilvl w:val="1"/>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Represents release of the restricted investments and cash held in the FS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account upon consummation of the Business Combination (See Note 3(a)(1)).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1320" w:right="479" w:hanging="2"/>
        <w:spacing w:after="0" w:line="267" w:lineRule="auto"/>
        <w:tabs>
          <w:tab w:leader="none" w:pos="1767" w:val="left"/>
        </w:tabs>
        <w:numPr>
          <w:ilvl w:val="0"/>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Impact on equity</w:t>
      </w:r>
      <w:r>
        <w:rPr>
          <w:rFonts w:ascii="Times New Roman" w:cs="Times New Roman" w:eastAsia="Times New Roman" w:hAnsi="Times New Roman"/>
          <w:sz w:val="18"/>
          <w:szCs w:val="18"/>
          <w:color w:val="auto"/>
        </w:rPr>
        <w:t>. The following table represents the impact of the Business Combination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 Investment on the number of shares of FS Development Class A Common Stock and represents the total equity section assuming no redemptions by FS Development stockholder:</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8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6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88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211,896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105,877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Post-Business Combination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case of maximum redemption by holders of Public Shares, the following table represents the impact of the Business Combination and PIPE Investment on the number of shares of FS Development Class A Common Stock and represents the total equity section:</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9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gridSpan w:val="2"/>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3,018,750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Redemption of redeemable</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(11,152,375)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(111,522)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64,460</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2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(105,871)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Post-Business Combination</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Statements of Operations for the Nine Months Ended September 30, 2020 and Year Ended December 31, 2019</w:t>
      </w:r>
    </w:p>
    <w:p>
      <w:pPr>
        <w:spacing w:after="0" w:line="51"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 of operations for the nine months ended September 30, 2020 and for the year ended December 31, 2019 are as follows:</w:t>
      </w:r>
    </w:p>
    <w:p>
      <w:pPr>
        <w:spacing w:after="0" w:line="52" w:lineRule="exact"/>
        <w:rPr>
          <w:sz w:val="20"/>
          <w:szCs w:val="20"/>
          <w:color w:val="auto"/>
        </w:rPr>
      </w:pPr>
    </w:p>
    <w:p>
      <w:pPr>
        <w:jc w:val="both"/>
        <w:ind w:left="1320" w:right="459" w:hanging="434"/>
        <w:spacing w:after="0" w:line="253" w:lineRule="auto"/>
        <w:tabs>
          <w:tab w:leader="none" w:pos="1352" w:val="left"/>
        </w:tabs>
        <w:numPr>
          <w:ilvl w:val="0"/>
          <w:numId w:val="1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loss on extinguishment of debt. </w:t>
      </w:r>
      <w:r>
        <w:rPr>
          <w:rFonts w:ascii="Times New Roman" w:cs="Times New Roman" w:eastAsia="Times New Roman" w:hAnsi="Times New Roman"/>
          <w:sz w:val="18"/>
          <w:szCs w:val="18"/>
          <w:color w:val="auto"/>
        </w:rPr>
        <w:t>On August 21, 2020, Gemini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with various 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have been prepared as if the Notes convert to Series B preferred stock on December 31, 2020, and a reacquisition price of $25.4 million representing the expected fair value of Series B preferred stock upon conversion. The adjustments reflect the accretion of the BCF discount recognized as interest expense of $5.9 million, simple interest of $0.4 million and a loss on extinguishment of $2.3 million.</w:t>
      </w:r>
    </w:p>
    <w:p>
      <w:pPr>
        <w:spacing w:after="0" w:line="81" w:lineRule="exact"/>
        <w:rPr>
          <w:rFonts w:ascii="Times New Roman" w:cs="Times New Roman" w:eastAsia="Times New Roman" w:hAnsi="Times New Roman"/>
          <w:sz w:val="18"/>
          <w:szCs w:val="18"/>
          <w:i w:val="1"/>
          <w:iCs w:val="1"/>
          <w:color w:val="auto"/>
        </w:rPr>
      </w:pPr>
    </w:p>
    <w:p>
      <w:pPr>
        <w:jc w:val="both"/>
        <w:ind w:left="1320" w:right="459" w:hanging="434"/>
        <w:spacing w:after="0" w:line="258" w:lineRule="auto"/>
        <w:tabs>
          <w:tab w:leader="none" w:pos="1448" w:val="left"/>
        </w:tabs>
        <w:numPr>
          <w:ilvl w:val="0"/>
          <w:numId w:val="1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Represents pro forma net loss per share based on pro forma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46,541,250 and 35,388,875 total pro forma shares outstanding upon consummation of the Business Combination and PIPE Investment for no redemption and maximum redemption scenario, respectively. There are no equity instruments that are expected to have a dilutive effect on the net income per share post-Business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Loss Per Share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for the year ended December 31, 2019 and for the nine months ended September 30,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21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Pr>
          <w:p>
            <w:pPr>
              <w:spacing w:after="0"/>
              <w:rPr>
                <w:sz w:val="18"/>
                <w:szCs w:val="18"/>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47"/>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w:t>
            </w: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Redemptions</w:t>
            </w: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46,541,250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35,388,875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46,541,250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35,388,875</w:t>
            </w: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15,535,250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19,282,221</w:t>
            </w:r>
          </w:p>
        </w:tc>
        <w:tc>
          <w:tcPr>
            <w:tcW w:w="0" w:type="dxa"/>
            <w:vAlign w:val="bottom"/>
          </w:tcPr>
          <w:p>
            <w:pPr>
              <w:spacing w:after="0"/>
              <w:rPr>
                <w:sz w:val="1"/>
                <w:szCs w:val="1"/>
                <w:color w:val="auto"/>
              </w:rPr>
            </w:pPr>
          </w:p>
        </w:tc>
      </w:tr>
      <w:tr>
        <w:trPr>
          <w:trHeight w:val="28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0" w:type="dxa"/>
            <w:vAlign w:val="bottom"/>
          </w:tcPr>
          <w:p>
            <w:pPr>
              <w:spacing w:after="0"/>
              <w:rPr>
                <w:sz w:val="1"/>
                <w:szCs w:val="1"/>
                <w:color w:val="auto"/>
              </w:rPr>
            </w:pPr>
          </w:p>
        </w:tc>
      </w:tr>
      <w:tr>
        <w:trPr>
          <w:trHeight w:val="174"/>
        </w:trPr>
        <w:tc>
          <w:tcPr>
            <w:tcW w:w="34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44,323,471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33,171,096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44,323,471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33,171,096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-3810</wp:posOffset>
            </wp:positionV>
            <wp:extent cx="2863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9" w:lineRule="auto"/>
        <w:tabs>
          <w:tab w:leader="none" w:pos="100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2.2 million Gemini consideration shares that will be issued upon the occurrence of future events (i.e., exercise of stock options or warrants). Total consideration to be issued to Gemini is up to $215.0 million or 21.5 million shares ($10 per share price). The total shares to be issued includes all issued and outstanding Gemini common and preferred stock plus shares underlying unvested stock options. Accordingly, the weighted average pro forma shares outstanding at close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488"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488" w:gutter="0" w:footer="0" w:header="0"/>
          <w:type w:val="continuous"/>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8" w:lineRule="auto"/>
        <w:tabs>
          <w:tab w:leader="none" w:pos="92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applying the if converted method for calculating diluted earnings per share, it was assumed that all Gemini stock options and outstanding warrants are exchanged for Class A common stock. However, since this results in anti-dilution, the effect of such exchange was not included in calculation of diluted loss per share. Shares underlying these instruments include 2.2 million Gemini consideration shares for unvested, unissued, and/or unexercised stock options and warrants.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Holders of FS Development Common Stock are being asked to approve and adopt the Merger Agreement and the transactions contemplated thereby, including the Business Combination. FS Development stockholders should read carefully this proxy statement/prospectus in its entirety for more detailed information concerning the Merger Agreement,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to this proxy statement/prospectus. 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below, for additional information and a summary of certain terms of the Merger Agreement. You are urged to read carefully the Merger Agreement in its entirety before voting on this proposal.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terms of the Business Combination are the result of negotiations between the representatives of FS Development and Gemini. The following is a brief description of the background of these negotiations and the resulting Business Combination. The following does not purport to list every conversation among representatives of FS Development, Gemini and other parties.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is a blank check company incorporated in Delaware on June 25, 2020 and formed for the purpose of effecting a merger, capital stock exchange, asset acquisition, stock purchase, reorganization or similar business combination with one or more businesses. FS Development was created to capitalize on the substantial deal sourcing, investing and operating expertise of our management team to identify and combine with one or more businesses with high growth potential.</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Class A Common Stock, generating total gross proceeds of $120,750,000. Substantially concurrent with the consummation of the FS Development IPO, our Sponsor purchased 441,500 shares of Class A Common Stock for an aggregate purchase price of $4,415,000, or $10.00 per share.</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Prior to the consummation of the FS Development IPO, neither FS Development, nor anyone on its behalf, engaged in any substantive discussions, directly or indirectly, with any business combination target with respect to an initial business combination with FS Development.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Following the FS Development IPO and up to the signing of the mutual exclusivity agreement with Gemini on September 20, 2020, our officers and directors commenced an active search for prospective businesses or assets to acquire in our initial business combination. Representatives of FS Development were contacted by, and representatives of FS Development contacted, numerous individuals, financial advisors and other entities who offered to present ideas for business combination opportunities. Our officers and directors and their affiliates also brought to our attention target business candidates.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this search process, FS Development reviewed business combination opportunities with potential target businesses in the biotechnology industry. Discussions with several of these potential target businesses progressed to discussions of material transaction terms, including valuation, and FS Development delivered non-binding indications of interest to the following five potential target businesses: Gemini, Company B, Company C, Company D and Company 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However, shortly after preliminary discussions and before any material discussion progressed, FS Development ceased discussions with Company B, Company C and Company D because each of these companies decided to pursue alternative strategic transactions. Further, by September 20, 2020, the date on which FS Development and Gemini reached agreement on a non-binding indication of interest and a mutual exclusivity agreement (as described below), FS Development ultimately determined to abandon its potential business combination opportunity with Company E because of, among other things: (a) the level of engagement by, and advanced negotiations and discussions with Gemini, as compared to Company E where engagement was more limited and negotiations and discussions did not progress as rapidly, although Gemini had yet to reach an agreement on key terms and conditions of a potential transaction; (b) Gemini’s willingness to enter into the non-binding indication of interest and the mutual exclusivity agreement discussed below on terms that FS Development’s directors and officers believed were attractive; and (c) the Board and FS Development officers’ belief, based on their preliminary evaluation and the terms of the non-binding indication of interest, that Gemini was the most attractive potential business combination target that met its key criteria in a target.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engaged White &amp; Case LLP as its counsel, Wilson Sonsini Goodrich &amp; Rosati as its intellectual property counsel and Jefferies LLC as its financial and capital markets advisor in connection with its business combination and engaged Jefferies LLC and SVB Leerink LLC as co-lead placement agents in connection with a related private placement.</w:t>
      </w:r>
    </w:p>
    <w:p>
      <w:pPr>
        <w:spacing w:after="0" w:line="10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On August 18, 2020, Foresite Capital Fund V (“</w:t>
      </w:r>
      <w:r>
        <w:rPr>
          <w:rFonts w:ascii="Times New Roman" w:cs="Times New Roman" w:eastAsia="Times New Roman" w:hAnsi="Times New Roman"/>
          <w:sz w:val="18"/>
          <w:szCs w:val="18"/>
          <w:b w:val="1"/>
          <w:bCs w:val="1"/>
          <w:color w:val="auto"/>
        </w:rPr>
        <w:t>Fund V</w:t>
      </w:r>
      <w:r>
        <w:rPr>
          <w:rFonts w:ascii="Times New Roman" w:cs="Times New Roman" w:eastAsia="Times New Roman" w:hAnsi="Times New Roman"/>
          <w:sz w:val="18"/>
          <w:szCs w:val="18"/>
          <w:color w:val="auto"/>
        </w:rPr>
        <w:t>”), an affiliate of our Sponsor, was wall-crossed in connection with a potential private placement relating to a proposed business combination involving Gemini and Company A. Thereafter, representatives of Fund V and Gemini discussed Gemini’s business in relation to such potential private placement.</w:t>
      </w:r>
    </w:p>
    <w:p>
      <w:pPr>
        <w:spacing w:after="0" w:line="11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August 23, 2020, the Board held a special board meeting via video conference to discuss potential business combination opportunities.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1, 2020, Gemini’s exclusivity agreement with Company A terminated, and on September 21, 2020, based on discussions of Gemini’s board of directors, Gemini terminated discussions with Company A regarding a potential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 2020, Gemini management contacted FS Development about its potential interest in a business combination transaction with Gemini. Thereafter, FS Development continued discussions regarding a potential business combination with Gemini and several other companies.</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September 17, 2020, representatives of FS Development and Gemini held a teleconference to discuss a potential business combination. Thereafter, Jason Meyenburg, Chief Executive Officer of Gemini contacted Jim Tananbaum, Director, President and Chief Executive Officer of FS Development, and indicated that Gemini would be willing to consider a business combination at an enterprise value of at least $200 million. Thereafter, representatives of FS Development and Gemini continued to discuss the proposed valuation of Gemini. Having determined that a business combination with Gemini would be favorable for FS Development stockholders, in an industry in which FS Development was focused and possessed the growth and other financial attributes that FS Development intended to target at the time of the FS Development IPO, FS Development proposed in a non-binding indication of interest an enterprise value of Gemini of $215 million in order to secure exclusivity with Gemini. In addition, the non-binding indication of interest contained the following material terms: (1) issuance of an aggregate of 21,500,000 shares of FS Development Class A Common Stock (the “Share Cap”) at a valuation of $10.00 per share, (2) a proposed investment by an affiliate of FS Development of $45 million in a proposed private placement to close concurrently with the closing of the potential business combination, (3) disclosure of the amount in the Trust Account of approximately $121 million and (4) a proposal that the board of directors of the Combined Entity be comprised of seven (7) members to be drawn primarily from the current board of Gemini.</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20, 2020, FS Development and Gemini entered into the non-binding indication of interest in the form submitted by FS Development and a mutual exclusivity agreement, and FS Development ceased contact with other potential target businesses in the biotechnology industry. On September 24, 2020, FS Development and Gemini entered into a confidentiality agreement regarding the sharing of information in order for FS Development to conduct due diligence on Gemini.</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22, 2020, Gemini’s financial advisors informed potential private placement investors in connection with the potential business combination with Company A that wall-crossing restrictions were terminated.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Starting on September 24, 2020 until signing of the Merger Agreement, Gemini provided FS Development and its representatives with due diligence materials, including financial, clinical and regulatory information and representatives of FS Development and Gemini held telephonic conferences and virtual meetings to discuss the terms of the potential business combination, due diligence items and commercial and legal elements of Gemini’s business to assist FS Development and its advisors in assessing the enterprise valuation proposed by Gemini. During this time period, management of FS Development periodically updated members of the Board on the status and timing of discussions with Gemini, material transaction terms and due diligence items.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24, 2020, Goodwin Procter LLP, counsel to Gemini, delivered an initial draft of the Merger Agreement to White &amp; Case LLP, which provided for the repayment of the Convertible Notes by issuance of additional shares of FS Development Class A Common Stock above the Share Cap. Thereafter, the parties and their respective legal counsel negotiated the terms of the Merger Agreement and related documentation and agreements and exchanged several drafts of the Merger Agreement and related documentation and agreements.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parties also began preparing an investor presentation for meetings with certain targeted investors. FS Development and Gemini held investor meetings with potential investors in the PIPE Investment. All such investors were wall-crossed.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24, 2020 and September 25, 2020, representatives of FS Development held telephonic conferences with Gemini management to discuss due diligence items.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28, 2020, Dr. Tananbaum, Dr. Michael Rome, Director and Vice President of FS Development, and other members of management of FS Development met telephonically with representatives of White &amp; Case LLP to discuss material transaction terms and due diligence items. Later on September 28, 2020, Dr. Rome, Dr. Tananbaum and representatives of White &amp; Case LLP met telephonically with Gemini management and representatives of Goodwin Procter LLP to update parties on the status of the transaction.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29, 2020, management of FS Development met telephonically with management of Gemini to discuss additional clinical and regulatory due diligence items.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29, October 1, October 6, and October 8, 2020, Dr. Rome, Dr. Tananbaum, other members of management of FS Development and representatives of Jefferies LLC and SVB Leerink LLC met telephonically with Gemini management to discuss the status of the PIPE Investment.</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30, 2020, White &amp; Case LLP sent a revised draft of the Merger Agreement to Goodwin Procter LLP. The revised draft proposed, among other things, (i) changes relating to indemnification provisions, (ii) changes relating to allocation of purchase price, including repayment of the Convertible Notes out of the Share Cap, (iii) changes relating to treatment of options and warrants, and (iv) material changes to various representations, warranties and covenants.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October 3, 2020, Goodwin Procter LLP sent a revised draft of the Merger Agreement to White &amp; Case LLP. The revised draft proposed, among other things, (i) additional changes relating to indemnification provisions,</w:t>
      </w:r>
    </w:p>
    <w:p>
      <w:pPr>
        <w:jc w:val="both"/>
        <w:ind w:left="460" w:right="459" w:hanging="6"/>
        <w:spacing w:after="0" w:line="255" w:lineRule="auto"/>
        <w:tabs>
          <w:tab w:leader="none" w:pos="7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changes relating to allocation of purchase price, (iii) changes to closing conditions applicable to the parties and (iv) treating the Convertible Notes as a pre-funded investment by the holders of the Convertible Notes in the potential PIPE Investment.</w:t>
      </w:r>
    </w:p>
    <w:p>
      <w:pPr>
        <w:spacing w:after="0" w:line="11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8, 2020, the Board held a special board meeting via video conference to discuss the potential business combination, commitments from investors in the potential PIPE Investment and support from existing and prospective stockholders.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Thereafter, final allocations for investors in the potential PIPE Investment were determined by the parties and the proposed investment by an affiliate of FS Development of $45 million was decreased to $15 million.</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11, 2020, White &amp; Case LLP sent a further revised draft of the Merger Agreement to Goodwin Procter LLP. The revised draft (i) proposed, among other things, changes to closing conditions applicable to the parties and additional changes relating allocation of purchase price and (ii) reflected the agreement among the parties to repayment of the Convertible Notes out of the Share Cap and the board of directors of the Combined Entity would consist of seven (7) members, with the Sponsor entitled to nominate one such member.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12, October 13, and October 14, 2020, management of FS Development met telephonically with management of Gemini to discuss clinical and other due diligence items.</w:t>
      </w:r>
    </w:p>
    <w:p>
      <w:pPr>
        <w:spacing w:after="0" w:line="9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On October 12, 2020, the Board held a special board meeting via video conference to discuss the Business Combination and the terms of the definitive agreements. The Board was briefed on the terms of the Merger Agreement and related agreements and discussed the status of the proposed private placement. Following the discussions, the Board unanimously voted to approve the Business Combination with Gemini as well as the PIPE Investment. In approving the transactions, the Board determined that the aggregate fair market value of the proposed Business Combination was at least 80% of the assets held in the Trust Account (excluding the deferred underwriting commissions and taxes payable on the income earned on the Trust Account). On October 15, 2020, the Board executed a unanimous written consent approving the Merger Agreement and the transactions contemplated in the Business Combination.</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October 12, 2020 until the signing of the Merger Agreement, representatives of White &amp; Case LLP and Goodwin Procter LLP met telephonically to finalize the Merger Agreement and related documentation and agreements.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prior to the signing of the Merger Agreement, FS Development held virtual meetings and follow-up phone calls with the existing stockholders of FS Development. This resulted in stockholders owning 2,742,529 shares of Class A Common Stock committing not to transfer or redeem their shares through the closing of the Business Combination. During this process, several existing investors requested the ability to purchase additional shares in the PIPE Investment.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15, 2020, the parties entered into the Merger Agreement and FS Development entered into the subscription agreements for the PIPE Investment. On October 15, 2020, the parties issued a press release announcing the Business Combination.</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Board’s Reasons for Approval of the Business Combination</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90" w:lineRule="exact"/>
        <w:rPr>
          <w:sz w:val="20"/>
          <w:szCs w:val="20"/>
          <w:color w:val="auto"/>
        </w:rPr>
      </w:pPr>
    </w:p>
    <w:p>
      <w:pPr>
        <w:jc w:val="both"/>
        <w:ind w:left="1320" w:right="459" w:hanging="434"/>
        <w:spacing w:after="0" w:line="254" w:lineRule="auto"/>
        <w:tabs>
          <w:tab w:leader="none" w:pos="152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7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446" w:val="left"/>
        </w:tabs>
        <w:numPr>
          <w:ilvl w:val="0"/>
          <w:numId w:val="1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pacing w:after="0" w:line="112" w:lineRule="exact"/>
        <w:rPr>
          <w:sz w:val="20"/>
          <w:szCs w:val="20"/>
          <w:color w:val="auto"/>
        </w:rPr>
      </w:pPr>
    </w:p>
    <w:p>
      <w:pPr>
        <w:jc w:val="both"/>
        <w:ind w:left="1320" w:right="459" w:hanging="434"/>
        <w:spacing w:after="0" w:line="259" w:lineRule="auto"/>
        <w:tabs>
          <w:tab w:leader="none" w:pos="14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 anticipates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8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 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management team and reviewed by the Board supported the equity valuation of Gemini.</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FS Development Financial Analysis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prepared by FS Development and reviewed by the Board in connection with the valuation of Gemini. The summary set forth below does not purport to be a complete description of the financial analyses performed or factors considered by FS Development. FS Development may have deemed various assumptions more or less probable than other assumptions.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None of Gemini, FS Development,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Gemini do not purport to be appraisals or reflect the prices at which Gemini shares may actually be valued or trade in the open market after the consummation of the Business Combination. Accordingly, the assumptions and estimates used in, and the results derived from, the financial analyses are inherently subject to substantial uncertainty. The following quantitative information, to the extent that it is based on market data, is not necessarily indicative of current market conditions.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Trading Comparables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valuation of Gemini, FS Development reviewed certain financial information of certain publicly traded companies selected based on the experience and the professional judgment of FS Development’s directors and officers. In connection with its analysis, FS Development reviewed certain financial information of Gemini, such as its current balance sheet, expected cash needs, financing history and equity capitalization.</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considered certain financial and operating data of IVERIC bio and Apellis Pharmaceuticals, each a publicly traded company that is developing an injectable complement therapy for geographic atrophy (the “Trading Comparables”).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None of the Trading Comparables has characteristics identical to Gemini. The Trading Comparables were selected because they have a comparable drug mechanism of action, comparable structures or comparable target indications. FS Development made qualitative judgments, based on the experience and professional judgment of its directors and officers, concerning differences between the operational, business and/or financial characteristics of Gemini and the Trading Comparables.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reviewed the market capitalization of each of the Trading Comparables, which FS Development management deemed relevant based on its professional judgment and expertise.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Trading Comparables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Stage of Lead Comparable Program</w:t>
            </w:r>
          </w:p>
        </w:tc>
        <w:tc>
          <w:tcPr>
            <w:tcW w:w="14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Market Cap</w:t>
            </w:r>
          </w:p>
        </w:tc>
      </w:tr>
      <w:tr>
        <w:trPr>
          <w:trHeight w:val="46"/>
        </w:trPr>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IVERIC</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bl>
    <w:p>
      <w:pPr>
        <w:spacing w:after="0" w:line="19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conducted a comparative analysis between Gemini and the Trading Comparables and determined that an implied enterprise value for Gemini of $215 million was at a discount to each of the market capitalizations of the Trading Comparables.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FS Development’s management team considered the financing that would be required in connection with the Business Combination and determined that the PIPE Investment was sized such that, together with the expected cash from FS Development’s trust account (assuming no redemptions), Gemini’s research and development programs would be expected to be funded through 2022.</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hereto, which is incorporated herein by reference.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that the respective parties made to each other as of the date of the Merger Agreement or other specific dates, which may be updated prior to the Closing.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Gemini; Merger Consideration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Upon the Closing, Merger Sub will merge with and into Gemini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Gemini surviving the Merger as a wholly owned subsidiary of FS Development.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subject to potential reduction for indemnification claims as described below, an aggregate number of shares equal to the Closing Payment Shares will be issued (or reserved for issuance pursuant to currently exercisable options or warrants) in respect of shares of Gemini capital stock, and options and warrants to purchase shares of Gemini capital stock, in each case, issued and outstanding immediately prior to the Closing. Each holder of Gemini Stock will receive its Pro Rata Portion of the Merger Consideration.</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parties agreed that immediately following the closing of the Business Combination, the Combined Entity’s board of directors will consist of no more than seven directors, one of which will be designated by the Sponsor and six of which will be designated by Gemini.</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Prior to the Closing, the affirmative vote of holders of a majority of the votes cast of FS Development Common Stock, voting together as a single class, at a stockholder’s meeting (at which there is a quorum) must approve the transactions contemplated by the Merger Agreement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In connection with obtaining the Stockholder Approval, FS Development must call a special meeting of its common stockholders and must prepare and file with the SEC a Proxy Statement on Schedule 14A, which will be mailed to all stockholders entitled to vote at the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Gemini makes certain representations and warranties (with certain exceptions set forth in the disclosure schedule to the Merger Agreement) relating to, among other things:</w:t>
      </w:r>
    </w:p>
    <w:p>
      <w:pPr>
        <w:spacing w:after="0" w:line="94" w:lineRule="exact"/>
        <w:rPr>
          <w:sz w:val="20"/>
          <w:szCs w:val="20"/>
          <w:color w:val="auto"/>
        </w:rPr>
      </w:pPr>
    </w:p>
    <w:p>
      <w:pPr>
        <w:jc w:val="both"/>
        <w:ind w:left="1320" w:right="459" w:hanging="434"/>
        <w:spacing w:after="0" w:line="261" w:lineRule="auto"/>
        <w:tabs>
          <w:tab w:leader="none" w:pos="1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organization, qualification to do business in each jurisdiction in which its properties are owned or leased by it or the operation of its business as currently conducted, good standing and corporate power required to own and operate its properties and assets and to carry out the business as presently conducted and as proposed to be conducted;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having requisite corporate authority to enter into the Merger Agreement and to complete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consents and approvals that Gemini must obtain for the Merger Agreement and to consummate the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(i) the duly authorized and validly issued and outstanding shares of capital stock of Gemini; (ii) common stock reserved for issuance under its outstanding unexercised options and equity incentive plans; (iii) warrants to purchase shares of Gemini Series A Preferred Stock; and (iv) additional matters with respect to its options;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its corporate records, including the approvals of its board of directors, including all committees thereof, stockholders, and all consents to actions taken thereby;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 subsidiaries;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statements for the periods ended December 31, 2018, December 31, 2019 and the six month period ended June 30, 2020 fairly present, in all material respects, the financial position of Gemini as of the dates thereof and the results of operations of Gemini for the periods reflected therein, and have been prepared in conformity with U.S. GAAP applied on a consistent basis and in accordance with the requirements of the Public Company Accounting Oversight Board for public companies;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3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its maintenance of proper financial books and records in all material respects in accordance with reasonable business practices, which accurately and fairly, in reasonable detail, reflect the transactions and dispositions of assets of and providing services by Gemini, and (ii) its proper internal controls over accounting which are sufficient to provide reasonable assurance that (A) transactions are executed in accordance with management’s general or specific authorizations; (B) transactions are recorded as necessary to permit preparation of financial statements in conformity with Gemini’s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its material contracts (i) is a valid and binding agreement, (ii) in full force and effect and (iii) enforceable by the parties thereto, and there are no known breaches of such materials contracts;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Gemini has all material necessary permits and licenses to conduct its business (ii) all such permits are valid and in full force and effect, and (iii) additional matters relating to such permits including with respect to the absence of breaches or violations of default;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82" w:lineRule="auto"/>
        <w:tabs>
          <w:tab w:leader="none" w:pos="13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compliance with all applicable laws, including, without limitation, those relating to foreign corrupt practices, sanctions, money laundering and environmental matters;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litigation against Gemini or its officers or directors or action with any governmental authority that would challenge the Merger Agreement or the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good and marketable title to the tangible assets and properties it owns or leases;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compliance in all material respects with rules and regulations of the FDA, other regulatory matters and all applicable healthcare laws;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ownership or appropriate licenses to use intellectual property used in its business, including with respect to the absence of rights of third parties to any of its intellectual property rights, and any infringement by a third party of Gemini’s intellectual property rights;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its employees as well as its compliance with applicable laws related to employment matters, proper tax withholding and employee benefit plans, including with respect to ERISA and tax matters relating thereto;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Gemini has duly and timely filed all material tax returns, which are true, correct and complete and accurate in all material respects; (ii) there is no action with respect to taxes of Gemini in the past five years; (iii) no statute of limitations in respect of the assessment or collection of any taxes of Gemini has been waived or extended, which waiver or extension is in effect and Gemini is not presently contesting the tax liability before any taxing authority or other authority; (iv) Gemini has complied in all respects with all applicable laws relating to the reporting, payment, collection and withholding of taxes and has duly and timely withheld or collected, paid over to the applicable taxing authority and reported all taxes required to be withheld or collected by Gemini, (v) no stock transfer tax, sales tax, use tax, real estate transfer tax or other similar tax will be imposed on the transfer of the shares of Gemini common stock by Gemini Stockholders to FS Development pursuant to the Merger Agreement; (vi) there is no outstanding request for a ruling from any taxing authority, request for consent by a taxing authority for a change in a method of accounting, subpoena or request for information by any taxing authority or agreement with any taxing authority with respect to Gemini; (vii) there is no lien (other than certain permitted liens specified in the Merger Agreement) for taxes upon Gemini or any of the assets of Gemini; (viii) no claim has ever been made by a taxing authority in a jurisdiction where Gemini has not paid any tax or filed tax returns, asserting that Gemini is or may be subject to tax in such jurisdiction, Gemini is not nor has it ever been subject to tax in any country other than the country of incorporation of Gemini by virtue of having a permanent establishment or other place of business in that country, and Gemini is and has always been tax resident solely in its country of incorporation; (ix) Gemini has provided to FS Development true, complete and correct copies of all tax returns relating to, and all audit reports and correspondence relating to each proposed adjustment, if any, made by any taxing authority with respect to, any taxable period ending after December 31, 2015; (x) Gemini is not, and has never been, a party to any tax sharing, allocation, indemnification or similar contract; (xi) Gemini has not taken any action, and is not aware of any fact or circumstances, that would reasonably be expected to prevent the Business Combination from qualifying as a “reorganization” within the meaning of Section 368(a) of the Code; and (xii) Gemini is not a “United States real property holding corporation” within the meaning of Section 897(c)(2) of the Code at any time during the five-year period before the Closing Date;</w:t>
      </w:r>
    </w:p>
    <w:p>
      <w:pPr>
        <w:spacing w:after="0" w:line="13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Gemini, no investment banker, broker, finder or other intermediary which has been retained by or is authorized to act on behalf of Gemini and its affiliates will be entitled to any fee or commissions from Gemini upon consummation of the Business Combination;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related party transactions other than those that Gemini has disclosed;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maintenance of proper insurance policies;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representations and warranties.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Certain of these representations and warranties are qualified as to “materiality” or “material adverse effect”. Material Adverse Effect with respect to Gemini means a material adverse change or a material adverse effect upon the assets, liabilities, financial condition, net worth, management, earnings, cash flows, business, operations or properties of Gemini and its business, subject to customary exceptions.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FS Development makes certain representations and warranties relating to, among other things:</w:t>
      </w:r>
    </w:p>
    <w:p>
      <w:pPr>
        <w:spacing w:after="0" w:line="94" w:lineRule="exact"/>
        <w:rPr>
          <w:sz w:val="20"/>
          <w:szCs w:val="20"/>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proper corporate organization and similar corporate matters;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delivery and enforceability of the Merger Agreement and other transaction documents;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FS Development, no investment banker, broker, finder or other intermediary which has been retained by or is authorized to act on behalf of FS Development and its affiliates will be entitled to any fee or commissions from Gemini upon consummation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the duly authorized and validly issued and outstanding shares of capital stock of FS Development and Merger Sub; (ii) absence of any other shares of capital stock or other voting securities of FS Development that are issued, reserved for issuance or outstanding; and (iii) except as disclosed by FS Development’s organizational documents, there are no outstanding contractual obligations of FS Development to repurchase, redeem or otherwise acquire any shares of FS Development Common Stock or any capital equity of FS Development;</w:t>
      </w:r>
    </w:p>
    <w:p>
      <w:pPr>
        <w:spacing w:after="0" w:line="10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its share issuance;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trust fund amount at Closing, including the validity of the trust agreement;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4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FS Development has duly and timely filed all material tax returns, which are true, correct and complete and accurate in all material respects; (ii) no statute of limitations in respect of the assessment or collection of any taxes of FS Development has been waived or extended, which waiver or extension is in effect, and FS Development is not presently contesting the tax liability before any taxing authority or other authority; (iii) there is no action with respect to taxes of FS Development in the past five years; (iv) FS Development has complied in all respects with all applicable laws relating to the reporting, payment, collection and withholding of taxes and has duly and timely withheld or collected, paid over to the applicable taxing authority and reported all taxes required to be withheld or collected by FS Development; (v) there is no lien (other than certain permitted liens specified in the Merger Agreement) for taxes upon FS Development or any of the assets of FS Development; (vi) no claim has ever been made by a taxing authority in a jurisdiction where FS Development has not paid any tax or filed tax returns, asserting that FS Development is or may be subject to tax in such jurisdiction, FS Development is not nor has it ever been subject to tax in any country other than the country of incorporation of FS Development by virtue of having a permanent establishment or other place of business in that country, and FS Development is and has always been tax resident solely in its country of incorporation; (vii) FS Development has provided to Gemini true, complete and correct copies of all tax returns (if any) relating to, and all audit reports and correspondence relating to each proposed adjustment (if any) made by any taxing authority with respect to, any taxable period ending after December 31, 2020; (viii) there is no outstanding power of attorney from FS Development authorizing anyone to act on behalf of FS Development in connection with any tax, tax return or action relating to any tax or tax return of FS Development; (ix) FS Development is not, and has never been, a party to any tax sharing, allocation, indemnification or similar contract; (x) FS Development has not taken any action, and is not aware of any fact or circumstances, that would reasonably be expected to prevent the Business Combination from qualifying as a “reorganization” within the meaning of Section 368(a) of the Code; and (xi) FS Development is not a “United States real property holding corporation” within the meaning of Section 897(c)(2) of the Code at any time during the five-year period before the Closing Date;</w:t>
      </w:r>
    </w:p>
    <w:p>
      <w:pPr>
        <w:spacing w:after="0" w:line="121"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of FS Development Class A Common Stock, with trading ticker “FSDC”; 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6" w:lineRule="auto"/>
        <w:tabs>
          <w:tab w:leader="none" w:pos="14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 requirements, including that FS Development has filed all forms, reports, schedules, statements and other documents, including any exhibits thereto, required to be filed or furnished by FS Development with the SEC since FS Development’s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the Merger Agreement.</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FS Development and Gemini,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FS Development, Gemini or any of their respective subsidiaries or affiliates. Moreover, information concerning the subject matter of the representations, warranties and covenants may change after the date of the Merger Agreement. To the extent that prior to the effective date of this proxy statement/prospectus, material information that contradicts the representations, warranties, and covenants in the Merger Agreement has come to our attention, we have provided corrective disclosure in this proxy statement/prospectus. Furthermore, if subsequent to the effective date of this proxy statement/prospectus, material information concerning the subject matter of the representations, warranties, and covenants in the Merger Agreement comes to our attention and such information has not been previously disclosed in our public filings, our public filings will be updated to include any material information necessary to provide our stockholders with a materially complete understanding of the disclosures in the Merger Agreement.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Prior to Closing; Covenants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Agreement contains certain customary covenants of FS Development and Gemini, including, among others, each of FS Development and Gemini having agreed to (i) operate its business in the ordinary course prior to the closing of the Business Combination (with certain exceptions) and (ii) use its commercially reasonable efforts to preserve intact its business relationships with employees, clients, suppliers, contract manufacturing organizations, contract research organizations and other third parties. Each party has also agreed not to take certain specified actions without the prior written consent of the other party.</w:t>
      </w:r>
    </w:p>
    <w:p>
      <w:pPr>
        <w:spacing w:after="0" w:line="10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FS Development has agreed to adopt the Equity Incentive Plan as described elsewhere in this proxy statement/prospectus.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Conditions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obligation of FS Development and Gemini to consummate the Business Combination is conditioned on, among other things, any one or more of which may be waived in writing by all of such parties, (a) the absence of any order, stay, judgment or decree by any government agency restraining or prohibiting or imposing any condition on the closing of the Business Combination; (b) all necessary governmental approvals having been obtained; (c) the absence of any litigation brought by a governmental agency seeking to enjoin or otherwise restrict the Closing; (d) FS Development shall not have redeemed Public Shares in an amount that would cause it to have net tangible assets of less than $5,000,001; (e) FS Development shall have obtained the approval of its stockholders on the Merger Agreement and the Business Combination and the proposals set forth in this proxy statement/prospectus shall have been approved at the Special Meeting, or any adjournment thereof; and (f) Gemini shall have obtained the approval of its stockholders on the Merger Agreement and the Business Combination. FS Development and Gemini have waived the condition that the bylaws of the Combined Entity be approved by the stockholders of FS Development.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Gemini’s Conditions to Closing</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Gemini to consummate the transactions contemplated by the Merger Agreement, in addition to the conditions described above, are conditioned upon, among other things, each of the following, any one or more of which may be waived by Gemini:</w:t>
      </w:r>
    </w:p>
    <w:p>
      <w:pPr>
        <w:spacing w:after="0" w:line="108" w:lineRule="exact"/>
        <w:rPr>
          <w:sz w:val="20"/>
          <w:szCs w:val="20"/>
          <w:color w:val="auto"/>
        </w:rPr>
      </w:pPr>
    </w:p>
    <w:p>
      <w:pPr>
        <w:jc w:val="both"/>
        <w:ind w:left="1320" w:right="459" w:hanging="434"/>
        <w:spacing w:after="0" w:line="261" w:lineRule="auto"/>
        <w:tabs>
          <w:tab w:leader="none" w:pos="13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and Merger Sub shall each have duly performed or complied with, in all material respects, all of its respective obligations under the Merger Agreement required to be performed or complied with (without giving effect to any materiality or similar qualifiers contained therein) by FS Development or Merger Sub, as applicable, at or prior to the Closing Date.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1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contained in the Merger Agreement (disregarding all qualifications contained therein relating to materiality or Material Adverse Effect (as defined in the Merger Agreement)), other than the representations and warranties of FS Development and Merger Sub regarding corporate existence and power, authorization and finder’s fees, shall have been true and correct as of the date of the Merger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FS Development or on FS Development’s ability to consummate the transactions contemplated by the Merger Agreement and other specified agreements.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6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regarding corporate existence and power, authorization and finder’s fees (disregarding all qualifications and exceptions contained therein relating to materiality or Material Adverse Effect) shall have been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Charter shall have been filed with, and declared effective by, the Delaware Secretary of State.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post-Closing board of directors shall have been appointed as set forth in Section 2.7 of the Merger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(as defined in the Merger Agreement) shall be equal to or greater than $170,000,000.</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55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listing application with Nasdaq in connection with the transactions contemplated by the Merger Agreement shall have been conditionally approved and, immediately following the Effective Time, FS Development shall satisfy any applicable initial and continuing listing requirements of Nasdaq, and FS Development shall not have received any notice of non-compliance therewith, and the Closing Payment Shares (as defined in the Merger Agreement) shall have been approved for listing on Nasdaq.</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Development’s Conditions to Closing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FS Development to consummate the transactions contemplated by the Merger Agreement, in addition to the conditions described above in the first paragraph of this section, are conditioned upon, among other things, each of the following, any one or more of which may be waived by FS Development:</w:t>
      </w:r>
    </w:p>
    <w:p>
      <w:pPr>
        <w:spacing w:after="0" w:line="95" w:lineRule="exact"/>
        <w:rPr>
          <w:sz w:val="20"/>
          <w:szCs w:val="20"/>
          <w:color w:val="auto"/>
        </w:rPr>
      </w:pPr>
    </w:p>
    <w:p>
      <w:pPr>
        <w:jc w:val="both"/>
        <w:ind w:left="1320" w:right="479" w:hanging="434"/>
        <w:spacing w:after="0" w:line="266" w:lineRule="auto"/>
        <w:tabs>
          <w:tab w:leader="none" w:pos="139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duly performed or complied with, in all material respects, all of its obligations under the Merger Agreement required to be performed or complied with (without giving effect to any materiality or similar qualifiers contained therein) by Gemini at or prior to the Closing Date.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contained in the Merger Agreement (disregarding all qualifications and exceptions contained therein relating to materiality or Material Adverse Effect), other than the representations and warranties of Gemini regarding corporate existence and power, authorization and finder’s fees, shall be true and correct in all respects at and as of the date of the Merger Agreement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21" w:lineRule="exact"/>
        <w:rPr>
          <w:sz w:val="20"/>
          <w:szCs w:val="20"/>
          <w:color w:val="auto"/>
        </w:rPr>
      </w:pPr>
    </w:p>
    <w:p>
      <w:pPr>
        <w:jc w:val="both"/>
        <w:ind w:left="1320" w:right="459" w:hanging="434"/>
        <w:spacing w:after="0" w:line="255" w:lineRule="auto"/>
        <w:tabs>
          <w:tab w:leader="none" w:pos="172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regarding corporate existence and power, authorization and finder’s fees, (disregarding all qualifications and exceptions contained therein relating to materiality or Material Adverse Effect)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of Gemini since the date of the Merger Agreement that is continuing.</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Gemini common stock (including shares of Gemini common stock issuable upon conversion of Gemini preferred stock) shall continue Dissenting Shares (as defined in the Merger Agreement).</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specified consents from third parties.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the consent of the holders of outstanding awards under Gemini’s existing equity incentive plans, to ensure that no more than five percent (5%) of the outstanding equity and equity-based awards under Gemini’s existing equity incentive plans accelerate in connection with the consummation of the Merger or otherwise as a result of the transactions contemplated by the Merger Agreement.</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delivered to FS Development copies of a lockup agreement duly executed by specified persons.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5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and after the Closing, holders of shares of Gemini capital stock (collectively, the “</w:t>
      </w:r>
      <w:r>
        <w:rPr>
          <w:rFonts w:ascii="Times New Roman" w:cs="Times New Roman" w:eastAsia="Times New Roman" w:hAnsi="Times New Roman"/>
          <w:sz w:val="18"/>
          <w:szCs w:val="18"/>
          <w:b w:val="1"/>
          <w:bCs w:val="1"/>
          <w:color w:val="auto"/>
        </w:rPr>
        <w:t>Escrow Participants</w:t>
      </w:r>
      <w:r>
        <w:rPr>
          <w:rFonts w:ascii="Times New Roman" w:cs="Times New Roman" w:eastAsia="Times New Roman" w:hAnsi="Times New Roman"/>
          <w:sz w:val="18"/>
          <w:szCs w:val="18"/>
          <w:color w:val="auto"/>
        </w:rPr>
        <w:t>”) have agreed to indemnify and hold harmless FS Development, its officers, directors and affiliates and their respective successors and permitted assigns against and in respect of any and all out-of-pocket losses incurred or sustained by FS Development as a result of: (a) any breach or inaccuracy of any of the representations, warranties set forth in Article V of the Merger Agreement (as modified by the schedules to the Merger Agreement) or in a specified certificate delivered by Gemini to FS Development at closing, in each case as of the Closing Date or such other date as expressly set forth in such representation or warranty, and (b) any breach or nonfulfillment of any covenants of Gemini contained in the Merger Agreement to be performed at or prior to the Closing Date.</w:t>
      </w:r>
    </w:p>
    <w:p>
      <w:pPr>
        <w:spacing w:after="0" w:line="12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Two Million One Hundred Fifty Thousand (2,150,000) of the shares of FS Development Class A Common Stock otherwise issuable to (or reserved for issuance for) the Escrow Participants at the Closing shall be deposited into a third party escrow account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FS Development’s sole and exclusive remedy for such losses under the Merger Agreement shall be the recovery of a number of Escrow Shares from the then remaining Escrow Shares having a value equal to the losses that have been finally determined to be owing to FS Development in accordance with Article XI of the Merger Agreement (at an assumed value equal to the greater of: (a) $10.00 per share and (b) the volume weighted average price of the FS Development Class A Common Stock for the ten (10) trading days ending on the trading day immediately preceding the Closing Date (the “</w:t>
      </w:r>
      <w:r>
        <w:rPr>
          <w:rFonts w:ascii="Times New Roman" w:cs="Times New Roman" w:eastAsia="Times New Roman" w:hAnsi="Times New Roman"/>
          <w:sz w:val="18"/>
          <w:szCs w:val="18"/>
          <w:b w:val="1"/>
          <w:bCs w:val="1"/>
          <w:color w:val="auto"/>
        </w:rPr>
        <w:t>Escrow Share Value</w:t>
      </w:r>
      <w:r>
        <w:rPr>
          <w:rFonts w:ascii="Times New Roman" w:cs="Times New Roman" w:eastAsia="Times New Roman" w:hAnsi="Times New Roman"/>
          <w:sz w:val="18"/>
          <w:szCs w:val="18"/>
          <w:color w:val="auto"/>
        </w:rPr>
        <w:t>”)), in each case, subject to the limitations set forth in Article XI of the Merger Agreement, including the Indemnifiable Loss Limit (as defined below).</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w:t>
      </w:r>
    </w:p>
    <w:p>
      <w:pPr>
        <w:spacing w:after="0" w:line="158" w:lineRule="exact"/>
        <w:rPr>
          <w:sz w:val="20"/>
          <w:szCs w:val="20"/>
          <w:color w:val="auto"/>
        </w:rPr>
      </w:pPr>
    </w:p>
    <w:p>
      <w:pPr>
        <w:jc w:val="both"/>
        <w:ind w:left="1320" w:right="479" w:hanging="434"/>
        <w:spacing w:after="0" w:line="261" w:lineRule="auto"/>
        <w:tabs>
          <w:tab w:leader="none" w:pos="14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liability of the Escrow Participants under the Merger Agreement or otherwise in connection with the transactions contemplated by the Merger Agreement shall in no event exceed an amount equal to: (i) the Escrow Share Value, multiplied by (ii) the Escrow Shares (the “</w:t>
      </w:r>
      <w:r>
        <w:rPr>
          <w:rFonts w:ascii="Times New Roman" w:cs="Times New Roman" w:eastAsia="Times New Roman" w:hAnsi="Times New Roman"/>
          <w:sz w:val="18"/>
          <w:szCs w:val="18"/>
          <w:b w:val="1"/>
          <w:bCs w:val="1"/>
          <w:color w:val="auto"/>
        </w:rPr>
        <w:t>Indemnifiable Loss Limit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shall not be entitled to indemnification pursuant to Section 11.1 of the Merger Agreement unless and until the aggregate amount of losses to FS Development equal at least $1,612,500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at which time, subject to the other limitations set forth in the Merger Agreement, FS Development shall be entitled to indemnification for any losses above the Basket, subject to the Indemnifiable Loss Limit.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Participants shall have no liability or obligation to indemnify FS Development under the Merger Agreement with respect to the breach or inaccuracy of any representation or warranty based on any matter, fact or circumstance known by FS Development as of the date of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Merger Agreement will (i) limit the parties’ rights to seek injunctive relief or other equitable remedies, (ii) prevent FS Development from bringing an action for fraud (with scienter) against the Person who committed such fraud (with scienter) or (iii) limit the right of any person or entity to pursue remedies under any other agreement entered into in connection with the transactions contemplated by the Merger Agreement against the parties thereto.</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indemnification to which FS Development is entitled from the Escrow Participants pursuant to Section 11.1 of the Merger Agreement for losses shall be effective so long as it is asserted prior to the expiration of the twelve (12) month anniversary of the Closing date (the “</w:t>
      </w:r>
      <w:r>
        <w:rPr>
          <w:rFonts w:ascii="Times New Roman" w:cs="Times New Roman" w:eastAsia="Times New Roman" w:hAnsi="Times New Roman"/>
          <w:sz w:val="18"/>
          <w:szCs w:val="18"/>
          <w:b w:val="1"/>
          <w:bCs w:val="1"/>
          <w:color w:val="auto"/>
        </w:rPr>
        <w:t>Survival Period</w:t>
      </w:r>
      <w:r>
        <w:rPr>
          <w:rFonts w:ascii="Times New Roman" w:cs="Times New Roman" w:eastAsia="Times New Roman" w:hAnsi="Times New Roman"/>
          <w:sz w:val="18"/>
          <w:szCs w:val="18"/>
          <w:color w:val="auto"/>
        </w:rPr>
        <w:t>”); provided, that in the event that any indemnification notice shall have been given by FS Development in accordance with the provisions of the Merger Agreement (each, an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 prior to the expiration of the Survival Period and such claim has not been finally resolved by the expiration of the Survival Period, the representations, warranties, covenants, agreements or obligations that are the subject of such Indemnification Notice shall survive solely for purposes of resolving such claim until such matters are finally resolved.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by:</w:t>
      </w:r>
    </w:p>
    <w:p>
      <w:pPr>
        <w:spacing w:after="0" w:line="158" w:lineRule="exact"/>
        <w:rPr>
          <w:sz w:val="20"/>
          <w:szCs w:val="20"/>
          <w:color w:val="auto"/>
        </w:rPr>
      </w:pPr>
    </w:p>
    <w:p>
      <w:pPr>
        <w:jc w:val="both"/>
        <w:ind w:left="1320" w:right="459" w:hanging="434"/>
        <w:spacing w:after="0" w:line="261" w:lineRule="auto"/>
        <w:tabs>
          <w:tab w:leader="none" w:pos="141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in the event (i) a governmental authority shall have issued an order, having the effect of permanently restraining, enjoining or otherwise prohibiting the Merger, which order is final and non-appealable or (ii) any applicable law is in effect making the consummation of the Merger illegal.</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if the Closing has not occurred on or prior to April 15, 2021 (the “</w:t>
      </w:r>
      <w:r>
        <w:rPr>
          <w:rFonts w:ascii="Times New Roman" w:cs="Times New Roman" w:eastAsia="Times New Roman" w:hAnsi="Times New Roman"/>
          <w:sz w:val="18"/>
          <w:szCs w:val="18"/>
          <w:b w:val="1"/>
          <w:bCs w:val="1"/>
          <w:color w:val="auto"/>
        </w:rPr>
        <w:t>Outside Closing Date</w:t>
      </w:r>
      <w:r>
        <w:rPr>
          <w:rFonts w:ascii="Times New Roman" w:cs="Times New Roman" w:eastAsia="Times New Roman" w:hAnsi="Times New Roman"/>
          <w:sz w:val="18"/>
          <w:szCs w:val="18"/>
          <w:color w:val="auto"/>
        </w:rPr>
        <w:t>”); provided, that if the SEC has not declared FS Development’s proxy statement effective on or prior to January 15, 2021, the Outside Closing Date shall be automatically extended to May 15, 2021; provided, further, that FS Development or Gemini, as applicable, is not in material breach of any of its obligations under the Merger Agreement;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(i) Gemini shall have breached any representation, warranty, agreement or covenant contained in the Merger Agreement to be performed on or prior to the Closing Date, which has rendered or would render the satisfaction of any of the conditions set forth in Section 10.2 of the Merger Agreement impossible; and (ii) such breach cannot be cured or is not cured by the earlier of the Outside Closing Date and thirty (30) days following receipt by the breaching party of a written notice from the non-breaching party describing in reasonable detail the nature of such breach.</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0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Gemini has not delivered evidence of the Gemini stockholders’ approval by written consent of the Merger Agreement and the transactions contemplated thereby to FS Development by no later than two business days following the effective date of this proxy statement (the “</w:t>
      </w:r>
      <w:r>
        <w:rPr>
          <w:rFonts w:ascii="Times New Roman" w:cs="Times New Roman" w:eastAsia="Times New Roman" w:hAnsi="Times New Roman"/>
          <w:sz w:val="18"/>
          <w:szCs w:val="18"/>
          <w:b w:val="1"/>
          <w:bCs w:val="1"/>
          <w:color w:val="auto"/>
        </w:rPr>
        <w:t>Gemini Stockholder Approval Termination Right</w:t>
      </w:r>
      <w:r>
        <w:rPr>
          <w:rFonts w:ascii="Times New Roman" w:cs="Times New Roman" w:eastAsia="Times New Roman" w:hAnsi="Times New Roman"/>
          <w:sz w:val="18"/>
          <w:szCs w:val="18"/>
          <w:color w:val="auto"/>
        </w:rPr>
        <w:t>”); provided, that FS Development shall not be permitted to terminate the Merger Agreement pursuant to the Gemini Stockholder Approval Right at any time (A) prior to two business days following the effective date of this proxy statement or (B) after such evidence has been delivered to FS Development.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if: (i) FS Development shall have breached any representation, warranty, agreement or covenant contained in the Merger Agreement to be performed on or prior to the Closing Date, which has rendered or would render the satisfaction of any of the conditions set forth in Section 10.3 of the Merger Agreement impossible; and (ii) such breach cannot be cured or is not cured by the earlier of the Outside Closing Date and thirty (30) days following receipt by FS Development of a written notice from Gemini describing in reasonable detail the nature of such breach.</w:t>
      </w:r>
    </w:p>
    <w:p>
      <w:pPr>
        <w:sectPr>
          <w:pgSz w:w="11900" w:h="16838" w:orient="portrait"/>
          <w:cols w:equalWidth="0" w:num="1">
            <w:col w:w="9019"/>
          </w:cols>
          <w:pgMar w:left="1440" w:top="270"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Ancillary Agreements Related to the Business Combination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entered into the Subscription Agreements with certain investors, including an affiliate of our Sponsor, pursuant to which, among other things, such investors have agreed to purchase immediately prior to the Closing, an aggregate of 9,506,000 shares of Class A Common Stock at a purchase price of $10.00 per share, for aggregate gross proceeds of $95,060,000. The affiliate of our Sponsor has assigned to the Sponsor its obligation to purchase its shares under the subscription agreement so that our Sponsor will purchase 1,500,000 of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obligations to consummate the subscriptions are conditioned upon, among other things,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FS Development entered into non-redemption letter agreements with FS Development,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 Support Agreements</w:t>
      </w:r>
    </w:p>
    <w:p>
      <w:pPr>
        <w:spacing w:after="0" w:line="15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Gemini stockholders (the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Supporting Stockholders</w:t>
      </w:r>
      <w:r>
        <w:rPr>
          <w:rFonts w:ascii="Times New Roman" w:cs="Times New Roman" w:eastAsia="Times New Roman" w:hAnsi="Times New Roman"/>
          <w:sz w:val="18"/>
          <w:szCs w:val="18"/>
          <w:color w:val="auto"/>
        </w:rPr>
        <w:t>”) entered into support agreements with FS Development (the “</w:t>
      </w:r>
      <w:r>
        <w:rPr>
          <w:rFonts w:ascii="Times New Roman" w:cs="Times New Roman" w:eastAsia="Times New Roman" w:hAnsi="Times New Roman"/>
          <w:sz w:val="18"/>
          <w:szCs w:val="18"/>
          <w:b w:val="1"/>
          <w:bCs w:val="1"/>
          <w:color w:val="auto"/>
        </w:rPr>
        <w:t>Gemini Support Agreements</w:t>
      </w:r>
      <w:r>
        <w:rPr>
          <w:rFonts w:ascii="Times New Roman" w:cs="Times New Roman" w:eastAsia="Times New Roman" w:hAnsi="Times New Roman"/>
          <w:sz w:val="18"/>
          <w:szCs w:val="18"/>
          <w:color w:val="auto"/>
        </w:rPr>
        <w:t>”). Under the Gemini Support Agreements, each Gemini Supporting Stockholder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as reasonably practicable (and in any event within two (2) business days) following the SEC declaring this proxy statement/prospectus effective, to execute and deliver a written consent with respect to the outstanding shares of the Gemini Stock held by such Gemini Supporting Stockholder (the “</w:t>
      </w:r>
      <w:r>
        <w:rPr>
          <w:rFonts w:ascii="Times New Roman" w:cs="Times New Roman" w:eastAsia="Times New Roman" w:hAnsi="Times New Roman"/>
          <w:sz w:val="18"/>
          <w:szCs w:val="18"/>
          <w:b w:val="1"/>
          <w:bCs w:val="1"/>
          <w:color w:val="auto"/>
        </w:rPr>
        <w:t>Subject 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approving the Merger Agreement and the transactions contemplated thereby. In addition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Business Combination (ii) against any alternative transaction; and</w:t>
      </w:r>
    </w:p>
    <w:p>
      <w:pPr>
        <w:spacing w:after="0" w:line="8" w:lineRule="exact"/>
        <w:rPr>
          <w:sz w:val="20"/>
          <w:szCs w:val="20"/>
          <w:color w:val="auto"/>
        </w:rPr>
      </w:pPr>
    </w:p>
    <w:p>
      <w:pPr>
        <w:jc w:val="both"/>
        <w:ind w:left="460" w:right="459" w:hanging="6"/>
        <w:spacing w:after="0" w:line="250" w:lineRule="auto"/>
        <w:tabs>
          <w:tab w:leader="none" w:pos="8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(including any provisions of any such agreement that, by its terms, survive such termination), effective as of, and subject to and condition upon the occurrence of, the Closing. The Subject Gemini Shares owned by the Gemini Supporting Stockholders and subject to the Gemini Support Agreements represent over</w:t>
      </w:r>
    </w:p>
    <w:p>
      <w:pPr>
        <w:spacing w:after="0" w:line="2" w:lineRule="exact"/>
        <w:rPr>
          <w:rFonts w:ascii="Times New Roman" w:cs="Times New Roman" w:eastAsia="Times New Roman" w:hAnsi="Times New Roman"/>
          <w:sz w:val="18"/>
          <w:szCs w:val="18"/>
          <w:color w:val="auto"/>
        </w:rPr>
      </w:pPr>
    </w:p>
    <w:p>
      <w:pPr>
        <w:jc w:val="both"/>
        <w:ind w:left="460" w:right="459" w:firstLine="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outstanding voting power of Gemini Stock. In addition, the Gemini Support Agreements prohibit the Gemini Supporting Stockholders from, among other things, (i) transferring any of the Subject Gemini Shares;</w:t>
      </w:r>
    </w:p>
    <w:p>
      <w:pPr>
        <w:jc w:val="both"/>
        <w:ind w:left="460" w:right="479" w:hanging="6"/>
        <w:spacing w:after="0" w:line="253" w:lineRule="auto"/>
        <w:tabs>
          <w:tab w:leader="none" w:pos="7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foregoing.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 Support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FS Development including the Initial Stockholders (the “</w:t>
      </w:r>
      <w:r>
        <w:rPr>
          <w:rFonts w:ascii="Times New Roman" w:cs="Times New Roman" w:eastAsia="Times New Roman" w:hAnsi="Times New Roman"/>
          <w:sz w:val="18"/>
          <w:szCs w:val="18"/>
          <w:b w:val="1"/>
          <w:bCs w:val="1"/>
          <w:color w:val="auto"/>
        </w:rPr>
        <w:t>FS Development Supporting Stockholders</w:t>
      </w:r>
      <w:r>
        <w:rPr>
          <w:rFonts w:ascii="Times New Roman" w:cs="Times New Roman" w:eastAsia="Times New Roman" w:hAnsi="Times New Roman"/>
          <w:sz w:val="18"/>
          <w:szCs w:val="18"/>
          <w:color w:val="auto"/>
        </w:rPr>
        <w:t>”) entered into support agreements with FS Development, Gemini and the Sponsor (the “</w:t>
      </w:r>
      <w:r>
        <w:rPr>
          <w:rFonts w:ascii="Times New Roman" w:cs="Times New Roman" w:eastAsia="Times New Roman" w:hAnsi="Times New Roman"/>
          <w:sz w:val="18"/>
          <w:szCs w:val="18"/>
          <w:b w:val="1"/>
          <w:bCs w:val="1"/>
          <w:color w:val="auto"/>
        </w:rPr>
        <w:t>FS Development Support Agreements</w:t>
      </w:r>
      <w:r>
        <w:rPr>
          <w:rFonts w:ascii="Times New Roman" w:cs="Times New Roman" w:eastAsia="Times New Roman" w:hAnsi="Times New Roman"/>
          <w:sz w:val="18"/>
          <w:szCs w:val="18"/>
          <w:color w:val="auto"/>
        </w:rPr>
        <w:t>”). Under FS Development Support Agreements, each FS Development Supporting Stockholder agreed to vote, at any meeting of the stockholders of FS Development, and in any action by written consent of the stockholders of FS Development, all of such FS Development Supporting Stockholder’s FS Development Common Stock (i) in favor of the Merger Agreement, certain proposals requiring approval by the stockholders of FS Development in connection with Business Combination and the transactions contemplated by the Merger Agreement and FS Development Support Agreement, and (ii) in favor of any other matter reasonably necessary to the consummation of the transactions contemplated by the Merger Agreement and the approval of the Parent Proposals (as defined in the Merger Agreement). The shares of FS Development Common Stock owned by the FS Development Supporting Stockholders and subject to the FS Development Support</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Agreements represent over % of the outstanding voting power of FS Development Common Stock. In addition, FS Development Support Agreements prohibit FS Development Supporting Stockholders from, among other things, selling, assigning or transferring any FS Development Common Stock of FS Development held by FS Development Supporting Stockholders or taking any action that would prevent or disable FS Development Support Stockholders from performing its obligations thereunder.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Initial Stockholders and certain other stockholders will enter into a registration rights agreement with FS Development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 The presence of these additional shares of common stock trading in the public market may have an adverse effect on the market price of the Combined Entity’s securities.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FS Development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the voting agreement, subject to certain terms and holding requirements set forth therein.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320" w:right="479" w:hanging="434"/>
        <w:spacing w:after="0" w:line="282" w:lineRule="auto"/>
        <w:tabs>
          <w:tab w:leader="none" w:pos="133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Board concluded that the Business Combination met all of the requirements disclosed in the prospectus for the FS Development IPO with respect to FS Development’s initial business combination, including that the Business Combination had a fair market value of at least 80% of the balance of the funds in the Trust Account (excluding the deferred underwriting commissions and taxes payable on the income earned on the Trust Account) at the time of execution of the Merger Agreement.</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the date of the execution of the Merger Agreement, the balance of funds in the Trust Account was approximately $[•] million, 80% thereof represents approximately $[•] million. In reaching its conclusion that the business combination meets the 80% test, the Board used as a fair market value the enterprise value of approximately $215 million, which was implied based on the terms of the transactions agreed to by the parties in negotiating the Merger Agreement. In determining whether the purchase price represents the fair market value of Gemini, the Board considered all of the factors described in the section entitled “The Business Combination Proposal — Board’s Reasons for Approval of the Business Combination,” and the fact that the purchase price for Gemini was the result of an arm’s length negotiation. As a result, the Board concluded that the fair market value of the businesses acquired was significantly in excess of 80% of the assets held in the Trust Account. In light of the financial background and experience of the members of our management team and the Board in valuing companies in the biotechnology industry, the Board believes that the members of our management team and the Board are qualified to determine whether the business combination meets the 80% test. The Board did not seek or obtain an opinion of an outside fairness or valuation advisor as to whether the 80% test has been met.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FS Development’s Directors and Officers and Others in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Business Combination Proposal and the other proposals, you should keep in mind that the Sponsor and FS Development’s directors and officers, have interests in such proposals that are different from, or in addition to, your interests as a stockholder. These interests include, among other things:</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the Board, liquidate and dissolve, subject in each case to our obligations under Delaware law to provide for claims of creditors and the requirements of other applicable law.</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 Upon the Closing, such Founders Shares will convert into 2,928,750 shares of Class A Common Stock.</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our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5" w:lineRule="auto"/>
        <w:tabs>
          <w:tab w:leader="none" w:pos="155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9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Business Combination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the Company’s public stockholders (other than investors in the PIPE Investment) will retain an ownership interest of approximately 26% in the Combined Entity, the PIPE Investment investors will own approximately 21% of the outstanding common stock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This ownership interest assumes that no shares are elected to be redeemed.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for the Business Combination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sources and uses for funding the Business Combination based on (i) the assumption that there will be no redemptions and (ii) the assumption that there will be maximum redemptions.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No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120,751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430,811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Maximum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315,061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Certificate of Incorporation; By-laws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upon the closing of the Business Combination, FS Development’s Current Charter and Current By-laws will be amended and restated as set forth in the Proposed Charter and Amended By-laws. See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 for more information regarding the proposed amendments to the Current Charter.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Headquarters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name of the Combined Entity will be Gemini Therapeutics, Inc. and its headquarters will be located at One Kendall Square, Cambridge, Massachusetts.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Redemption</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for holders of our Common Stock that elect to have their Common Stock redeemed pursuant to the Current Charter, which is referred to as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our Common Stock as part of a “straddle,” “hedge,” “conversion transaction,” “synthetic security,” “constructive ownership transaction,” “constructive sale,” or other integrated transaction for U.S. federal income tax purposes, U.S. Holders (as defined below) that have a functional currency other than the U.S. dollar, certain former U.S. citizens or long-term residents, investors that directly, indirectly, or constructively own 5 percent or more (by vote or value) of our Common Stock, “specified foreign corporations” (including “controlled foreign corporations”), “passive foreign investment companies” and corporations that accumulate earnings to avoid U.S. federal income tax, governments or agencies or instrumentalities thereof, persons who received their shares of our Common Stock pursuant to an exercise of employee share options, in connection with employee share incentive plans or otherwise as compensation, and Non-U.S.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investors that hold our Common Stock as “capital assets” under the Code (generally, property held for investment).</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U.S. federal income tax treatment of a partner in such partnership will generally depend upon the status of the partner, the activities of the partnership and certain determinations made at the partner level. If you are a partnership or a partner of a partnership holding our Common Stock, you are urged to consult your tax advisor regarding the tax consequences of a Redemption.</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WE URGE HOLDERS OF OUR COMMON STOCK CONTEMPLATING EXERCISE OF THEIR REDEMPTION RIGHTS TO CONSULT THEIR OWN TAX ADVISORS CONCERNING THE U.S. FEDERAL, STATE, LOCAL AND NON-U.S. INCOME AND OTHER TAX CONSEQUENCES THEREOF.</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U.S. Holders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section is addressed to U.S. Holders of our Common Stock that elect to have their Common Stock redeemed pursuant to the Redemption. For purposes of this discussion, a “U.S. Holder” is a beneficial owner of our Common Stock who or that is, for U.S. federal income tax purposes:</w:t>
      </w:r>
    </w:p>
    <w:p>
      <w:pPr>
        <w:spacing w:after="0" w:line="108" w:lineRule="exact"/>
        <w:rPr>
          <w:sz w:val="20"/>
          <w:szCs w:val="20"/>
          <w:color w:val="auto"/>
        </w:rPr>
      </w:pPr>
    </w:p>
    <w:p>
      <w:pPr>
        <w:ind w:left="1300" w:hanging="414"/>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Common Stock</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event that a U.S. Holder’s Common Stock is redeemed pursuant to the Redemption,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both before and after the Redemption (including any stock constructively owned by the U.S. Holder as a result of owning warrants and stock ownership attributed to such U.S. Holder under applicable attribution rules)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warrants. Moreover, any of our stock that a U.S. Holder directly or constructively acquires pursuant to the Business Combination or the PIPE Investment generally should be included in determining the U.S. federal income tax treatment of the Redemption.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U.S. Holder immediately following the Redemption must, among other requirements, be less than 80% of the percentage of our outstanding voting stock actually and constructively owned by the U.S. Holder immediately before the Redemption (taking into account both redemptions by other holders of Common Stock and the Common Stock to be issued pursuant to the Business Combination or the PIPE Investment).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holder as a result of owning warrants). The Redemption will be not essentially equivalent to a dividend if a U.S. Holder’s Redemption results in a “meaningful reduction” of the U.S. Holder’s proportionate interest in us. Whether the Redemption will result in a meaningful reduction in a U.S. Holder’s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proportionate interest in us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distribution and the tax effects will be as described below under “</w:t>
      </w:r>
      <w:r>
        <w:rPr>
          <w:rFonts w:ascii="Times New Roman" w:cs="Times New Roman" w:eastAsia="Times New Roman" w:hAnsi="Times New Roman"/>
          <w:sz w:val="18"/>
          <w:szCs w:val="18"/>
          <w:i w:val="1"/>
          <w:iCs w:val="1"/>
          <w:color w:val="auto"/>
        </w:rPr>
        <w:t>U.S. Federal Income Tax Considerations to U.S. Holders —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 U.S. Holders of our Common Stock considering exercising their redemption rights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 their own tax advisors as to whether the Redemption will be treated as a sale or as a distribution under the Code.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Redemption qualifies as a sale of Common Stock, generally, a U.S. Holder will recognize gain or loss in an amount equal to the difference between (i) the sum of cash and the fair market value of any property received in such disposition and (ii) the U.S. Holder’s adjusted tax basis in its Common Stock so disposed of.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statement/prospectus may suspend the running of the applicable holding period for this purpose. A U.S. Holder’s adjusted tax basis in its Common Stock generally will equal the U.S. Holder’s acquisition cost less any prior distributions treated as a return of capital. Long-term capital gain recognized by a non-corporate U.S. Holder generally will be taxable at a reduced rate. The deduction of capital losses is subject to limitations.</w:t>
      </w:r>
    </w:p>
    <w:p>
      <w:pPr>
        <w:spacing w:after="0" w:line="11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FS Development U.S. Holders — Gain or Loss on Sale, Taxable Exchange or Other Taxable Disposition of Common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taxable at a reduced rate. It is unclear whether the redemption rights with respect to the Common Stock described in this proxy statement/prospectus may prevent a U.S. Holder from satisfying the applicable holding period requirements with respect to the dividends received deduction or the preferential tax rate on qualified dividend income, as the case may be.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Non-U.S. Holders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section is addressed to Non-U.S. Holders of our Common Stock that elect to have their Common Stock redeemed pursuant to the Redemption. For purposes of this discussion, a “Non-U.S. Holder” is a beneficial owner of our Common Stock (other than a partnership) that is not a U.S. Holder. The characterization for U.S. federal income tax purposes of the Redemption generally will correspond to the U.S. federal income tax characterization of the Redemption as described under “</w:t>
      </w:r>
      <w:r>
        <w:rPr>
          <w:rFonts w:ascii="Times New Roman" w:cs="Times New Roman" w:eastAsia="Times New Roman" w:hAnsi="Times New Roman"/>
          <w:sz w:val="18"/>
          <w:szCs w:val="18"/>
          <w:i w:val="1"/>
          <w:iCs w:val="1"/>
          <w:color w:val="auto"/>
        </w:rPr>
        <w:t>U.S. Federal Income Tax Considerations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Common Stock</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redemption qualifies as a sale of Common Stock, subject to the discussions of FATCA (as defined below) and backup withholding below, a Non-U.S. Holder generally will not be subject to U.S. federal income or withholding tax in respect of gain recognized on a sale of its Common Stock, unless:</w:t>
      </w:r>
    </w:p>
    <w:p>
      <w:pPr>
        <w:spacing w:after="0" w:line="108" w:lineRule="exact"/>
        <w:rPr>
          <w:sz w:val="20"/>
          <w:szCs w:val="20"/>
          <w:color w:val="auto"/>
        </w:rPr>
      </w:pPr>
    </w:p>
    <w:p>
      <w:pPr>
        <w:jc w:val="both"/>
        <w:ind w:left="1320" w:right="459" w:hanging="434"/>
        <w:spacing w:after="0" w:line="255" w:lineRule="auto"/>
        <w:tabs>
          <w:tab w:leader="none" w:pos="14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unless an applicable income tax treaty provides otherwise, the Non-U.S. Holder will generally be subject to the same treatment as a U.S. Holder with respect to the Redemption, and a corporate Non-U.S. Holder may be subject to an additional branch profits tax at a 30% rate (or lower rate as may be specified by an applicable income tax treaty);</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(including any gain realized in connection with the Redemption) for the year (which gain may be offset by certain U.S.-source capital losses), even though the Non-U.S. Holder is not considered a resident of the United States; or</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in which case, gain recognized by such holder in connection with the Redemption will be subject to tax at generally applicable U.S. federal income tax rates. In addition, we may be required to withhold U.S. federal income tax at a rate of 15% of the amount realized upon such Redemption. There can be no assurance that our Common Stock is or has been treated as regularly traded on an established securities market for this purpose.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Any distribution not constituting a dividend will be treated first as reducing (but not below zero) the Non-U.S. Holder’s adjusted tax basis in its shares of our Common Stock redeemed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Non-U.S. Holders — Gain on Sale, Taxable Exchange or Other Taxable Disposition of Common Stock</w:t>
      </w:r>
      <w:r>
        <w:rPr>
          <w:rFonts w:ascii="Times New Roman" w:cs="Times New Roman" w:eastAsia="Times New Roman" w:hAnsi="Times New Roman"/>
          <w:sz w:val="18"/>
          <w:szCs w:val="18"/>
          <w:color w:val="auto"/>
        </w:rPr>
        <w:t>.” If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determined at the time a distribution 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timely provides proper certification of its eligibility for such reduced rate (usually on an IRS Form W-8BEN or W-8BEN-E).</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Because (i) it may not be certain at the time a Non-U.S. Holder is redeemed whether such Non-U.S. Holder’s Redemption will be treated as a sale of shares or a distribution constituting a dividend, (ii) such determination will depend in part on a Non-U.S. Holder’s particular circumstances, and (iii) we generally cannot determine at the time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make a distribution whether or not the distribution will exceed our current and accumulated earnings and profits, we or the applicable withholding agent generally will withhold tax on the entire amount of any distribution at the 30% rate (subject to reduction by an applicable income tax treaty). However, if we or an applicable withholding agent withhold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Backup withholding is not an additional tax. The amount of any backup withholding from a payment to a holder may be allowed as a credit against such holder’s U.S. federal income tax liability and may entitle such holder to a refund, provided that an appropriate claim for refund is timely filed with the IRS and the required information is timely furnished to the IRS.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a 30% withholding tax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and complies with,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Thirty percent (30%) withholding under FATCA was scheduled to apply to the gross proceeds of a disposition of any stock, debt instrument, or other property that can produce U.S.-source dividends or interest beginning on January 1, 2019, but on December 13, 2018, the IRS released proposed regulations that, if finalized in their proposed form, would eliminate the obligation to withhold on gross proceeds. Although these proposed Treasury Regulations are not final, taxpayers generally may rely on them until final Treasury Regulations are issued.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Business Combination to Gemini Equityholders</w:t>
      </w:r>
    </w:p>
    <w:p>
      <w:pPr>
        <w:spacing w:after="0" w:line="9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of the Business Combination for U.S. Gemini Holders (as defined below) and Non-U.S. Gemini Holders (as defined below, and together, the “Gemini Holders”) who exchange their Gemini Stock for the Merger Consideration in the Business Combination. This summary is based upon the Code, the regulations promulgated by the U.S. Treasury Department,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w:t>
      </w:r>
    </w:p>
    <w:p>
      <w:pPr>
        <w:spacing w:after="0" w:line="11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Gemini Stock as part of a “straddle,” “hedge,” “conversion transaction,” “synthetic security,” “constructive ownership transaction,” “constructive sale,” or other integrated transaction for U.S. federal income tax purposes, U.S. Gemini Holders (as defined below) that have a functional currency other than the U.S. dollar, certain former U.S. citizens or long-term residents, investors that directly, indirectly or constructively own 5 percent or more (by vote or value) of the Gemini Stock, “specified foreign corporations” (including “controlled foreign corporations”), “passive foreign investment companies” and corporations that accumulate earnings to avoid U.S. federal income tax, governments or agencies or instrumentalities thereof, persons who received their Gemini Stock pursuant to an exercise of employee share options, in connection with employee share incentive plans or otherwise as compensation, and Non-U.S. Gemini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Gemini Holders that hold Gemini Stock as “capital assets” under the Code (generally, property held for investment).</w:t>
      </w:r>
    </w:p>
    <w:p>
      <w:pPr>
        <w:spacing w:after="0" w:line="13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Gemini Holder” is a beneficial owner of Gemini Stock who or that is, for U.S. federal income tax purposes:</w:t>
      </w:r>
    </w:p>
    <w:p>
      <w:pPr>
        <w:spacing w:after="0" w:line="81" w:lineRule="exact"/>
        <w:rPr>
          <w:sz w:val="20"/>
          <w:szCs w:val="20"/>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Gemini Holder” is a beneficial owner of Gemini Stock (other than a partnership) that is not a U.S. Gemini Holder.</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Gemini Stock, the U.S. federal income tax treatment of a partner in such partnership will generally depend upon the status of the partner, the activities of the partnership and certain determinations made at the partner level. If you are a partnership or a partner of a partnership holding Gemini Stock, you are urged to consult your tax advisor regarding the tax consequences of the Business Combination.</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URGE GEMINI HOLDERS TO CONSULT THEIR OWN TAX ADVISORS CONCERNING THE U.S. FEDERAL, STATE, LOCAL AND NON-U.S. INCOME AND OTHER TAX CONSEQUENCES OF THE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Qualifies as a Reorganization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Subject to the qualifications and assumptions described in this proxy statement/prospectus, FS Development and Gemini intend for the Business Combination to be treated for U.S. federal income tax purposes as a reorganization within the meaning of Section 368(a) of the Code. Nevertheless, the parties’ intentions and this proxy statement/prospectus are not binding on the IRS, and the IRS or a U.S. court could disagree with one or more of the positions discussed in this proxy statement/prospectus. Indeed, the IRS has announced that it will not issue favorable reorganization rulings with respect to escrow stock arrangements unless such arrangements comply with certain requirements. Neither FS Development nor Gemini has requested an opinion from U.S. tax counsel or a ruling from the IRS regarding the U.S. federal income tax consequences arising from and relating to the Business Combination. For a discussion of the U.S. federal income tax consequences if the Business Combination fails to qualify as a reorganization within the meaning of Section 368(a) of the Code, see “—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if the Business Combination Fails to Qualify as a Reorganization</w:t>
      </w:r>
      <w:r>
        <w:rPr>
          <w:rFonts w:ascii="Times New Roman" w:cs="Times New Roman" w:eastAsia="Times New Roman" w:hAnsi="Times New Roman"/>
          <w:sz w:val="18"/>
          <w:szCs w:val="18"/>
          <w:color w:val="auto"/>
        </w:rPr>
        <w:t>” below. The remainder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discussion “— </w:t>
      </w:r>
      <w:r>
        <w:rPr>
          <w:rFonts w:ascii="Times New Roman" w:cs="Times New Roman" w:eastAsia="Times New Roman" w:hAnsi="Times New Roman"/>
          <w:sz w:val="18"/>
          <w:szCs w:val="18"/>
          <w:i w:val="1"/>
          <w:iCs w:val="1"/>
          <w:color w:val="auto"/>
        </w:rPr>
        <w:t>Tax Consequences if the Business Combination Qualifies as a Reorganization</w:t>
      </w:r>
      <w:r>
        <w:rPr>
          <w:rFonts w:ascii="Times New Roman" w:cs="Times New Roman" w:eastAsia="Times New Roman" w:hAnsi="Times New Roman"/>
          <w:sz w:val="18"/>
          <w:szCs w:val="18"/>
          <w:color w:val="auto"/>
        </w:rPr>
        <w:t>” summarizes certain material U.S. federal income tax consequences of the Business Combination to Gemini Holders assuming that the Business Combination qualifies as a reorganization within the meaning of Section 368(a) of the Code. In addition, the discussion below assumes that the Escrow Shares in the Escrow Fund will be treated as having been received by the Gemini Holders at the time of the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Exchange for FS Development Common Stock</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Provided that the Business Combination qualifies as a reorganization within the meaning of Section 368(a) of the Code, in general, the following U.S. federal income tax consequences would result to Gemini Holders who exchange shares of Gemini Stock for FS Development Common Stock:</w:t>
      </w:r>
    </w:p>
    <w:p>
      <w:pPr>
        <w:spacing w:after="0" w:line="108" w:lineRule="exact"/>
        <w:rPr>
          <w:sz w:val="20"/>
          <w:szCs w:val="20"/>
          <w:color w:val="auto"/>
        </w:rPr>
      </w:pPr>
    </w:p>
    <w:p>
      <w:pPr>
        <w:jc w:val="both"/>
        <w:ind w:left="1320" w:right="479" w:hanging="434"/>
        <w:spacing w:after="0" w:line="266" w:lineRule="auto"/>
        <w:tabs>
          <w:tab w:leader="none" w:pos="13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Holders will not recognize gain or loss on the exchange of Gemini Stock for shares of FS Development Common Stock (including FS Development Common Stock held in the Escrow Fund) in the Business Combination.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in shares of FS Development Common Stock received (including FS Development Common Stock held in the Escrow Fund) in the Business Combination will be equal to the aggregate tax basis of the Gemini Stock exchanged in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FS Development Common Stock received (including FS Development Common Stock held in the Escrow Fund) in the Business Combination by a Gemini Holder will include the holding period of the Gemini Stock that it surrendered in exchange therefor.</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Until the Escrow Shares are released to the Gemini Holders, the interim basis of the FS Development Stock received by Gemini Holders pursuant to the Business Combination will be determined by treating the Escrow Shares as having been received by the Gemini Holders. No gain or loss will be recognized and no amount will be included in the income of the Gemini Holders by reason of the release of Escrow Shares to the Gemini Holders (although, for the avoidance of doubt, the amount of any dividends or other taxable distributions made in respect of the Escrow Shares will be includable in the income of the Gemini Holders prior to the release of such amounts to the Gemini Holders). In the event that any Escrow Shares are not released to Gemini Holders, the interim basis allocated to such Escrow Shares will be reallocated to the Gemini Holders’ remaining FS Development Common Stock received pursuant to the Business Combination, if any, or may result in recognition of capital loss in the event the Gemini Holder no longer holds any FS Development Common Stock. Gemini Holders should consult their tax advisors regarding the manner in which the above rules apply in light of the contingent right to receive Escrow Shares and the tax consequences of the release of Escrow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Fails to Qualify as a Reorganization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under Section 368(a) of the Code, the Business Combination will be a fully taxable transaction to each Gemini Holder. In such case, each U.S. Gemini Holder will recognize gain or loss measured by the difference between the fair market value of the Merger Consideration received in the Business Combination and the U.S. Gemini Holder’s tax basis in the shares of Gemini Stock surrendered in the Business Combination. The aggregate tax basis in the FS Development Common Stock (including the Escrow Shares) received pursuant to the Business Combination will be equal to the fair market value of such FS Development Common Stock (including the Escrow Shares) as of date received (including in the Escrow Fund). The holding period of such</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FS Development Common Stock (including the Escrow Shares) will begin on the date immediately following the date received. Gain or loss recognized will generally be capital gain or loss and will be a long-term capital gain or loss if the U.S. Gemini Holder will have held the Gemini Stock for more than one year at the Effective Time. Long-term capital gains of U.S. Gemini Holders that are non-corporate taxpayers are currently taxed at preferential U.S. federal income tax rates. Short-term capital gains are taxed at ordinary income tax rates. The deductibility of capital losses is generally subject to limitations. Gain or loss must be calculated separately for each block of Gemini Stock acquired at the same time in a single transaction. U.S. Gemini Holders are urged to consult with their tax advisors regarding the manner in which gain or loss should be calculated among different blocks of Gemini Stock surrendered in the Business Combination.</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tax consequences to a Non-U.S. Gemini Holder if the Business Combination is treated as a taxable transaction generally will be the same as described above under the section titled “</w:t>
      </w:r>
      <w:r>
        <w:rPr>
          <w:rFonts w:ascii="Times New Roman" w:cs="Times New Roman" w:eastAsia="Times New Roman" w:hAnsi="Times New Roman"/>
          <w:sz w:val="18"/>
          <w:szCs w:val="18"/>
          <w:i w:val="1"/>
          <w:iCs w:val="1"/>
          <w:color w:val="auto"/>
        </w:rPr>
        <w:t>Certain 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Redemption — U.S. Federal Income Tax Considerations to Non-U.S. Holders — Gain on Sale, Taxable Exchange or Other Taxable Disposition of Common Stock</w:t>
      </w:r>
      <w:r>
        <w:rPr>
          <w:rFonts w:ascii="Times New Roman" w:cs="Times New Roman" w:eastAsia="Times New Roman" w:hAnsi="Times New Roman"/>
          <w:sz w:val="18"/>
          <w:szCs w:val="18"/>
          <w:color w:val="auto"/>
        </w:rPr>
        <w:t>” as if the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Holder exchanging its Gemini Stock for FS Development Common Stock were a Non-U.S. Holder (as defined therein) selling its Common Stock for property. The Merger Agreement obligates Gemini to deliver a certificate to FS Development on or prior to the Closing Date that as of the date of the certificate, Gemini is not a United States real property holding corporation.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U.S. Gemini Holder may be subject to information reporting and backup withholding unless the U.S Gemini Holder is an exempt recipient. Backup withholding may apply to such payments if the U.S. Gemini Holder fails to furnish a correct taxpayer identification number, a certification of exempt status or has been notified by the IRS that it is subject to backup withholding (and such notification has not been withdrawn). Each U.S. Gemini Holder should properly complete and sign, and deliver, an IRS Form W-9 in order to provide the information and certification necessary to avoid backup withholding, or otherwise establish an applicable exemption in a manner acceptable to the paying agent. U.S. Gemini Holders should consult their tax advisors regarding their qualification for an exemption from backup withholding and the procedures for obtaining such an exemption.</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Gemini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will be allowed as a credit against a Gemini Holder’s federal income tax liability and may entitle such holder to a refund, provided the required information is timely furnished to the IRS. Gemini Holders should consult their tax advisors regarding their qualification for an exemption from backup withholding and the procedures for obtaining such an exemption.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Gemini Holder that receives FS Development Common Stock as a result of the Business Combination should retain records pertaining to the Business Combination, including records relating to the number of shares and the tax basis of such holder’s Gemini Stock. Each Gemini Holder that is required to file a U.S. federal income tax return and that is a “significant holder” that receives FS Development Common Stock in the Business Combination will be required to file a statement with such U.S. federal income tax return in accordance with Treasury regulations Section 1.368-3 setting forth such holder’s tax basis in the Gemini Stock surrendered, the fair market value of the FS Development Common Stock received in the Business Combination, and certain other information.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stockholders comprising a relative majority of the voting power of the Combined Entity, Gemini’s operations prior to the acquisition comprising the only ongoing operations of Combined Entity, and Gemini’s senior management comprising the senior management of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Business Combination Proposal (and consequently, the Merger Agreement and the transactions contemplated thereby, including the Business Combination) will be approved and adopted only with the affirmative vote of at least a majority of the votes cast by FS Development stockholders present in person (which would include presence at a virtual meeting) or represented by proxy at the Special Meeting and entitled to vote thereon, voting together as a single class. The Business Combination is conditioned upon the approval of the Business Combination Proposal, subject to the terms of the Merger Agreement. If the Business Combination Proposal is not approved, the other Proposals (except the Adjournment Proposal, as described below) will not be presented to the stockholders for a vote. Abstentions and broker non-votes will have no effect on the outcome of the vote on the Business Combination Proposal.</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Record Date, FS Development’s Sponsor, directors and officers have agreed to vote any shares of Common Stock owned by them in favor of the Business Combination. As of the date hereof, the Sponsor, directors and officers have not purchased any Public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BUSINESS COMBINATION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ISSUANCE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and 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Assuming the Business Combination Proposal is approved, FS Development’s stockholders are also being asked to approve (a) the issuance of up to 21,500,000 newly issued shares of FS Development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(b) the issuance of 9,506,000 newly issued shares of FS Development Common Stock in the PIPE Investment for the purposes of complying with the applicable provisions of the Nasdaq Stock Exchange Listing Rules (each, a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5635(a), (b) and (d), to the extent such issuance would require a stockholder vote under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5635(a), (b), or (d).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Approval for Purposes of Nasdaq Listing Rule 5635</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 If the Business Combination is completed pursuant to the Merger Agreement, FS Development currently expects to issue an estimated 31,006,000 shares of FS Development Class A Common Stock (assuming that none of FS Development’s outstanding Public Shares are redeemed) in connection with the Business Combination and the PIPE Investment.</w:t>
      </w:r>
    </w:p>
    <w:p>
      <w:pPr>
        <w:spacing w:after="0" w:line="12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Additionally, pursuant to Nasdaq Listing Rule 5635(a)(2), when a Nasdaq-listed company proposes to issue securities in connection with the acquisition of the stock or assets of another company, stockholder approval is required if any director, officer or substantial stockholder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FS Development’s Common Stock,</w:t>
      </w:r>
    </w:p>
    <w:p>
      <w:pPr>
        <w:spacing w:after="0" w:line="5"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8"/>
          <w:szCs w:val="18"/>
          <w:color w:val="auto"/>
        </w:rPr>
        <w:t>Sponsor and</w:t>
      </w:r>
      <w:r>
        <w:rPr>
          <w:sz w:val="20"/>
          <w:szCs w:val="20"/>
          <w:color w:val="auto"/>
        </w:rPr>
        <w:tab/>
      </w:r>
      <w:r>
        <w:rPr>
          <w:rFonts w:ascii="Times New Roman" w:cs="Times New Roman" w:eastAsia="Times New Roman" w:hAnsi="Times New Roman"/>
          <w:sz w:val="18"/>
          <w:szCs w:val="18"/>
          <w:color w:val="auto"/>
        </w:rPr>
        <w:t>are considered substantial stockholders of FS Development under Nasdaq Listing</w:t>
      </w:r>
    </w:p>
    <w:p>
      <w:pPr>
        <w:spacing w:after="0" w:line="9" w:lineRule="exact"/>
        <w:rPr>
          <w:sz w:val="20"/>
          <w:szCs w:val="20"/>
          <w:color w:val="auto"/>
        </w:rPr>
      </w:pPr>
    </w:p>
    <w:p>
      <w:pPr>
        <w:ind w:left="460"/>
        <w:spacing w:after="0"/>
        <w:tabs>
          <w:tab w:leader="none" w:pos="5280" w:val="left"/>
          <w:tab w:leader="none" w:pos="7600" w:val="left"/>
        </w:tabs>
        <w:rPr>
          <w:sz w:val="20"/>
          <w:szCs w:val="20"/>
          <w:color w:val="auto"/>
        </w:rPr>
      </w:pPr>
      <w:r>
        <w:rPr>
          <w:rFonts w:ascii="Times New Roman" w:cs="Times New Roman" w:eastAsia="Times New Roman" w:hAnsi="Times New Roman"/>
          <w:sz w:val="18"/>
          <w:szCs w:val="18"/>
          <w:color w:val="auto"/>
        </w:rPr>
        <w:t>Rule 5635(e)(3). In connection with the PIPE Investment,</w:t>
      </w:r>
      <w:r>
        <w:rPr>
          <w:sz w:val="20"/>
          <w:szCs w:val="20"/>
          <w:color w:val="auto"/>
        </w:rPr>
        <w:tab/>
      </w:r>
      <w:r>
        <w:rPr>
          <w:rFonts w:ascii="Times New Roman" w:cs="Times New Roman" w:eastAsia="Times New Roman" w:hAnsi="Times New Roman"/>
          <w:sz w:val="18"/>
          <w:szCs w:val="18"/>
          <w:color w:val="auto"/>
        </w:rPr>
        <w:t>is expected to be issued</w:t>
      </w:r>
      <w:r>
        <w:rPr>
          <w:sz w:val="20"/>
          <w:szCs w:val="20"/>
          <w:color w:val="auto"/>
        </w:rPr>
        <w:tab/>
      </w:r>
      <w:r>
        <w:rPr>
          <w:rFonts w:ascii="Times New Roman" w:cs="Times New Roman" w:eastAsia="Times New Roman" w:hAnsi="Times New Roman"/>
          <w:sz w:val="18"/>
          <w:szCs w:val="18"/>
          <w:color w:val="auto"/>
        </w:rPr>
        <w:t>shares of 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Class A Common Stock.</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event that this proposal is not approved by FS Development stockholders, the Business Combination cannot be consummated. In the event that this proposal is approved by FS Development stockholders, but the Merger Agreement is terminated (without the Business Combination being consummated) prior to the issuance of shares of FS Development Class A Common Stock pursuant to the Merger Agreement, FS Development will not issue such shares of FS Development Class A Common Stock.</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have 15,535,250 shares of FS Development Common Stock outstanding. Pursuant to the Business Combination and the Subscription Agreements, we will issue 31,006,000 shares of FS Development Class A Common Stock, representing 200% of our outstanding shares of FS Development Common Stock prior to such issuance, at a price less than the greater of the book value or market of the shares. The FS Development Class A</w:t>
      </w:r>
    </w:p>
    <w:p>
      <w:pPr>
        <w:spacing w:after="0" w:line="3" w:lineRule="exact"/>
        <w:rPr>
          <w:sz w:val="20"/>
          <w:szCs w:val="20"/>
          <w:color w:val="auto"/>
        </w:rPr>
      </w:pPr>
    </w:p>
    <w:p>
      <w:pPr>
        <w:ind w:left="460"/>
        <w:spacing w:after="0"/>
        <w:tabs>
          <w:tab w:leader="none" w:pos="3680" w:val="left"/>
          <w:tab w:leader="none" w:pos="5740" w:val="left"/>
          <w:tab w:leader="none" w:pos="6380" w:val="left"/>
        </w:tabs>
        <w:rPr>
          <w:sz w:val="20"/>
          <w:szCs w:val="20"/>
          <w:color w:val="auto"/>
        </w:rPr>
      </w:pPr>
      <w:r>
        <w:rPr>
          <w:rFonts w:ascii="Times New Roman" w:cs="Times New Roman" w:eastAsia="Times New Roman" w:hAnsi="Times New Roman"/>
          <w:sz w:val="18"/>
          <w:szCs w:val="18"/>
          <w:color w:val="auto"/>
        </w:rPr>
        <w:t>Common Stock had a book value of $</w:t>
      </w:r>
      <w:r>
        <w:rPr>
          <w:sz w:val="20"/>
          <w:szCs w:val="20"/>
          <w:color w:val="auto"/>
        </w:rPr>
        <w:tab/>
      </w:r>
      <w:r>
        <w:rPr>
          <w:rFonts w:ascii="Times New Roman" w:cs="Times New Roman" w:eastAsia="Times New Roman" w:hAnsi="Times New Roman"/>
          <w:sz w:val="18"/>
          <w:szCs w:val="18"/>
          <w:color w:val="auto"/>
        </w:rPr>
        <w:t>and market value of $</w:t>
      </w:r>
      <w:r>
        <w:rPr>
          <w:sz w:val="20"/>
          <w:szCs w:val="20"/>
          <w:color w:val="auto"/>
        </w:rPr>
        <w:tab/>
      </w: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2021. Accordingly, we need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approval of the issuance of more than 20% of our issued and outstanding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at a price that may be less than the greater of book or market value of FS Development’s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as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139"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If the Nasdaq Stock Issuance Proposal is adopted, up to an aggregate of 31,006,000 shares of FS Development Class A Common Stock may be issued in connection with the Business Combination and the PIPE Investment, representing up to 200% of the shares of FS Development Class A Common Stock outstanding on the date hereof. The issuance of such shares would result in significant dilution to our stockholders, and result in our stockholders having a smaller percentage interest in the voting power, liquidation value and aggregate book value of FS Development.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Nasdaq Stock Issuance Proposal requires the affirmative vote of a majority of the votes cast by the stockholders represented in person or by proxy and entitled to vote thereon at the Special Meeting, voting together as a single class, assuming that a quorum is present. Failure to vote by proxy or to vote online at the special meeting or an abstention from voting will have no effect on the outcome of the vote on the Nasdaq Stock Issuance Proposal.</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left="1400" w:right="1059" w:hanging="396"/>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THE NASDAQ STOCK ISSUANCE PROPOSAL.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PROPOSAL</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All stockholders are encouraged to read the Proposed Charter in its entirety for a more complete description of its terms.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Current Charter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Proposed Charter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Board</w:t>
            </w:r>
          </w:p>
        </w:tc>
        <w:tc>
          <w:tcPr>
            <w:tcW w:w="2900" w:type="dxa"/>
            <w:vAlign w:val="bottom"/>
            <w:tcBorders>
              <w:bottom w:val="single" w:sz="8" w:color="auto"/>
            </w:tcBorders>
            <w:gridSpan w:val="4"/>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0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29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Current Charter divides the board</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30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Proposed Charter divides the board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directors  into  three  classes  with</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of the Combined Entity into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staggered three-year terms.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classes with staggered three-year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 Amendment</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is silent on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 of minimum voting requirements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affirmative vote of the majority of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amending  the  Current  Charter,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provided that provisions in the Current</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on  such  amendment,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Charter  related  to  (i)  the  rights,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provided that provisions in the Proposed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preferences  and</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privileges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Charter   in   Article   V   (covering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B Common Stock may only be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stockholder</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VI,</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Section 3 (covering classified board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at least a majority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directors), Article VI, Section 5 (removal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then-outstanding  shares  of  Class  B</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Article  VII,  Section  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and (ii) the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set  forth  in  Article  IX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Article VIII (amendment of by-laws) will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related to a blank check company) may</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require approval of the holders of at least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only be amended with the approval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66⅔% 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holders of at least 65% of the then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issued  and  outstanding  shares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voting together as a</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class.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does not provide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provides that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opt out of Section 203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7"/>
              </w:rPr>
              <w:t>DGCL.</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the DGCL.</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 Disputes</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provides the U.S.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is silent as to the</w:t>
            </w:r>
          </w:p>
        </w:tc>
        <w:tc>
          <w:tcPr>
            <w:tcW w:w="0" w:type="dxa"/>
            <w:vAlign w:val="bottom"/>
          </w:tcPr>
          <w:p>
            <w:pPr>
              <w:spacing w:after="0"/>
              <w:rPr>
                <w:sz w:val="1"/>
                <w:szCs w:val="1"/>
                <w:color w:val="auto"/>
              </w:rPr>
            </w:pPr>
          </w:p>
        </w:tc>
      </w:tr>
      <w:tr>
        <w:trPr>
          <w:trHeight w:val="220"/>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Forum</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federal district courts have exclusive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forum for causes of actions arising under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jurisdiction over causes of action arising</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Securities Act.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Securities Act.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Removal</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has a provision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a director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providing for the removal of a director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can only be removed for clause by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cause only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approval of the holders of at least 66⅔%</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 majority of the capital stock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then issued and outstanding.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Change</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FS Development’s current name is FS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Entity’s name will be Gemini</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Therapeutics, Inc.</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110,000,000 shares of Common Stock,</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shares of Common Stock.</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including  (i)  100,000,000  shares  of</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and  (ii)</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Class B Common</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“blank  check”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issuance of 10,000,000 shares of “blank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stock,  that  the  board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check” preferred stock that the Combined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could issue to discourage a</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could issue 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attempt.</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increase  the  number  of  outstanding</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to discourage a takeover attempt.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109"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type w:val="continuous"/>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jc w:val="right"/>
        <w:ind w:right="1339"/>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Current Charter</w:t>
      </w:r>
      <w:r>
        <w:rPr>
          <w:sz w:val="20"/>
          <w:szCs w:val="20"/>
          <w:color w:val="auto"/>
        </w:rPr>
        <w:tab/>
      </w:r>
      <w:r>
        <w:rPr>
          <w:rFonts w:ascii="Times New Roman" w:cs="Times New Roman" w:eastAsia="Times New Roman" w:hAnsi="Times New Roman"/>
          <w:sz w:val="16"/>
          <w:szCs w:val="16"/>
          <w:b w:val="1"/>
          <w:bCs w:val="1"/>
          <w:color w:val="auto"/>
        </w:rPr>
        <w:t>Proposed Charter</w:t>
      </w:r>
    </w:p>
    <w:p>
      <w:pPr>
        <w:sectPr>
          <w:pgSz w:w="11900" w:h="16838" w:orient="portrait"/>
          <w:cols w:equalWidth="0" w:num="1">
            <w:col w:w="9019"/>
          </w:cols>
          <w:pgMar w:left="1440" w:top="270" w:right="1440" w:bottom="1440" w:gutter="0" w:footer="0" w:header="0"/>
        </w:sectPr>
      </w:pPr>
    </w:p>
    <w:p>
      <w:pPr>
        <w:spacing w:after="0" w:line="53"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Provisions Specific to a Blank Check Company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91"/>
        </w:trPr>
        <w:tc>
          <w:tcPr>
            <w:tcW w:w="30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Under  the  Current  Charter,  Article</w:t>
            </w: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p Proposed Charter does not include</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NINTH sets forth various provisions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these blank check company provisions</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related to its operations as a blank check</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because, upon Closing, FS Development</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prior to the consummation of</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will cease to be a blank check company.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an   initial</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addition, the provisions requiring that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Furthermore,</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Development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proceeds  from  its  initial  public</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is required to be dissolved</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offering be held in a trust account until a</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liquidated 24 months following the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or liquidation of</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closing of its initial public offering.</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FS Development and the terms governing</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Development’s consummation of a</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proposed business combination will not</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  applicable  following  Closing.  The</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Combined   Company   will   have   a</w:t>
            </w:r>
          </w:p>
        </w:tc>
      </w:tr>
      <w:tr>
        <w:trPr>
          <w:trHeight w:val="234"/>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perpetual existence.</w:t>
            </w:r>
          </w:p>
        </w:tc>
      </w:tr>
    </w:tbl>
    <w:p>
      <w:pPr>
        <w:spacing w:after="0" w:line="200" w:lineRule="exact"/>
        <w:rPr>
          <w:sz w:val="20"/>
          <w:szCs w:val="20"/>
          <w:color w:val="auto"/>
        </w:rPr>
      </w:pPr>
    </w:p>
    <w:p>
      <w:pPr>
        <w:sectPr>
          <w:pgSz w:w="11900" w:h="16838" w:orient="portrait"/>
          <w:cols w:equalWidth="0" w:num="2">
            <w:col w:w="2420" w:space="120"/>
            <w:col w:w="6479"/>
          </w:cols>
          <w:pgMar w:left="1440" w:top="270" w:right="1440"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66⅔%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DGCL allows the Combined Entity to establish its own rules governing business combinations with interested parties.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ectPr>
          <w:pgSz w:w="11900" w:h="16838" w:orient="portrait"/>
          <w:cols w:equalWidth="0" w:num="1">
            <w:col w:w="9019"/>
          </w:cols>
          <w:pgMar w:left="1440" w:top="270" w:right="1440"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Charter Amendment Proposal will be approved and adopted in its entirety only if the holders of at least a majority of the outstanding shares of FS Development Common Stock, voting together as a single class vote “FOR” Charter Amendment Proposal. Failure to vote by proxy or to vote online at the Special Meeting or an abstention from voting will have the same effect as a vote “AGAINST” the Charter Amendment Proposal.</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Charter Amendment Proposal, the Nasdaq Stock Issuance Proposal, and the Incentive Plan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 “FOR” THE APPROVAL OF THE CHARTER AMENDMENT PROPOSAL AND THE PROPOSED CHARTER.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ADVISORY PROPOSALS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FS Development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FS Development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320" w:right="479" w:hanging="434"/>
        <w:spacing w:after="0" w:line="286" w:lineRule="auto"/>
        <w:tabs>
          <w:tab w:leader="none" w:pos="136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Class A Common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Combined Entity’s board of directors could issue to discourage a takeover attempt to 10,000,000 shares;</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will require the approval of at least 662/3% of the Combined Entity’s then-outstanding shares of capital stock entitled to vote on such amendment;</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59" w:lineRule="auto"/>
        <w:tabs>
          <w:tab w:leader="none" w:pos="130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9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approval of at least 662/3%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662/3%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Delaware General Corporation Law allows the Proposed Charter to establish its own rules governing business combinations with interested parties.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the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Approval of each of the Advisory Charter Proposals, each of which is a non-binding vote, requires the affirmative vote of a majority of the votes cast by FS Development stockholders present in person (which would include presence at a virtual meeting) or represented by proxy at the Special Meeting and entitled to vote thereon, voting together as a single class. Abstentions and broker non-votes have no effect on the outcome of the Advisory Charter Proposals.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ind w:left="1160" w:right="1059" w:hanging="163"/>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EACH OF THE ADVISORY CHARTER PROPOSALS.</w:t>
      </w:r>
    </w:p>
    <w:p>
      <w:pPr>
        <w:sectPr>
          <w:pgSz w:w="11900" w:h="16838" w:orient="portrait"/>
          <w:cols w:equalWidth="0" w:num="1">
            <w:col w:w="9019"/>
          </w:cols>
          <w:pgMar w:left="1440" w:top="270" w:right="1440" w:bottom="144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summary description of the Equity Incentive Plan as proposed to be adopted by FS Development in connection with the Business Combination. This summary is not a complete statement of the Equity Incentive Plan and is qualified in its entirety by reference to the complete text of the Equity Incentive Plan, a copy of which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xml:space="preserve">. FS Development stockholders should refer to the Equity Incentive Plan for more complete and detailed information about the terms and conditions of the Equity Incentive Plan. </w:t>
      </w:r>
      <w:r>
        <w:rPr>
          <w:rFonts w:ascii="Times New Roman" w:cs="Times New Roman" w:eastAsia="Times New Roman" w:hAnsi="Times New Roman"/>
          <w:sz w:val="18"/>
          <w:szCs w:val="18"/>
          <w:i w:val="1"/>
          <w:iCs w:val="1"/>
          <w:color w:val="auto"/>
        </w:rPr>
        <w:t>Unless the context otherwise requires, references in this summary description to “we”, “us”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generally refer to FS Development in the present tense or the Combined Entity from and after the Business Combination.</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purpose of the Equity Incentive Plan is to provide a means whereby the Combined Entity can align the long-term financial interests of its employees, consultants, and directors with the financial interests of its stockholders. In addition, the Board believes that the ability to grant options and other equity-based awards will help the Combined Entity to attract, retain, and motivate employees, consultants, and directors and encourages them to devote their best efforts to the Combined Entity’s business and financial success.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Approval of the Equity Incentive Plan by FS Development stockholders is required, among other things, in order to: (i) comply with Nasdaq Listing Rules requiring stockholder approval of equity compensation plans and (ii) allow the grant of incentive stock options to participants in the Equity Incentive Plan.</w:t>
      </w:r>
    </w:p>
    <w:p>
      <w:pPr>
        <w:spacing w:after="0" w:line="9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this Incentive Plan Proposal is approved by FS Development stockholders, the Equity Incentive Plan will become effective as of the date immediately preceding the date of the Closing. While the Combined Entity may assume outstanding equity awards under the Gemini Therapeutics, Inc., 2017 Stock Option and Grant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and the Gemini Therapeutics, Inc. 2015 Employee, Director and Consultant Stock Option Plan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Gemini Plans</w:t>
      </w:r>
      <w:r>
        <w:rPr>
          <w:rFonts w:ascii="Times New Roman" w:cs="Times New Roman" w:eastAsia="Times New Roman" w:hAnsi="Times New Roman"/>
          <w:sz w:val="18"/>
          <w:szCs w:val="18"/>
          <w:color w:val="auto"/>
        </w:rPr>
        <w:t>”), following the Closing (and such assumed awards will not count against the share reserve under the Equity Incentive Plan), no further grants will be made under the Gemini Plans. Approval of the Equity Incentive Plan by FS Development stockholders will allow the Combined Entity to grant stock options, restricted stock unit awards and other awards at levels determined appropriate by its board of directors or compensation committee following the closing of the Business Combination. The Equity Incentive Plan will also allow the Combined Entity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30"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Combined Entity’s employee equity compensation program, as implemented under the Equity Incentive Plan, will allow the Combined Entity to remain competitive with comparable companies in its industry by giving it the resources to attract and retain talented individuals to achieve its business objectives and build stockholder value. Approval of the Equity Incentive Plan will provide the Combined Entity with the flexibility it needs to use equity compensation and other incentive awards to attract, retain and motivate talented employees, directors and consultants who are important to the Combined Entity’s long-term growth and success.</w:t>
      </w:r>
    </w:p>
    <w:p>
      <w:pPr>
        <w:spacing w:after="0" w:line="101" w:lineRule="exact"/>
        <w:rPr>
          <w:sz w:val="20"/>
          <w:szCs w:val="20"/>
          <w:color w:val="auto"/>
        </w:rPr>
      </w:pPr>
    </w:p>
    <w:p>
      <w:pPr>
        <w:ind w:left="460" w:right="3999"/>
        <w:spacing w:after="0" w:line="441" w:lineRule="auto"/>
        <w:rPr>
          <w:sz w:val="20"/>
          <w:szCs w:val="20"/>
          <w:color w:val="auto"/>
        </w:rPr>
      </w:pPr>
      <w:r>
        <w:rPr>
          <w:rFonts w:ascii="Times New Roman" w:cs="Times New Roman" w:eastAsia="Times New Roman" w:hAnsi="Times New Roman"/>
          <w:sz w:val="17"/>
          <w:szCs w:val="17"/>
          <w:b w:val="1"/>
          <w:bCs w:val="1"/>
          <w:color w:val="auto"/>
        </w:rPr>
        <w:t xml:space="preserve">Summary of Material Features of the Equity Incentive Plan </w:t>
      </w:r>
      <w:r>
        <w:rPr>
          <w:rFonts w:ascii="Times New Roman" w:cs="Times New Roman" w:eastAsia="Times New Roman" w:hAnsi="Times New Roman"/>
          <w:sz w:val="17"/>
          <w:szCs w:val="17"/>
          <w:color w:val="auto"/>
        </w:rPr>
        <w:t>The material features of the Equity Incentive Plan include:</w:t>
      </w:r>
    </w:p>
    <w:p>
      <w:pPr>
        <w:spacing w:after="0" w:line="1" w:lineRule="exact"/>
        <w:rPr>
          <w:sz w:val="20"/>
          <w:szCs w:val="20"/>
          <w:color w:val="auto"/>
        </w:rPr>
      </w:pPr>
    </w:p>
    <w:p>
      <w:pPr>
        <w:ind w:left="1420" w:hanging="534"/>
        <w:spacing w:after="0"/>
        <w:tabs>
          <w:tab w:leader="none" w:pos="1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maximum number of shares of Common Stock that may be issued under the Equity</w:t>
      </w:r>
    </w:p>
    <w:p>
      <w:pPr>
        <w:spacing w:after="0" w:line="27" w:lineRule="exact"/>
        <w:rPr>
          <w:sz w:val="20"/>
          <w:szCs w:val="20"/>
          <w:color w:val="auto"/>
        </w:rPr>
      </w:pPr>
    </w:p>
    <w:p>
      <w:pPr>
        <w:jc w:val="both"/>
        <w:ind w:left="1320" w:right="479"/>
        <w:spacing w:after="0" w:line="253" w:lineRule="auto"/>
        <w:rPr>
          <w:sz w:val="20"/>
          <w:szCs w:val="20"/>
          <w:color w:val="auto"/>
        </w:rPr>
      </w:pPr>
      <w:r>
        <w:rPr>
          <w:rFonts w:ascii="Times New Roman" w:cs="Times New Roman" w:eastAsia="Times New Roman" w:hAnsi="Times New Roman"/>
          <w:sz w:val="18"/>
          <w:szCs w:val="18"/>
          <w:color w:val="auto"/>
        </w:rPr>
        <w:t>Incentive Plan is shares.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79" w:lineRule="exact"/>
        <w:rPr>
          <w:sz w:val="20"/>
          <w:szCs w:val="20"/>
          <w:color w:val="auto"/>
        </w:rPr>
      </w:pPr>
    </w:p>
    <w:p>
      <w:pPr>
        <w:jc w:val="both"/>
        <w:ind w:left="1320" w:right="459" w:hanging="434"/>
        <w:spacing w:after="0" w:line="266" w:lineRule="auto"/>
        <w:tabs>
          <w:tab w:leader="none" w:pos="14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will not be repriced in any manner without stockholder approval;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1320" w:right="479" w:hanging="434"/>
        <w:spacing w:after="0" w:line="261" w:lineRule="auto"/>
        <w:tabs>
          <w:tab w:leader="none" w:pos="13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awarded under the Equity Incentive Plan and all other cash compensation paid by us to any non-employee director in any calendar year may not exceed $750,000 or $1,000,000 for the year in which a non-employee director is first appointed or elected to the Combined Entity’s board of directors;</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Equity Incentive Plan are subject to approval by our stockholders;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Equity Incentive Plan will expire on the tenth anniversary of the effective date of the Equity Incentive Plan is approved by the board of directors of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Regarding Equity Incentive Program</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 is critical to the Combined Entity’s long-term success that the interests of its employees, directors and consultants are tied to its success as “owners” of the business. Approval of the Equity Incentive Plan will allow the Combined Entity to grant stock options and other equity awards at levels it determines to be appropriate in order to attract new employees and directors, retain existing employees and directors and to provide incentives for such persons to exert maximum efforts for the Combined Entity’s success and ultimately increase stockholder value. The Equity Incentive Plan allows the Combined Entity to utilize a broad array of equity incentives with flexibility in designing equity incentives, including stock option grants, stock appreciation rights, restricted stock awards, restricted stock unit awards, unrestricted stock awards and dividend equivalent rights to offer competitive equity compensation packages in order to retain and motivate the talent necessary for the Combined Entity.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FS Development’s request to approve the Equity Incentive Plan is approved by FS Development</w:t>
      </w:r>
    </w:p>
    <w:p>
      <w:pPr>
        <w:spacing w:after="0" w:line="2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the Combined Entity will initially have shares, subject to adjustment for specified changes in the Combined Entity’s capitalization, available for grant under the Equity Incentive Plan as of the effective time of the closing of the Business Combination. In addition, as further described below under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the Equity Incentive Plan — Shares Available for Awards</w:t>
      </w:r>
      <w:r>
        <w:rPr>
          <w:rFonts w:ascii="Times New Roman" w:cs="Times New Roman" w:eastAsia="Times New Roman" w:hAnsi="Times New Roman"/>
          <w:sz w:val="18"/>
          <w:szCs w:val="18"/>
          <w:color w:val="auto"/>
        </w:rPr>
        <w:t>,” the share reserve is subject to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each January 1 beginning on January 1, 2022 of 4% of the number of shares of the Combined Entity’s Common Stock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Equity Incentive Plan</w:t>
      </w:r>
    </w:p>
    <w:p>
      <w:pPr>
        <w:spacing w:after="0" w:line="162" w:lineRule="exact"/>
        <w:rPr>
          <w:sz w:val="20"/>
          <w:szCs w:val="20"/>
          <w:color w:val="auto"/>
        </w:rPr>
      </w:pPr>
    </w:p>
    <w:p>
      <w:pPr>
        <w:ind w:left="460"/>
        <w:spacing w:after="0"/>
        <w:tabs>
          <w:tab w:leader="none" w:pos="5300" w:val="left"/>
        </w:tabs>
        <w:rPr>
          <w:sz w:val="20"/>
          <w:szCs w:val="20"/>
          <w:color w:val="auto"/>
        </w:rPr>
      </w:pPr>
      <w:r>
        <w:rPr>
          <w:rFonts w:ascii="Times New Roman" w:cs="Times New Roman" w:eastAsia="Times New Roman" w:hAnsi="Times New Roman"/>
          <w:sz w:val="18"/>
          <w:szCs w:val="18"/>
          <w:color w:val="auto"/>
        </w:rPr>
        <w:t>The Equity Incentive Plan was adopted by the Board on</w:t>
      </w:r>
      <w:r>
        <w:rPr>
          <w:sz w:val="20"/>
          <w:szCs w:val="20"/>
          <w:color w:val="auto"/>
        </w:rPr>
        <w:tab/>
      </w:r>
      <w:r>
        <w:rPr>
          <w:rFonts w:ascii="Times New Roman" w:cs="Times New Roman" w:eastAsia="Times New Roman" w:hAnsi="Times New Roman"/>
          <w:sz w:val="18"/>
          <w:szCs w:val="18"/>
          <w:color w:val="auto"/>
        </w:rPr>
        <w:t>2021 and will become effective, subject to</w:t>
      </w:r>
    </w:p>
    <w:p>
      <w:pPr>
        <w:spacing w:after="0" w:line="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stockholder approval, on the date immediately preceding the Closing. The Equity Incentive Plan will replace the 2017 Plan as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the Combined Entity will assure a closer alignment of the interests of such individuals with those of the Combined Entity and its stockholders, thereby stimulating their efforts on the Combined Entity’s behalf and strengthening their desire to remain with the Combined Entity.</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We have initially reserved shares of Common Stock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issued under the Equity Incentive Plan as of the Closing is $</w:t>
            </w:r>
          </w:p>
        </w:tc>
        <w:tc>
          <w:tcPr>
            <w:tcW w:w="346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w:t>
            </w:r>
          </w:p>
        </w:tc>
      </w:tr>
      <w:tr>
        <w:trPr>
          <w:trHeight w:val="387"/>
        </w:trPr>
        <w:tc>
          <w:tcPr>
            <w:tcW w:w="4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132</w:t>
            </w: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Persons eligible to participate in our Equity Incentive Plan will be those full or part-time officers, employees, non-employee directors, and consultants of the Combined Entity as selected from time to time by our compensation committee in its discretion. As of the date of this proxy statement/prospectus, following the Closing, approximately individuals will be eligible to participate in the Equity Incentive Plan, which includes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approximately officers, employees who are not officers, non-employee directors, and consultants.</w:t>
      </w:r>
    </w:p>
    <w:p>
      <w:pPr>
        <w:spacing w:after="0" w:line="33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0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cash bonuses under our Equity Incentive Plan to participants, subject to the achievement of certain performance goals.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the Combined Entity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The Combined Entity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2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 taxable income is generally realized by the optionee upon the grant or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generally realized by the optionee at the time a non-qualified option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Combined Entity generally will be entitled to a tax deduction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Parachute Payments</w:t>
      </w:r>
      <w:r>
        <w:rPr>
          <w:rFonts w:ascii="Times New Roman" w:cs="Times New Roman" w:eastAsia="Times New Roman" w:hAnsi="Times New Roman"/>
          <w:sz w:val="18"/>
          <w:szCs w:val="18"/>
          <w:color w:val="auto"/>
        </w:rPr>
        <w:t>. The vesting of any portion of an award that is accelerated due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(such as a sale event) may cause all or a portion of the payments with respect to such accelerated awards to be treated as “parachute payments” as defined in the Code. Any such parachute payments may be non-deductible to the Combined Entity, in whole or in part, and may subject the recipient to a non-deductible 20% federal excise tax on all or a portion of such payment (in addition to other taxes ordinarily payable).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approval of the Incentive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Incentive Plan Proposal. Broker non-votes will have no effect with respect to the approval of this proposal.</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Incentive Plan Proposal, the Nasdaq Stock Issuance Proposal, and the Charter Amendment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INCENTIVE PLAN PROPOSAL.</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allow the Board to adjourn the Special Meeting to a later date or dates to permit further solicitation of proxies. The Adjournment Proposal will only be presented to FS Development’s stockholders in the event that based upon the tabulated vote at the time of the Special Meeting there are insufficient votes for, or otherwise in connection with, the approval of the Business Combination Proposal, the Nasdaq Stock Issuance Proposal, the Charter Amendment Proposal, or the Incentive Plan Proposal, or we determine that one or more of the closing conditions under the Business Combination is not satisfied or waived. In no event will the Board adjourn the Special Meeting or consummate the Business Combination beyond the date by which it may properly do so under its Current Charter and Delaware law.</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FS Development’s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a majority of the shares of FS Development Common Stock represented in person or by proxy and entitled to vote thereon at the Special Meeting, voting together as a single class. Broker non-votes and abstentions will have no effect with respect to the approval of this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ADJOURNMENT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FS DEVELOPMENT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as a Delaware corporation on June 25, 2020. We were formed for the purpose of entering into a merger, share exchange, asset acquisition, stock purchase, recapitalization, reorganization or other similar business combination, which we refer to as a business combination, with one or more businesses or entities.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Activities Since Inception</w:t>
      </w:r>
    </w:p>
    <w:p>
      <w:pPr>
        <w:spacing w:after="0" w:line="16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On August 14, 2020, FS Development consummated the FS Development IPO of 12,075,000 shares of its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the Company of $120,750,000.</w:t>
      </w:r>
    </w:p>
    <w:p>
      <w:pPr>
        <w:spacing w:after="0" w:line="33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FS Development completed the private sale of 441,500 Private Placement Shares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FS Development’s initial business combination, or (ii) a stockholder vote to approve an amendment to the Company’s amended and restated certificate of incorporation to modify the substance or timing of FS Development’s obligation to redeem 100% of the shares of FS Development Class A Common Stock sold in the FS Development IPO if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FS Development IPO will not be released from the trust account until the earliest to occur of: (i) the completion of the FS Development’s initial business combination, (ii) the redemption of the Public Shares if FS Development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 Development does not complete its initial business combination by August 14, 2022 or with respect to any other provisions relating to stockholders’ rights or pre-initial business combination activity.</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15, 2020, FS Development announced that it had entered into the Merger Agreement and certain related agreements. See the section titled “</w:t>
      </w:r>
      <w:r>
        <w:rPr>
          <w:rFonts w:ascii="Times New Roman" w:cs="Times New Roman" w:eastAsia="Times New Roman" w:hAnsi="Times New Roman"/>
          <w:sz w:val="18"/>
          <w:szCs w:val="18"/>
          <w:i w:val="1"/>
          <w:iCs w:val="1"/>
          <w:color w:val="auto"/>
        </w:rPr>
        <w:t>The Business Combination Proposal — The Merger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is not presently engaged in, and will not engage in, any operations until after a business combination. FS Development intends to effect a business combination using cash held in the Trust Account and, if needed, funds from any additional private equity financings.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Selection of a Target Business and Structuring of the Initial Business Combination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Rules, an initial business combination must occur with one or more target businesses that together have a fair market value of at least 80% of FS Development’s assets held in the Trust Account (excluding the deferred underwriting commissions and taxes payable on the income earned on the Trust Account) at the time of the agreement to enter into the initial business combination. The fair market value of the target or targets will be determined by the Board based upon one or more standards generally accepted by the financial community, such as discounted cash flow valuation or value of comparable businesses. Subject to this requirement, FS Development’s management has had virtually unrestricted flexibility in identifying and selecting one or more prospective target businesses, although FS Development was not permitted to effectuate an initial business combination with another blank check company or a similar company with nominal operations. In any case, FS Development determined that it would only complete an initial business combination in which it acquired 50% or more of the outstanding voting securities of the target or were otherwise not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Our Board has determined that the Business Combination meets the 80% test.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 for Holders of Public Shares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the opportunity to redeem their Public Shares for cash equal to a pro rata share of the aggregate amount then on deposit in the Trust Account, including interest earned on the funds held in the Trust Account and not previously released to it to pay FS Development’s franchise and income taxes, divided by the number of then outstanding Public Shares, upon the Closing, subject to the</w:t>
      </w:r>
    </w:p>
    <w:p>
      <w:pPr>
        <w:spacing w:after="0" w:line="3" w:lineRule="exact"/>
        <w:rPr>
          <w:sz w:val="20"/>
          <w:szCs w:val="20"/>
          <w:color w:val="auto"/>
        </w:rPr>
      </w:pPr>
    </w:p>
    <w:p>
      <w:pPr>
        <w:ind w:left="460"/>
        <w:spacing w:after="0"/>
        <w:tabs>
          <w:tab w:leader="none" w:pos="8380" w:val="left"/>
        </w:tabs>
        <w:rPr>
          <w:sz w:val="20"/>
          <w:szCs w:val="20"/>
          <w:color w:val="auto"/>
        </w:rPr>
      </w:pPr>
      <w:r>
        <w:rPr>
          <w:rFonts w:ascii="Times New Roman" w:cs="Times New Roman" w:eastAsia="Times New Roman" w:hAnsi="Times New Roman"/>
          <w:sz w:val="18"/>
          <w:szCs w:val="18"/>
          <w:color w:val="auto"/>
        </w:rPr>
        <w:t>limitations described herein. For illustrative purposes, based on the balance of the Trust Account of $</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460"/>
        <w:spacing w:after="0"/>
        <w:tabs>
          <w:tab w:leader="none" w:pos="8480" w:val="left"/>
        </w:tabs>
        <w:rPr>
          <w:sz w:val="20"/>
          <w:szCs w:val="20"/>
          <w:color w:val="auto"/>
        </w:rPr>
      </w:pPr>
      <w:r>
        <w:rPr>
          <w:rFonts w:ascii="Times New Roman" w:cs="Times New Roman" w:eastAsia="Times New Roman" w:hAnsi="Times New Roman"/>
          <w:sz w:val="18"/>
          <w:szCs w:val="18"/>
          <w:color w:val="auto"/>
        </w:rPr>
        <w:t>of September 30, 2020, the estimated per share redemption price would have been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Public stockholders may elect to redeem their shares even if they vote for the Business Combination</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to redeem Public Shares, once made, may be withdrawn at any time until the deadline for 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$170 million. The Sponsor and FS Development’s officers and directors have agreed to waive their redemption rights with respect to the Founders Shares and any Public Shares they may hold in connection with the Closing. The Founders Shares will be excluded from the pro rata calculation used to determine the per-share redemption price.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ubmission of Our Initial Business Combination to a Stockholder Vote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redemption rights upon Closing. Public stockholders electing to exercise their redemption rights will be entitled to receive the cash amount specified above, provided that such stockholders follow the specific procedures for redemption set forth in this proxy statement/prospectus relating to the stockholder vote on the Business Combination. FS Development’s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holders of the Founders Shares have agreed to vote such FS Development Common Stock owned by them in favor of the Business Combination. In addition, the Sponsor and FS Development’s officers and directors have agreed to waive their redemption rights with respect to any capital stock they may hold in connection with the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Redemption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Current Charter provides that a public stockholder, together with any affiliate of such stockholder or any other person with whom such stockholder is acting in concert or as a “group” (as defined under Section 13 of the Exchange Act), will be restricted from seeking redemptions with respect to more than 20% of the shares issued in the FS Development IPO.</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currently has three executive officers. These individuals are not obligated to devote any specific number of hours to our matters but they intend to devote as much of their time as they deem necessary to FS Development’s affairs until FS Development has completed its initial business combination. The amount of time they devote in any time period varies based on the stage of the business combination process FS Development is in. FS Development does not intend to have any full time employees prior to the consummation of an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maintains its principal executive offices at 600 Montgomery Street, Suite 4500, San Francisco, CA 94111. FS Development pays the Sponsor $10,000 per month for office space, secretarial and administrative services provided to members of its management team pursuant to the terms of an administrative services agreement between FS Development and the Sponsor. Upon completion of our initial business combination or FS Development’s liquidation, FS Development will cease paying these monthly fees. FS Development considers its current office space adequate for its current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the knowledge of FS Development’s management, there are no legal proceedings pending against FS Development.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FS DEVELOPMENT</w:t>
      </w:r>
    </w:p>
    <w:p>
      <w:pPr>
        <w:spacing w:after="0" w:line="146"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“our,” “us” and other similar terms refer to FS Development before the Business Combination</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FS Development are as follows as of the date of this proxy statement/prospectus: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200" w:type="dxa"/>
            <w:vAlign w:val="bottom"/>
          </w:tcPr>
          <w:p>
            <w:pPr>
              <w:ind w:left="23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3"/>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4"/>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4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Jim Tananbaum </w:t>
      </w:r>
      <w:r>
        <w:rPr>
          <w:rFonts w:ascii="Times New Roman" w:cs="Times New Roman" w:eastAsia="Times New Roman" w:hAnsi="Times New Roman"/>
          <w:sz w:val="18"/>
          <w:szCs w:val="18"/>
          <w:color w:val="auto"/>
        </w:rPr>
        <w:t>has been our President, Chief Executive Officer and a director since June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2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Dennis Ryan </w:t>
      </w:r>
      <w:r>
        <w:rPr>
          <w:rFonts w:ascii="Times New Roman" w:cs="Times New Roman" w:eastAsia="Times New Roman" w:hAnsi="Times New Roman"/>
          <w:sz w:val="18"/>
          <w:szCs w:val="18"/>
          <w:color w:val="auto"/>
        </w:rPr>
        <w:t>has been our Chief Financial Officer since June 2020. Since 2011, Mr. Ryan has also 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Rome </w:t>
      </w:r>
      <w:r>
        <w:rPr>
          <w:rFonts w:ascii="Times New Roman" w:cs="Times New Roman" w:eastAsia="Times New Roman" w:hAnsi="Times New Roman"/>
          <w:sz w:val="18"/>
          <w:szCs w:val="18"/>
          <w:color w:val="auto"/>
        </w:rPr>
        <w:t>has been our Vice President and Director since June 2020. Dr. Rome also serves as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Vikram Bajaj </w:t>
      </w:r>
      <w:r>
        <w:rPr>
          <w:rFonts w:ascii="Times New Roman" w:cs="Times New Roman" w:eastAsia="Times New Roman" w:hAnsi="Times New Roman"/>
          <w:sz w:val="18"/>
          <w:szCs w:val="18"/>
          <w:color w:val="auto"/>
        </w:rPr>
        <w:t>has been a director on our board of directors since June 2020. Dr. Bajaj currently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Carey </w:t>
      </w:r>
      <w:r>
        <w:rPr>
          <w:rFonts w:ascii="Times New Roman" w:cs="Times New Roman" w:eastAsia="Times New Roman" w:hAnsi="Times New Roman"/>
          <w:sz w:val="18"/>
          <w:szCs w:val="18"/>
          <w:color w:val="auto"/>
        </w:rPr>
        <w:t>has been a member of our board of directors since August 2020. Mr. Carey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Dubin </w:t>
      </w:r>
      <w:r>
        <w:rPr>
          <w:rFonts w:ascii="Times New Roman" w:cs="Times New Roman" w:eastAsia="Times New Roman" w:hAnsi="Times New Roman"/>
          <w:sz w:val="18"/>
          <w:szCs w:val="18"/>
          <w:color w:val="auto"/>
        </w:rPr>
        <w:t>has been a member of our board of directors since August 2020. Dr. Dubin is also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Deepa Pakianathan </w:t>
      </w:r>
      <w:r>
        <w:rPr>
          <w:rFonts w:ascii="Times New Roman" w:cs="Times New Roman" w:eastAsia="Times New Roman" w:hAnsi="Times New Roman"/>
          <w:sz w:val="18"/>
          <w:szCs w:val="18"/>
          <w:color w:val="auto"/>
        </w:rPr>
        <w:t>has been a member of our board of directors since August 2020. Since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July 2020, the Sponsor transferred 30,000 Founders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the Sponsor $10,000 per month for office space, secretarial and administrative services provided to members of our management team.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the Sponsor, executive officers and directors, or any of their respective affiliates, prior to completion of our initial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within one year of our initial public offering. The Board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94" w:lineRule="exact"/>
        <w:rPr>
          <w:sz w:val="20"/>
          <w:szCs w:val="20"/>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The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80" w:type="dxa"/>
            <w:vAlign w:val="bottom"/>
          </w:tcPr>
          <w:p>
            <w:pPr>
              <w:spacing w:after="0"/>
              <w:rPr>
                <w:sz w:val="20"/>
                <w:szCs w:val="20"/>
                <w:color w:val="auto"/>
              </w:rPr>
            </w:pPr>
          </w:p>
        </w:tc>
        <w:tc>
          <w:tcPr>
            <w:tcW w:w="212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21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80" w:type="dxa"/>
            <w:vAlign w:val="bottom"/>
          </w:tcPr>
          <w:p>
            <w:pPr>
              <w:spacing w:after="0"/>
              <w:rPr>
                <w:sz w:val="20"/>
                <w:szCs w:val="20"/>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Tananbaum</w:t>
            </w:r>
          </w:p>
        </w:tc>
        <w:tc>
          <w:tcPr>
            <w:tcW w:w="80" w:type="dxa"/>
            <w:vAlign w:val="bottom"/>
            <w:vMerge w:val="continue"/>
          </w:tcPr>
          <w:p>
            <w:pPr>
              <w:spacing w:after="0"/>
              <w:rPr>
                <w:sz w:val="16"/>
                <w:szCs w:val="16"/>
                <w:color w:val="auto"/>
              </w:rPr>
            </w:pPr>
          </w:p>
        </w:tc>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Foresite Capital</w:t>
            </w:r>
          </w:p>
        </w:tc>
        <w:tc>
          <w:tcPr>
            <w:tcW w:w="80" w:type="dxa"/>
            <w:vAlign w:val="bottom"/>
            <w:vMerge w:val="continue"/>
          </w:tcPr>
          <w:p>
            <w:pPr>
              <w:spacing w:after="0"/>
              <w:rPr>
                <w:sz w:val="16"/>
                <w:szCs w:val="16"/>
                <w:color w:val="auto"/>
              </w:rPr>
            </w:pPr>
          </w:p>
        </w:tc>
        <w:tc>
          <w:tcPr>
            <w:tcW w:w="2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Venture capital/private</w:t>
            </w:r>
          </w:p>
        </w:tc>
        <w:tc>
          <w:tcPr>
            <w:tcW w:w="80" w:type="dxa"/>
            <w:vAlign w:val="bottom"/>
            <w:vMerge w:val="continue"/>
          </w:tcPr>
          <w:p>
            <w:pPr>
              <w:spacing w:after="0"/>
              <w:rPr>
                <w:sz w:val="16"/>
                <w:szCs w:val="16"/>
                <w:color w:val="auto"/>
              </w:rPr>
            </w:pPr>
          </w:p>
        </w:tc>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Management V,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DNA Nexus,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Data science cloud platform</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Eikon Therapeutics,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Element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Evonetix, Ltd.</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F-Metabolic,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Fabric Genomics,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Genomics PLC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Healthverity,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data 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Homodeus,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Mindstrong,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Neuropsychiatric healthcare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Sestina,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incubator</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52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Pharvaris BV</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Labs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data science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incubator</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Stanford University School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Medical school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Associate Professor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Medicine</w:t>
            </w: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Lawrence Berkeley</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Scientific research</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Affiliate Scientist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National Laboratory</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Sangamo Therapeutics, Inc. 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Beyond Air,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SVB Leerink</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Chairman and Head of</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Biopharma Investment Banking</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Olivo Laboratories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Deepa Pakianathan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Delphi Ventures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Redd Pharmaceuticals,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Calithera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Karyopharm Therapeutics,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Mereo Biopharma Group</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Theravance Biopharma,</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717"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58" w:lineRule="exact"/>
        <w:rPr>
          <w:sz w:val="20"/>
          <w:szCs w:val="20"/>
          <w:color w:val="auto"/>
        </w:rPr>
      </w:pPr>
    </w:p>
    <w:p>
      <w:pPr>
        <w:jc w:val="both"/>
        <w:ind w:left="1320" w:right="459" w:hanging="434"/>
        <w:spacing w:after="0" w:line="255" w:lineRule="auto"/>
        <w:tabs>
          <w:tab w:leader="none" w:pos="13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9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purchased Founders Shares prior to the date of the FS Development IPO and purchased Private Placement Shares in a transaction that closed simultaneously with the FS Development IPO. Our Initial Stockholders have entered into agreements with us, pursuant to which they have agreed to waive their redemption rights with respect to their Founders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connection with the Business Combination. Additionally, our Initial Stockholders have agreed to waive their rights to liquidating distributions from the trust account with respect to their Founders Shares and Private Placement Shares if we fail to complete our initial business combination within the prescribed time frame or during any extension period. Furthermore, our Initial Stockholders have agreed not to transfer, assign or sell any of their Founders Shares or Private Placement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Founders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2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the Sponsor, officers or directors or completing the business combination through a joint venture or other form of shared ownership with the Sponsor, officers or directors. In the event we seek to complete our initial business combination with an business combination target that is affiliated with the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the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the Sponsor $10,000 per month for office space, secretarial and administrative services provided to members of our management team.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Initial Stockholders have agreed to vote their Founders Shares in favor of the Business Combination.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Current Charter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amended and restated certificate of incorporation. The Current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the FS Development IPO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2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FS DEVELOPMENT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 FS Development’s unaudited interim condensed financial statements were prepared on a basis consistent with its audited financial statements and include, in management’s opinion, all adjustments, consisting only of normal recurring adjustments, that FS Development considers necessary for a fair presentation of the financial information set forth in those statements included elsewhere in this proxy statement/prospectus. FS Development’s historical results are not necessarily indicative of the results that may be expected in any future period, and interim financial results are not necessarily indicative of the results that may be expected for the full year.</w:t>
      </w:r>
    </w:p>
    <w:p>
      <w:pPr>
        <w:spacing w:after="0" w:line="12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This information is only a summary and should be read in conjunction with FS Development’s financial statements and related notes included elsewhere in this proxy statement/prospectus and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 of FS Development</w:t>
      </w:r>
      <w:r>
        <w:rPr>
          <w:rFonts w:ascii="Times New Roman" w:cs="Times New Roman" w:eastAsia="Times New Roman" w:hAnsi="Times New Roman"/>
          <w:sz w:val="17"/>
          <w:szCs w:val="17"/>
          <w:color w:val="auto"/>
        </w:rPr>
        <w:t>.”</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June 25, 2020</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452,486</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49,914</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12,516,500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3,018,750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416"/>
        </w:trPr>
        <w:tc>
          <w:tcPr>
            <w:tcW w:w="6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r>
      <w:tr>
        <w:trPr>
          <w:trHeight w:val="392"/>
        </w:trPr>
        <w:tc>
          <w:tcPr>
            <w:tcW w:w="634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color w:val="auto"/>
              </w:rPr>
              <w:t>146</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RESULTS OF FINANCIAL CONDITION AND RESULTS OF OPERATIONS OF FS DEVELOPMENT</w:t>
      </w:r>
    </w:p>
    <w:p>
      <w:pPr>
        <w:spacing w:after="0" w:line="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FS Development’s financial condition and results of operations should be read in conjunction with FS Development’s financial statements and notes to those statements included in this proxy statement/prospectus. This discussion contains forward-looking statements that involve risks and uncertainties. Please see “Cautionary Note Regarding Forward-Looking Statements” and “Risk Factors” in this proxy statement/prospectus. Unless otherwise indicated or the context otherwise requires, references in this section to “we,” “our,” “us” and other similar terms refer to FS Development before the Business Combination.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w:t>
      </w:r>
    </w:p>
    <w:p>
      <w:pPr>
        <w:spacing w:after="0" w:line="10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FS Development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FS Development of $120,750,000.</w:t>
      </w:r>
    </w:p>
    <w:p>
      <w:pPr>
        <w:spacing w:after="0" w:line="3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we completed the private sale of the 441,500 Private Placement Shares at a purchase price of $10.00 per Private Placement Share, to the Sponsor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the FS Development’s initial business combination, or (ii) a stockholder vote to approve an amendment to Current Charter to modify the substance or timing of the FS Development’s obligation to redeem 100% of the shares of FS Development Class A Common Stock issued in the FS Development IPO if the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FS Development IPO and the Private Placement, approximately $120.8 million ($10.00 per share) of the net proceeds of the sale of the Public Shares in the FS Development IPO and of the Private Placement Shares in the Private Placement were placed in the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24 months from the closing of the FS Development IPO, or August 14, 2022 (the “</w:t>
      </w:r>
      <w:r>
        <w:rPr>
          <w:rFonts w:ascii="Times New Roman" w:cs="Times New Roman" w:eastAsia="Times New Roman" w:hAnsi="Times New Roman"/>
          <w:sz w:val="18"/>
          <w:szCs w:val="18"/>
          <w:b w:val="1"/>
          <w:bCs w:val="1"/>
          <w:color w:val="auto"/>
        </w:rPr>
        <w:t>Combination Period</w:t>
      </w:r>
      <w:r>
        <w:rPr>
          <w:rFonts w:ascii="Times New Roman" w:cs="Times New Roman" w:eastAsia="Times New Roman" w:hAnsi="Times New Roman"/>
          <w:sz w:val="18"/>
          <w:szCs w:val="18"/>
          <w:color w:val="auto"/>
        </w:rPr>
        <w: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On October 15, 2020, we entered into a Merger Agreement by and among FS Development, Merger Sub, Gemini and Shareholders Representative. A copy of the Merger Agreement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The Merger Agreement calls for additional agreements, including, among others, Subscription Agreements, Non-Redemption Letter Agreements, and Gemini Support Agreements. Parent Support Agreements, Registration Rights Agreement, Lock-Up Agreement and Voting Agreement. See the section titled “</w:t>
      </w:r>
      <w:r>
        <w:rPr>
          <w:rFonts w:ascii="Times New Roman" w:cs="Times New Roman" w:eastAsia="Times New Roman" w:hAnsi="Times New Roman"/>
          <w:sz w:val="18"/>
          <w:szCs w:val="18"/>
          <w:i w:val="1"/>
          <w:iCs w:val="1"/>
          <w:color w:val="auto"/>
        </w:rPr>
        <w:t>The Business Combination Proposal — Ancillary Agreements Related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the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Upon the Closing,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Under the Merger Agreement, FS Development has agreed to acquire all of the outstanding equity interests of Gemini in exchange for up to 21,500,000 shares of FS Development Class A Common Stock, subject to adjustments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to be paid at the Effective Time.</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shares of FS Development Class A Common Stock to be placed into escrow for indemnification purposes, as further described in the Merger Agreement.</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entire activity since inception through September 30, 2020 related to our formation, the preparation for the FS Development IPO, and since the closing of the FS Development IPO, the search for a prospective initial business combination and activities in connection with the proposed Business Combination with Gemini.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had net loss of approximately $499,000, which consisted of approximately $451,000 in general and administrative costs and $50,000 of franchise tax expense, which was partially offset by approximately $1,000 gain on the investments held in the Trust Account.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period from June 25, 2020 (inception) through September 30, 2020, we had net loss of approximately $501,000, which consisted of approximately $452,000 in general and administrative costs and $50,000 of franchise tax expense, which was partially offset by approximately $1,000 gain on the investments held in the Trust Account.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we had $1.4 million in our operating bank account, working capital of approximately $1.1 million and cash equivalents held in the Trust Account of approximately $120.8 million. Interest income on the balance in the Trust Account may be used by us to pay franchise and income tax obligations. Through September 30, 2020, we have not withdrawn any interest earned on the Trust Account to pay franchise and income tax obligations. We intend to use substantially all of the funds held in the Trust Account to complete the initial business combination and to pay our expenses relating thereto. To the extent that our capital stock or debt is used, in whole or in part, as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liquidity needs to date have been satisfied through the $25,000 capital contribution to purchase Founders Shares by our Sponsor, the loan proceeds under the promissory note of $200,000 from our Sponsor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to cover our offering costs in connection with the FS Development IPO, and the net proceeds from the consummation of the Private Placement not held in the Trust Account. The Note was fully repaid on August 14, 2020. In addition, in order to finance transaction costs in connection with a business combination, our Sponsor or an affiliate of our Sponsor, or certain of our officers and directors may, but are not obligated to, provide working capital loans.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the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do not have any long-term debt obligations, capital lease obligations, operating lease obligations, purchase obligations or long-term liabilities, other than an agreement to pay administrative services agreement fees to our Sponsor that total $10,000 per month for office space, secretarial and administrative services provided to members of our management team. As of September 30, 2020, we paid $20,000 to our Sponsor as part of the administrative services agreement and recognized $20,000 in the statement of operations for the three months ended September 30, 2020 and for the period from June 25, 2020 (inception) through September 30,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Class A Common Stock subject to mandatory redemption (if any) is classified as a liability instrument and is measured at fair value. Conditionally redeemable Class A Common Stock (including Class A Common Stock that features redemption rights that are either within the control of the holder or subject to redemption upon the occurrence of uncertain events not solely within FS Development’s control) is classified as temporary equity. At all other times, Class A Common Stock is classified as stockholders’ equity. Our Class A Common Stock features certain redemption rights that are considered to be outside of our control and subject to the occurrence of uncertain future events. Accordingly, at September 30, 2020, 11,258,033 shares of Class A Common Stock subject to possible redemption are presented as temporary equity, outside of the stockholders’ equity section of our unaudited condensed balance sheet.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Our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impact on our business, revenues or operating results during the period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FS Development IPO or until we are no longer an “emerging growth company,” whichever is earlier.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GEMINI</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 and its subsidiaries prior to the Closing, which will be the business of the Combined Entity and its subsidiaries following the Closing.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2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2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Since our inception, Gemini Therapeutics has raised a total of $78 million in funding, led by leading biotechnology investors including Atlas Venture, Lightstone Ventures, OrbiMed Advisors and Wu Capital.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summary of our product candidate pipeline as of 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102870</wp:posOffset>
            </wp:positionV>
            <wp:extent cx="4954905" cy="13627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5490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U.S. Food and Drug Administration (FDA), to evaluate the impact on VEGF-inhibition-related macular atrophy. We plan to update our IND to include a Phase 1/2a clinical trial in this population for alignment with the FDA by the end of 2020 and expect to have topline safety and tolerability data from this trial in the second half of 2021.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54" w:lineRule="exact"/>
        <w:rPr>
          <w:sz w:val="20"/>
          <w:szCs w:val="20"/>
          <w:color w:val="auto"/>
        </w:rPr>
      </w:pPr>
    </w:p>
    <w:p>
      <w:pPr>
        <w:jc w:val="both"/>
        <w:ind w:left="1320" w:right="459" w:hanging="434"/>
        <w:spacing w:after="0" w:line="254" w:lineRule="auto"/>
        <w:tabs>
          <w:tab w:leader="none" w:pos="13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differentiated approach focused on complement regulation through the administration of GEM103 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 philosophy is that the best way to identify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7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ultimately leads to blindness and for which there are no currently 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 our differentiated approach holds the potential to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 to AMD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0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CLARITY Natural History Studies</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experiments to aid in identification of therapeutic candidates for indications within AMD and linked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CLARITY was the largest study, to date, that screened dry AMD patients for high-risk genotypes to gain longitudinal clinical information.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CFH, Complement and the Ocular Compartment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Clinical Development Program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GEM103</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Actions of endogenous CFH include inhibition of the complement activation cascade while permitting clearance of foreign material, cellular debris and pathogens in the eye.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08" w:lineRule="exact"/>
        <w:rPr>
          <w:sz w:val="20"/>
          <w:szCs w:val="20"/>
          <w:color w:val="auto"/>
        </w:rPr>
      </w:pPr>
    </w:p>
    <w:p>
      <w:pPr>
        <w:jc w:val="both"/>
        <w:ind w:left="1320" w:right="459" w:hanging="434"/>
        <w:spacing w:after="0" w:line="257" w:lineRule="auto"/>
        <w:tabs>
          <w:tab w:leader="none" w:pos="131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Pharmacokinetics: </w:t>
      </w:r>
      <w:r>
        <w:rPr>
          <w:rFonts w:ascii="Times New Roman" w:cs="Times New Roman" w:eastAsia="Times New Roman" w:hAnsi="Times New Roman"/>
          <w:sz w:val="18"/>
          <w:szCs w:val="18"/>
          <w:color w:val="auto"/>
        </w:rPr>
        <w:t>Aqueous humor sampling showed sustained supraphysiological levels of CFH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doses tested at one week post 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Pharmacodynamics: </w:t>
      </w:r>
      <w:r>
        <w:rPr>
          <w:rFonts w:ascii="Times New Roman" w:cs="Times New Roman" w:eastAsia="Times New Roman" w:hAnsi="Times New Roman"/>
          <w:sz w:val="18"/>
          <w:szCs w:val="18"/>
          <w:color w:val="auto"/>
        </w:rPr>
        <w:t>Aqueous humor samples were tested for specific biomarkers including Ba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marker of the amplification loop) and C3a (a 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32"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Clinical effect: </w:t>
      </w:r>
      <w:r>
        <w:rPr>
          <w:rFonts w:ascii="Times New Roman" w:cs="Times New Roman" w:eastAsia="Times New Roman" w:hAnsi="Times New Roman"/>
          <w:sz w:val="18"/>
          <w:szCs w:val="18"/>
          <w:color w:val="auto"/>
        </w:rPr>
        <w:t>Observation of subjects in Phase 1 clinical trial was of short duration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powered for efficacy. In line with tolerability, visual 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Programs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Factor H Potentiating Antibody</w:t>
      </w:r>
    </w:p>
    <w:p>
      <w:pPr>
        <w:spacing w:after="0" w:line="13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8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6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hold worldwide commercialization rights to each of our product candidates.</w:t>
      </w:r>
    </w:p>
    <w:p>
      <w:pPr>
        <w:spacing w:after="0" w:line="13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1, 2017, we entered into a Research Collaboration and License Agreement with Sanquin Blood Supply Foundation (“</w:t>
      </w:r>
      <w:r>
        <w:rPr>
          <w:rFonts w:ascii="Times New Roman" w:cs="Times New Roman" w:eastAsia="Times New Roman" w:hAnsi="Times New Roman"/>
          <w:sz w:val="18"/>
          <w:szCs w:val="18"/>
          <w:b w:val="1"/>
          <w:bCs w:val="1"/>
          <w:color w:val="auto"/>
        </w:rPr>
        <w:t>Sanquin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2017 License Agreement</w:t>
      </w:r>
      <w:r>
        <w:rPr>
          <w:rFonts w:ascii="Times New Roman" w:cs="Times New Roman" w:eastAsia="Times New Roman" w:hAnsi="Times New Roman"/>
          <w:sz w:val="18"/>
          <w:szCs w:val="18"/>
          <w:color w:val="auto"/>
        </w:rPr>
        <w:t>”) to develop antibodies that bind and enhance the activity of CFH. From the effective date of the 2017 License Agreement until the end of April 2019, the parties engaged in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2017 License Agreement shall terminate on a country-by-country and licensed product-by-licensed product basis upon the latest of (i) expiration of the last valid claim of a Saquin patent that covers such licensed product,</w:t>
      </w:r>
    </w:p>
    <w:p>
      <w:pPr>
        <w:jc w:val="both"/>
        <w:ind w:left="460" w:right="459" w:hanging="6"/>
        <w:spacing w:after="0" w:line="251" w:lineRule="auto"/>
        <w:tabs>
          <w:tab w:leader="none" w:pos="74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own or exclusively license approximately 43 patents and pending patent applications in the U.S. and foreign jurisdictions, including two granted U.S. and foreign patents, and 39 pending U.S. and foreign patent applications and two pending U.S. provisional patent applications.</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issuing from this family is 2041. The other provisional patent application is directed to the GEM103 composition and methods of manufacturing it. The statutory expiration for any U.S. and foreign patents issuing from this family is 2041.</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and pending patent applications in Australia, Brazil, Canada, China, Israel, Japan, the Republic of Korea and Mexico. The European patent covers our current product candidate and is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Times New Roman" w:cs="Times New Roman" w:eastAsia="Times New Roman" w:hAnsi="Times New Roman"/>
          <w:sz w:val="18"/>
          <w:szCs w:val="18"/>
          <w:i w:val="1"/>
          <w:iCs w:val="1"/>
          <w:color w:val="auto"/>
        </w:rPr>
        <w:t>Risk factors — Risks related to our intellectual property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process of obtaining regulatory approvals of drugs and ensuring subsequent compliance with appropriate federal, state, local and foreign statutes and regulations requires the expenditure of substantial time and financial resources.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for therapeutic indications and may be marketed in the United States generally involves the following:</w:t>
      </w:r>
    </w:p>
    <w:p>
      <w:pPr>
        <w:spacing w:after="0" w:line="81" w:lineRule="exact"/>
        <w:rPr>
          <w:sz w:val="20"/>
          <w:szCs w:val="20"/>
          <w:color w:val="auto"/>
        </w:rPr>
      </w:pPr>
    </w:p>
    <w:p>
      <w:pPr>
        <w:ind w:left="1320" w:right="459" w:hanging="434"/>
        <w:spacing w:after="0" w:line="282" w:lineRule="auto"/>
        <w:tabs>
          <w:tab w:leader="none" w:pos="147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after completion of all pivotal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5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BLA;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consideration of the views of any FDA advisory committee, prior to any commercial marketing or sale of the biologic in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 for biologics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IND must also be made for each successive clinical trial conducted during product development of a product candidate, and the FDA must grant permission, either explicitly or implicitly by not objecting, before each clinical trial can begin.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Times New Roman" w:cs="Times New Roman" w:eastAsia="Times New Roman" w:hAnsi="Times New Roman"/>
          <w:sz w:val="18"/>
          <w:szCs w:val="18"/>
          <w:i w:val="1"/>
          <w:iCs w:val="1"/>
          <w:color w:val="auto"/>
        </w:rPr>
        <w:t xml:space="preserve">www.clinicaltrials.gov </w:t>
      </w:r>
      <w:r>
        <w:rPr>
          <w:rFonts w:ascii="Times New Roman" w:cs="Times New Roman" w:eastAsia="Times New Roman" w:hAnsi="Times New Roman"/>
          <w:sz w:val="18"/>
          <w:szCs w:val="18"/>
          <w:color w:val="auto"/>
        </w:rPr>
        <w:t>website.</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BLAs for marketing approval are typically conducted in three sequential phases, which may overlap.</w:t>
      </w:r>
    </w:p>
    <w:p>
      <w:pPr>
        <w:spacing w:after="0" w:line="92" w:lineRule="exact"/>
        <w:rPr>
          <w:sz w:val="20"/>
          <w:szCs w:val="20"/>
          <w:color w:val="auto"/>
        </w:rPr>
      </w:pPr>
    </w:p>
    <w:p>
      <w:pPr>
        <w:jc w:val="both"/>
        <w:ind w:left="1320" w:right="459" w:hanging="434"/>
        <w:spacing w:after="0" w:line="258" w:lineRule="auto"/>
        <w:tabs>
          <w:tab w:leader="none" w:pos="145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1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fifteen days after</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filed by a small business. Additionally, no user fees are assessed on BLAs for products designated as orphan drugs, unless the product also includes a non-orphan indication.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biologics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BLA and determines that the schedule is acceptable, and the sponsor pays any required user fees upon submission of the first section of the BLA.</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biologics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08" w:lineRule="exact"/>
        <w:rPr>
          <w:sz w:val="20"/>
          <w:szCs w:val="20"/>
          <w:color w:val="auto"/>
        </w:rPr>
      </w:pPr>
    </w:p>
    <w:p>
      <w:pPr>
        <w:ind w:left="1320" w:right="479" w:hanging="434"/>
        <w:spacing w:after="0" w:line="282" w:lineRule="auto"/>
        <w:tabs>
          <w:tab w:leader="none" w:pos="13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0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16"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Health Administration, the Environmental Protection Agency and state and local governments and governmental agencies.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had 29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facilities consist of office space of approximately 11,894 square feet in Cambridge, Massachusetts under a lease that expires in lease that expires in May 2023, subject to the right to extend the term for one additional three (3) year term. We believe that our current facilities are sufficient for our current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directors and executive officers are as follows as of the date of this proxy statement/prospectus: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Age</w:t>
            </w:r>
          </w:p>
        </w:tc>
        <w:tc>
          <w:tcPr>
            <w:tcW w:w="438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3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r>
        <w:trPr>
          <w:trHeight w:val="24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Hannah Han-Chun Chang, Ph.D.,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 M.D., MRCOphth</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R. Reilly, J.D.,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Squinto,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bl>
    <w:p>
      <w:pPr>
        <w:spacing w:after="0" w:line="20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Jason Meyenburg </w:t>
      </w:r>
      <w:r>
        <w:rPr>
          <w:rFonts w:ascii="Times New Roman" w:cs="Times New Roman" w:eastAsia="Times New Roman" w:hAnsi="Times New Roman"/>
          <w:sz w:val="18"/>
          <w:szCs w:val="18"/>
          <w:color w:val="auto"/>
        </w:rPr>
        <w:t>has served as our Chief Executive Officer since September 2019.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2018 to September 2019, Mr. Meyenburg 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Gregg D. Beloff </w:t>
      </w:r>
      <w:r>
        <w:rPr>
          <w:rFonts w:ascii="Times New Roman" w:cs="Times New Roman" w:eastAsia="Times New Roman" w:hAnsi="Times New Roman"/>
          <w:sz w:val="18"/>
          <w:szCs w:val="18"/>
          <w:color w:val="auto"/>
        </w:rPr>
        <w:t>has served as our Interim Chief Financial Officer since 2020. Mr. Beloff is the co-founder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Danforth Advisors, a 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Lauder, Ph.D. </w:t>
      </w:r>
      <w:r>
        <w:rPr>
          <w:rFonts w:ascii="Times New Roman" w:cs="Times New Roman" w:eastAsia="Times New Roman" w:hAnsi="Times New Roman"/>
          <w:sz w:val="18"/>
          <w:szCs w:val="18"/>
          <w:color w:val="auto"/>
        </w:rPr>
        <w:t>has served as our Chief Technology Officer since November 2017.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2016 to October 2017, Dr. Lauder 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Marc Uknis, M.D. </w:t>
      </w:r>
      <w:r>
        <w:rPr>
          <w:rFonts w:ascii="Times New Roman" w:cs="Times New Roman" w:eastAsia="Times New Roman" w:hAnsi="Times New Roman"/>
          <w:sz w:val="18"/>
          <w:szCs w:val="18"/>
          <w:color w:val="auto"/>
        </w:rPr>
        <w:t>has served as our Chief Medical Officer since March 2020. Previously, in 2020, Dr. Uknis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and Head of Clinical 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0" w:name="page181"/>
    <w:bookmarkEnd w:id="1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Hannah Han-Chun Chang, Ph.D., M.D. </w:t>
      </w:r>
      <w:r>
        <w:rPr>
          <w:rFonts w:ascii="Times New Roman" w:cs="Times New Roman" w:eastAsia="Times New Roman" w:hAnsi="Times New Roman"/>
          <w:sz w:val="18"/>
          <w:szCs w:val="18"/>
          <w:color w:val="auto"/>
        </w:rPr>
        <w:t>has served as a member of our Board since September 2019.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2020, Dr. Chang has been a Managing Director at Wu Capital, a global single family office. Previously, Dr. Chang served as an Investment Director at Wu Capital from July 2017 to July 2020. Prior to that, from June 2014 to June 2017, Dr. Chang served as an associate at 5AM Ventures, a life sciences venture capital fund. Dr. Chang holds an M.D. from Harvard Medical School, a Ph.D. in biophysics from the Harvard University and a B.A. in chemistry from Princeton University. We believe that Dr. Chang is qualified to serve on our board of directors due to her scientific expertise and experience in venture capital and the life science industry.</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Jean George </w:t>
      </w:r>
      <w:r>
        <w:rPr>
          <w:rFonts w:ascii="Times New Roman" w:cs="Times New Roman" w:eastAsia="Times New Roman" w:hAnsi="Times New Roman"/>
          <w:sz w:val="18"/>
          <w:szCs w:val="18"/>
          <w:color w:val="auto"/>
        </w:rPr>
        <w:t>has served as a member of our Board since April 2016. Since February 2002, she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at Advanced Technology 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Carl L. Gordon, Ph.D., CFA </w:t>
      </w:r>
      <w:r>
        <w:rPr>
          <w:rFonts w:ascii="Times New Roman" w:cs="Times New Roman" w:eastAsia="Times New Roman" w:hAnsi="Times New Roman"/>
          <w:sz w:val="18"/>
          <w:szCs w:val="18"/>
          <w:color w:val="auto"/>
        </w:rPr>
        <w:t>has served as a member of our board of directors since April 2016. Dr. Gordon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member, Managing Partner, 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0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C. Lubner </w:t>
      </w:r>
      <w:r>
        <w:rPr>
          <w:rFonts w:ascii="Times New Roman" w:cs="Times New Roman" w:eastAsia="Times New Roman" w:hAnsi="Times New Roman"/>
          <w:sz w:val="18"/>
          <w:szCs w:val="18"/>
          <w:color w:val="auto"/>
        </w:rPr>
        <w:t>has been a member of our Board since April 2020. From January 2016, until its acquisition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UCB S.A. in April 2020, Mr. Lubner 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Tuyen Ong, M.D., MRCOphth</w:t>
      </w:r>
      <w:r>
        <w:rPr>
          <w:rFonts w:ascii="Times New Roman" w:cs="Times New Roman" w:eastAsia="Times New Roman" w:hAnsi="Times New Roman"/>
          <w:sz w:val="18"/>
          <w:szCs w:val="18"/>
          <w:color w:val="auto"/>
        </w:rPr>
        <w:t>., has served as a member of our Board since August 2020. Dr. Ong is a board-certified ophthalmologist and 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College London and an M.B.A. from New York University Stern School of Business. He is a member of the Royal College of Ophthalmologists and a Churchill Fellow.</w:t>
      </w:r>
    </w:p>
    <w:p>
      <w:pPr>
        <w:spacing w:after="0" w:line="9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Philip R. Reilly, M.D. </w:t>
      </w:r>
      <w:r>
        <w:rPr>
          <w:rFonts w:ascii="Times New Roman" w:cs="Times New Roman" w:eastAsia="Times New Roman" w:hAnsi="Times New Roman"/>
          <w:sz w:val="18"/>
          <w:szCs w:val="18"/>
          <w:color w:val="auto"/>
        </w:rPr>
        <w:t>has served as a member of our board of directors since June 2016. Since 2008, Dr. Reilly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Venture Partner at Third Rock Ventures LLC, an investment firm. Dr. Reilly holds a B.A. in Government from Cornell University, an M.D. from Yale University, and a J.D. from Columbia University. We believe that Dr. Reilly is qualified to serve on our board of directors due to his scientific expertise, extensive business experience, and experience in venture capital and the life science industry.</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Rhodes </w:t>
      </w:r>
      <w:r>
        <w:rPr>
          <w:rFonts w:ascii="Times New Roman" w:cs="Times New Roman" w:eastAsia="Times New Roman" w:hAnsi="Times New Roman"/>
          <w:sz w:val="18"/>
          <w:szCs w:val="18"/>
          <w:color w:val="auto"/>
        </w:rPr>
        <w:t>has been a member of our Board since April 2016 and a partner at Atlas Ventures since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Rhodes also served as the founding 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Stephen Squinto, Ph.D.</w:t>
      </w:r>
      <w:r>
        <w:rPr>
          <w:rFonts w:ascii="Times New Roman" w:cs="Times New Roman" w:eastAsia="Times New Roman" w:hAnsi="Times New Roman"/>
          <w:sz w:val="18"/>
          <w:szCs w:val="18"/>
          <w:color w:val="auto"/>
        </w:rPr>
        <w:t>, has served as a member of our Board since April 2016. Dr. Squinto has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Partner at OrbiMed Advisors LLC since January 2015. Previously, Dr. Squinto co-founded Alexion Pharmaceuticals, Inc. and served as its Executive Vice President and Chief Global Operations Officer from 2012 to January 2015 and as its Global Head of Research and Development from 2007 to 2012. Dr. Squinto has served as Acting Head of Research and Development of Passage Bio, Inc. since January 2020, and prior to that served as interim Chief Executive Officer of Passage Bio from September 2018 to January 2020. Dr. Squinto also has served as a member of Passage’s board of directors since September 2018. Dr. Squinto also previously served as a member of the board of directors of Arvinas, Inc. from October 2015 to September 2018 and Audentes Therapeutics, Inc. from April 2015 to January 2018. Dr. Squinto holds a Ph.D. in biochemistry and biophysics and a B.A. in chemistry from Loyola University of Chicago. We believe that Dr. Squinto is qualified to serve on our board of directors based on his experience in the biopharmaceutical industry, including his operational experience in drug discovery and development.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our Chief Executive Officer and President and our other executive officers identified in the 2019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9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Gemini’s named executive officers are Jason Meyenburg, its President and Chief Executive Officer, and Scott Lauder, its Chief Technology Officer, each of whom will become an executive officer of the Combined Entity. The following table presents information regarding the total compensation awarded to, earned by, and paid to our named executive officers for services rendered to us in all capacities for the years indicated.</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5"/>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00" w:type="dxa"/>
            <w:vAlign w:val="bottom"/>
          </w:tcPr>
          <w:p>
            <w:pPr>
              <w:spacing w:after="0"/>
              <w:rPr>
                <w:sz w:val="3"/>
                <w:szCs w:val="3"/>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3"/>
                <w:szCs w:val="3"/>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3"/>
                <w:szCs w:val="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100" w:type="dxa"/>
            <w:vAlign w:val="bottom"/>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8"/>
        </w:trPr>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116,058</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r>
              <w:rPr>
                <w:rFonts w:ascii="Times New Roman" w:cs="Times New Roman" w:eastAsia="Times New Roman" w:hAnsi="Times New Roman"/>
                <w:sz w:val="20"/>
                <w:szCs w:val="20"/>
                <w:color w:val="auto"/>
                <w:w w:val="92"/>
                <w:vertAlign w:val="superscript"/>
              </w:rPr>
              <w:t>(4)</w:t>
            </w:r>
          </w:p>
        </w:tc>
        <w:tc>
          <w:tcPr>
            <w:tcW w:w="8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831,732</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r>
              <w:rPr>
                <w:rFonts w:ascii="Times New Roman" w:cs="Times New Roman" w:eastAsia="Times New Roman" w:hAnsi="Times New Roman"/>
                <w:sz w:val="20"/>
                <w:szCs w:val="20"/>
                <w:color w:val="auto"/>
                <w:vertAlign w:val="superscript"/>
              </w:rPr>
              <w:t>(5)</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1,027,955</w:t>
            </w: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President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320,500</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117,800</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3,439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441,739</w:t>
            </w:r>
          </w:p>
        </w:tc>
        <w:tc>
          <w:tcPr>
            <w:tcW w:w="0" w:type="dxa"/>
            <w:vAlign w:val="bottom"/>
          </w:tcPr>
          <w:p>
            <w:pPr>
              <w:spacing w:after="0"/>
              <w:rPr>
                <w:sz w:val="1"/>
                <w:szCs w:val="1"/>
                <w:color w:val="auto"/>
              </w:rPr>
            </w:pPr>
          </w:p>
        </w:tc>
      </w:tr>
      <w:tr>
        <w:trPr>
          <w:trHeight w:val="238"/>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97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grant date fair value of stock options awarded during 2019 computed in accordance with the provisions of Financial Accounting Standards Board Accounting Standards Codification Topic 718. See Note 9 to our financial statements appearing elsewhere in this proxy statement/prospectus regarding assumptions underlying the valuation of equity awards.</w:t>
      </w:r>
    </w:p>
    <w:p>
      <w:pPr>
        <w:spacing w:after="0" w:line="2"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97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annual payments made to our named executive officers in cash in March 2020 for performance in 2019.</w:t>
      </w:r>
    </w:p>
    <w:p>
      <w:pPr>
        <w:ind w:left="880" w:right="459" w:hanging="426"/>
        <w:spacing w:after="0" w:line="264" w:lineRule="auto"/>
        <w:tabs>
          <w:tab w:leader="none" w:pos="961"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Meyenburg was appointed our Chief Executive Officer and President effective as of September 23, 2019. His annualized base salary for 2019 was $425,000.</w:t>
      </w:r>
    </w:p>
    <w:p>
      <w:pPr>
        <w:jc w:val="both"/>
        <w:ind w:left="880" w:right="479" w:hanging="426"/>
        <w:spacing w:after="0" w:line="264" w:lineRule="auto"/>
        <w:tabs>
          <w:tab w:leader="none" w:pos="941"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one-time signing bonus payable to Mr. Meyenburg pursuant to the terms of his offer letter agreement with Gemini. Such sign-on bonus was subject to repayment in full in the event that Mr. Meyenburg’s employment with us was terminated by him other than for good reason (as defined in his offer letter agreement) or by us for cause (as defined in his offer letter agreement) within twelve months of his start date.</w:t>
      </w:r>
    </w:p>
    <w:p>
      <w:pPr>
        <w:ind w:left="880" w:right="479" w:hanging="426"/>
        <w:spacing w:after="0" w:line="288" w:lineRule="auto"/>
        <w:tabs>
          <w:tab w:leader="none" w:pos="110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payment of $12,498 for a living expense allowance to facilitate Mr. Meyenburg’s relocation to Cambridge, Massachusetts pursuant to the term of his offer letter agreement with Gemini.</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3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account individual responsibilities, performance and experience. For the year ended December 31, 2019, the annual base salaries for each of Mr. Meyenburg and Dr. Lauder were $425,000 and $320,500,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goals established by our board of directors. For 2019, the target bonus for Mr. Meyenburg was equal to 40% percent of his base salary with any bonus payable prorated from his start date. The target bonus for Dr. Lauder for 2019 was 35% percent of his base salary.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2019, we granted options to purchase shares of our common stock to Mr. Meyenburg, as described in more detail in the “Outstanding equity awards at 2019 fiscal year-end” table.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arrangements and severance agreements with our named executive officers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entered into offer letter agreements with each of our named executive officers in connection with the commencement of their employment with us, the material terms of which summarized below.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Meyenburg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entered into an offer letter agreement with Mr. Meyenburg, dated August 27, 2019, pursuant to which we employ Mr. Meyenburg as our President and Chief Executive Officer. The offer letter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Mr. Meyenburg’s current annual base salary is $437,800, which is subject to periodic review and adjustment. Pursuant to the offer letter agreement, Mr. Meyenburg is eligible to receive to an annual bonus targeted at 40% of his annual base salary, which amount may be adjusted by Gemini at its sole discretion. The actual amount of the bonus is determined by the board of directors based on its assessment of the performance of Mr. Meyenburg and that of the Company against pre-established goals determined by our board of directors. Under the offer letter agreement, we also paid Mr. Meyenburg a signing bonus of $25,000, which was subject to repayment in full in the event that Mr. Meyenburg resigned without “good reason” (as such term is defined in his offer letter agreement) or we terminated Mr. Meyenburg’s employment for “cause” (as such term is defined in his offer letter agreement) in either case within one year of his start date. Mr. Meyenburg was required relocate his primary residence to Cambridge, Massachusetts within one year of his start date. To facilitate such relocation and transition, we provided Mr. Meyenburg with a living expense allowance equal to $4,166 per month until he was able to relocate to Cambridge Massachusetts for up to a maximum of twelve months following his start date.</w:t>
      </w:r>
    </w:p>
    <w:p>
      <w:pPr>
        <w:spacing w:after="0" w:line="12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7"/>
          <w:szCs w:val="17"/>
          <w:color w:val="auto"/>
        </w:rPr>
        <w:t>In the event Mr. Meyenburg’s employment is terminated without cause or he resigns for good reason, in either event within the twelve month period immediate following a “sale event” (as such term is defined in the 2017 Plan), any then outstanding time-based equity awards shall accelerate and become fully vested as of the date of termination. 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(i) the end of the Salary Continuation Period; or (ii) the date Mr. Meyenburg becomes eligible for health insurance through another employer or otherwise becomes</w:t>
      </w:r>
    </w:p>
    <w:p>
      <w:pPr>
        <w:sectPr>
          <w:pgSz w:w="11900" w:h="16838" w:orient="portrait"/>
          <w:cols w:equalWidth="0" w:num="1">
            <w:col w:w="9019"/>
          </w:cols>
          <w:pgMar w:left="1440" w:top="270"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ineligible for COBRA. Payment of the severance payments under the offer letter agreement shall cease in the event that Mr. Meyenburg breaches his obligations under the Employee Confidentiality, Assignment and Noncompetition Agreement entered into with us.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Lauder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entered into an offer letter agreement with Dr. Lauder dated September 12, 2016. The employment of Dr. Lauder is “at will” and the agreement endures until terminated by either party. Dr. Lauder’s current annual base salary is $355,000, which is subject to periodic review and adjustment. Under the terms of the offer letter agreement, Dr. Lauder is eligible to participate in any annual bonus programs as may be established from time to time by our board of directors. Under such bonus programs, Dr. Lauder is eligible to receive an annual bonus targeted at 35% of his annual base salary.</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Lauder is entitled to the following: (a) continuation of base salary for twelve months, which we refer to as the Salary Continuation Period; and (b) monthly COBRA premiums paid by us until the earlier of: (i) the end of the Salary Continuation Period; or (ii) the date Dr. Lauder becomes eligible for health insurance through another employer.</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year-end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2019. Unless otherwise noted, all equity awards set forth in the table below were granted under our 2017 Plan.</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or units</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of 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that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commencement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0" w:type="dxa"/>
            <w:vAlign w:val="bottom"/>
          </w:tcPr>
          <w:p>
            <w:pPr>
              <w:spacing w:after="0"/>
              <w:rPr>
                <w:sz w:val="1"/>
                <w:szCs w:val="1"/>
                <w:color w:val="auto"/>
              </w:rPr>
            </w:pPr>
          </w:p>
        </w:tc>
      </w:tr>
      <w:tr>
        <w:trPr>
          <w:trHeight w:val="255"/>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9/23/2019</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2,690,239</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11/12/2029</w:t>
            </w:r>
          </w:p>
        </w:tc>
        <w:tc>
          <w:tcPr>
            <w:tcW w:w="8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11/5/2017</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156,806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8/28/2028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166,250</w:t>
            </w:r>
            <w:r>
              <w:rPr>
                <w:rFonts w:ascii="Times New Roman" w:cs="Times New Roman" w:eastAsia="Times New Roman" w:hAnsi="Times New Roman"/>
                <w:sz w:val="20"/>
                <w:szCs w:val="20"/>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01"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fair market value of our common stock as of December 31, 2019 of $0.47 as determined by the Gemini board of directors, after consideration of relevant factors, including third-party valuation report.</w:t>
      </w:r>
    </w:p>
    <w:p>
      <w:pPr>
        <w:jc w:val="both"/>
        <w:ind w:left="880" w:right="459" w:hanging="426"/>
        <w:spacing w:after="0" w:line="264" w:lineRule="auto"/>
        <w:tabs>
          <w:tab w:leader="none" w:pos="886"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Mr. Meyenburg’s continued service. In the event that Mr. Meyenburg’s employment is terminated without cause or he resigns for good reason within 12 months following a “sale event” (as such term is defined in the 2017 Plan), the vesting of this stock option will fully accelerate.</w:t>
      </w:r>
    </w:p>
    <w:p>
      <w:pPr>
        <w:ind w:left="880" w:right="479" w:hanging="426"/>
        <w:spacing w:after="0" w:line="264" w:lineRule="auto"/>
        <w:tabs>
          <w:tab w:leader="none" w:pos="919"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in 16 equal quarterly installments over the four years following vesting commencement date, subject to Dr. Lauder’s continued service, subject to full acceleration on a change of control.</w:t>
      </w:r>
    </w:p>
    <w:p>
      <w:pPr>
        <w:jc w:val="both"/>
        <w:ind w:left="880" w:right="479" w:hanging="426"/>
        <w:spacing w:after="0" w:line="276" w:lineRule="auto"/>
        <w:tabs>
          <w:tab w:leader="none" w:pos="93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granted on October 26, 2016 for a total of 480,000 shares under our 2015 Plan. The remaining unvested shares vest in four quarterly installments of 6,875 shares through October 10, 2020 and six quarterly installments of 23,125 thereafter through May 16, 2021, subject to full acceleration on a change of control.</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2017 Plan, which as noted in this summary, will terminate at or prior to the Effective Time and contingent on the Closing and no further awards will be granted under our 2017 Plan.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2017 Plan was initially approved by our board of directors and our stockholders on May 24, 2017 and most recently amended in September 2019 to increase the number of shares available for issuance under the 2017 Plan. Under our 2017 Plan, we have reserved for issuance an aggregate of 11,834,347 shares of our common stock, which number is subject to adjustment in the event of a reorganization, recapitalization, stock dividend, stock split or other similar change in our capital stock.</w:t>
      </w:r>
    </w:p>
    <w:p>
      <w:pPr>
        <w:spacing w:after="0" w:line="11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shares we issue under our 2017 Plan are authorized but unissued shares or shares we reacquire. The shares of common stock underlying any awards under the 2017 Plan and the 2015 Plan that are forfeited, cancelled, reacquired by us prior to vesting, satisfied without the issuance of common stock or otherwise terminated (other than by exercise) and shares of common stock withheld upon exercise or settlement of an award to cover the exercise price or tax withholding under our 2017 Plan and our 2015 Plan are added back to the shares of common stock available for issuance under our 2017 Plan.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of directors has acted as administrator of our 2017 Plan. The administrator has full power to select, from among the individuals eligible for awards, the individuals to whom awards will be granted, and to determine the specific terms and conditions of each award, subject to the provisions of our 2017 Plan. Persons eligible to participate in our 2017 Plan are our full or part time officers, employees, directors, consultants and other key persons as selected from time to time by the administrator in its discretion.</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2017 Plan permits the granting of (1) options to purchase common stock intended to qualify as incentive stock options under Section 422 of the Code and (2) options that do not so qualify. The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2017 Plan permits the granting of restricted shares of common stock, restricted stock units and unrestricted stock.</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2017 Plan provides that upon the occurrence of a “sale event,” as defined in our 2017 Plan, all outstanding stock options will terminate at the effective time of such sale event, unless the parties to the sale event agree that such awards will be assumed or continued by the successor entity. In the event of a termination of our 2017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 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1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discontinue the 2017 Plan at any time, subject to stockholder approval where such approval is required by applicable law. The administrator of the 2017 Plan may also amend or cancel any outstanding award, provided that no such amendment or cancellation of an award may adversely affect a participant’s rights without his or her consent. The administrator of the 2017 Plan is specifically authorized to exercise its discretion to reduce the exercise price of outstanding stock options or effect the repricing of such awards through cancellation and re-grants.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 awards may be granted under our 2017 Plan after the date that is ten years from the date our 2017 Plan was adopted by the board of directors. As of September 30, 2020, options to purchase shares of common stock were outstanding under the 2017 Plan. Our 2017 Plan will terminate at or prior to the Effective Time and contingent on the Closing.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Director and Consultant Stock Option Plan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2015 Plan, which as noted in this summary, will terminate at or prior to the Effective Time and contingent on the Closing and no further awards will be granted under our 2015 Plan.</w:t>
      </w:r>
    </w:p>
    <w:p>
      <w:pPr>
        <w:spacing w:after="0" w:line="9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Our 2015 Plan was approved and adopted by our board of directors and stockholders in August 2015. Under the 2015 Plan, we have reserved for issuance an aggregate of 1,350,000 shares of our common stock for the issuance. This number of shares of common stock reserved for issuance is subject to adjustment in the event of a stock split, stock dividend or other change in our capitalization. As of September 30, 2020, options to purchase 905,000 shares of common stock were outstanding under the 2015 Plan. Following the adoption of the 2017 Stock Plan no further awards were made under the 2015 Plan. All outstanding awards under the 2015 Plan continue to be governed by the 2015 Plan.</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2015 Plan are added back to the shares of common stock available for issuance under the 2017 Plan.</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2015 Plan. The administrator had full power to select, from among the individuals eligible for awards, the individuals to whom awards will be granted, to make any combination of awards to participants, and to determine the specific terms and conditions of each award, subject to the provisions of our 2015 Plan. Persons eligible to participate in our 2015 Plan were those full or part-time officers, employees, non-employee directors, and consultants as selected from time to time by the administrator in its discretion.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2015 Plan permitted the granting of both options to purchase common stock intended to qualify as incentive stock options under Section 422 of the Code and options that do not so qualify. The option exercise price of each option was determined by our board of directors but could not be less than 100% of the fair market value of our common stock on the date of grant. The term of each option was fixed by our board of directors and could not exceed ten years from the date of grant. Our board of directors determined at what time or times each option could be exercised. In addition, our 2015 Plan permitted awards of common stock and stock rights, in each case subject to such conditions and restrictions as determined by our board of directors in its discretion. These conditions and restrictions could have included the achievement of certain performance goals and/or continued employment with us through a specified vesting period.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2015 Plan provides that upon the effectiveness of a “corporate transaction” (as defined in our 2015 Plan), the board of directors shall: (i) make appropriate provision for the continuation of stock options by substituting on an equitable basis for the shares then subject to such options either the consideration payable with respect to the outstanding shares of common stock in connection with the corporate transaction or securities of any successor or acquiring entity; (ii) upon written notice to the participants, provide that stock options must be exercised (either (A) to the extent then exercisable or, (B) at the discretion of the board of directors, in full or in part), within a specified number of days of the date of such notice, at the end of which period such options that have not been exercised shall terminate; or (iii) terminate options in exchange for payment of an amount equal to the consideration payable upon consummation of such corporate transaction to a holder of the number of shares of common stock for which such option was exercisable (either (A) to the extent then exercisable or, (B) at the discretion of the Administrator, in full or in part) less the aggregate exercise price thereof.</w:t>
      </w:r>
    </w:p>
    <w:p>
      <w:pPr>
        <w:spacing w:after="0" w:line="11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Our board of directors or stockholders may amend our 2015 Plan and, our board of directors may discontinue the 2015 Plan. Our board of directors may amend outstanding award agreements under the 2015 Plan , but no such action may adversely affect a participant’s rights under an award without his or her consent. Our board of directors is specifically authorized to exercise its discretion to reduce the exercise price of outstanding stock options under the 2015 Plan. Certain amendments to our 2015 Plan require the approval of our stockholders.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2015 Plan provides that no awards may be granted under our 2015 Plan after the date that is ten years from the date the board approved our 2015 Plan. However, following adoption of the 2017 Stock Plan, our board of directors determined not to make any further awards under our 2015 Plan.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2015 Plan will terminate at or prior to the Effective Time and contingent on the Closing and no further awards will be granted under our 2015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maintain a tax-qualified retirement plan, or the 401(k) Plan, that provides eligible U.S. employees with an opportunity to save for retirement on a tax advantaged basis.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2019, we did not pay any compensation, make any equity awards to, or pay any other compensation to any of the non-employee members of our board of directors who will serve as a director of the Combined Entity following the business combination and, accordingly, we have omitted the 2019 Director Compensation Table. Jason Meyenburg, our President and Chief Executive Officer, did not receive any compensation for his service as a member of our board of directors during 2019. Mr. Meyenburg’s compensation for service as an employee for fiscal year 2019 is presented in “Executive compensation — 2019 Summary compensation table.” We reimburse non-employee members of our board of directors for reasonable travel expenses.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Prior to the Closing, our board of directors plans to adopt a non-employee director compensation policy, that is designed to enable us to attract and retain, on a long-term basis, highly qualified non-employee directors. Under the policy, each director who is not an employee will be paid cash compensation following the Closing, as set forth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Annual</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Retainer</w:t>
            </w:r>
          </w:p>
        </w:tc>
      </w:tr>
      <w:tr>
        <w:trPr>
          <w:trHeight w:val="47"/>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each non-employee elected or appointed to our board of directors following the closing of the Business Combination will be granted a one-time stock option award to purchase a number of shares of Common Stock equal to 0.8% of the total shares outstanding on the date of such director’s election or appointment to the board of directors,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0.4% of the total shares outstanding, which will vest in full of the earlier to occur of the first anniversary of the date of grant or the next annual meeting, subject to continued service as a director through such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AFTER THE BUSINESS COMBINATION</w:t>
      </w:r>
    </w:p>
    <w:p>
      <w:pPr>
        <w:spacing w:after="0" w:line="227"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“us” and “our” generally refer to FS Development in the present tense or the Combined Entity from and after the Business Combination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persons are expected to serve as executive officers and directors following the Business Combination. For biographical information concerning the Gemini executive officers and Gemini designees to the board of directors, see “</w:t>
      </w:r>
      <w:r>
        <w:rPr>
          <w:rFonts w:ascii="Times New Roman" w:cs="Times New Roman" w:eastAsia="Times New Roman" w:hAnsi="Times New Roman"/>
          <w:sz w:val="18"/>
          <w:szCs w:val="18"/>
          <w:i w:val="1"/>
          <w:iCs w:val="1"/>
          <w:color w:val="auto"/>
        </w:rPr>
        <w:t>Executive Officers and Directors of Gemini</w:t>
      </w:r>
      <w:r>
        <w:rPr>
          <w:rFonts w:ascii="Times New Roman" w:cs="Times New Roman" w:eastAsia="Times New Roman" w:hAnsi="Times New Roman"/>
          <w:sz w:val="18"/>
          <w:szCs w:val="18"/>
          <w:color w:val="auto"/>
        </w:rPr>
        <w:t>.” For biographical information concerning the FS Development designee to the board of directors see “</w:t>
      </w:r>
      <w:r>
        <w:rPr>
          <w:rFonts w:ascii="Times New Roman" w:cs="Times New Roman" w:eastAsia="Times New Roman" w:hAnsi="Times New Roman"/>
          <w:sz w:val="18"/>
          <w:szCs w:val="18"/>
          <w:i w:val="1"/>
          <w:iCs w:val="1"/>
          <w:color w:val="auto"/>
        </w:rPr>
        <w:t>Executive Officers and Directors of 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20"/>
                <w:szCs w:val="20"/>
                <w:color w:val="auto"/>
              </w:rPr>
            </w:pPr>
          </w:p>
        </w:tc>
        <w:tc>
          <w:tcPr>
            <w:tcW w:w="44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George</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Ong, M.D., MRCOphth</w:t>
            </w:r>
            <w:r>
              <w:rPr>
                <w:rFonts w:ascii="Times New Roman" w:cs="Times New Roman" w:eastAsia="Times New Roman" w:hAnsi="Times New Roman"/>
                <w:sz w:val="20"/>
                <w:szCs w:val="20"/>
                <w:color w:val="auto"/>
                <w:vertAlign w:val="superscript"/>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Rhodes</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9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Designee</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Designee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of the Business Combination.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89" w:lineRule="exact"/>
        <w:rPr>
          <w:sz w:val="20"/>
          <w:szCs w:val="20"/>
          <w:color w:val="auto"/>
        </w:rPr>
      </w:pPr>
    </w:p>
    <w:p>
      <w:pPr>
        <w:ind w:left="1320" w:right="479" w:hanging="434"/>
        <w:spacing w:after="0" w:line="282" w:lineRule="auto"/>
        <w:tabs>
          <w:tab w:leader="none" w:pos="136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Entity’s board of directors will have the authority to appoint committees to perform certain management and administration functions. FS Development’s current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Gemini’s website is not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statement/prospectus, and the inclusion of such website address in this proxy statement/prospectus is an inactive textual reference only.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Combined Entity’s audit committee is expected to consist of Dr. Carl Gordon, David Lubner and Jason Rhodes. The Board has determined each proposed member of the audit committee is independent under the listing standards of the Nasdaq Stock Market, or the Listing Standards, and Rule 10A-3(b)(1) of the Exchange Act. The chairperson of the audit committee is expected to be David Lubner. The Board has determined that David Lubner is an “audit committee financial expert” within the meaning of SEC regulations. The Board has also determined that each member of the proposed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08" w:lineRule="exact"/>
        <w:rPr>
          <w:sz w:val="20"/>
          <w:szCs w:val="20"/>
          <w:color w:val="auto"/>
        </w:rPr>
      </w:pPr>
    </w:p>
    <w:p>
      <w:pPr>
        <w:ind w:left="1320" w:right="479" w:hanging="434"/>
        <w:spacing w:after="0" w:line="282" w:lineRule="auto"/>
        <w:tabs>
          <w:tab w:leader="none" w:pos="136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the Combined Entity’s financial statements;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 Combined Entity’s internal quality-control procedures, any material issues with such procedures, and any steps taken to deal with such issues when required by applicable law;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compensation committee is expected to consist of Jean George, Dr. Tuyen Ong, and Dr. Jim Tananbaum. The Board has determined each proposed member is a “non-employee director” as defined in Rule 16b-3 promulgated under the Exchange Act and an “outside director” as that term is defined in Section 162(m) of the Internal Revenue Code of 1986, as amended, or the Code. The Board has determined each proposed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expected to be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will include:</w:t>
      </w:r>
    </w:p>
    <w:p>
      <w:pPr>
        <w:spacing w:after="0" w:line="144" w:lineRule="exact"/>
        <w:rPr>
          <w:sz w:val="20"/>
          <w:szCs w:val="20"/>
          <w:color w:val="auto"/>
        </w:rPr>
      </w:pPr>
    </w:p>
    <w:p>
      <w:pPr>
        <w:ind w:left="1320" w:right="479" w:hanging="434"/>
        <w:spacing w:after="0" w:line="282" w:lineRule="auto"/>
        <w:tabs>
          <w:tab w:leader="none" w:pos="13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0" w:name="page191"/>
    <w:bookmarkEnd w:id="1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2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terms of compensatory arrangements with our executive officers;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5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 Jean George, Jason Rhodes and Dr. Jim Tananbaum. The Board has determined each proposed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 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expected to be Jean George.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44" w:lineRule="exact"/>
        <w:rPr>
          <w:sz w:val="20"/>
          <w:szCs w:val="20"/>
          <w:color w:val="auto"/>
        </w:rPr>
      </w:pPr>
    </w:p>
    <w:p>
      <w:pPr>
        <w:ind w:left="1320" w:right="479" w:hanging="434"/>
        <w:spacing w:after="0" w:line="282" w:lineRule="auto"/>
        <w:tabs>
          <w:tab w:leader="none" w:pos="158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such website is not a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the inclusion of the website address in this proxy statement/prospectus is an inactive textual reference only. The Combined Entity intends to disclose any amendments to the Code of Business Conduct and Ethics, or any waivers of its requirements, on its website to the extent required by the applicable rules and exchange requirements.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member of the Combined Entity’s compensation committee has ever been an officer or employee of either company. None of the Combined Entity’s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GEMINI</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selected statements of operations data for the years ended December 31, 2018 and 2019 and the selected balance sheet data as of December 31, 2019 from its audited financial statements included elsewhere in this proxy statement/prospectus. The selected statements of operations data for the six months ended September 30, 2019 and 2020 and the selected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 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of Gemini</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6"/>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8"/>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8"/>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14,651</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38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vMerge w:val="continue"/>
          </w:tcPr>
          <w:p>
            <w:pPr>
              <w:spacing w:after="0"/>
              <w:rPr>
                <w:sz w:val="24"/>
                <w:szCs w:val="24"/>
                <w:color w:val="auto"/>
              </w:rPr>
            </w:pPr>
          </w:p>
        </w:tc>
        <w:tc>
          <w:tcPr>
            <w:tcW w:w="140" w:type="dxa"/>
            <w:vAlign w:val="bottom"/>
            <w:gridSpan w:val="2"/>
          </w:tcPr>
          <w:p>
            <w:pPr>
              <w:spacing w:after="0"/>
              <w:rPr>
                <w:sz w:val="24"/>
                <w:szCs w:val="2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2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w w:val="96"/>
              </w:rPr>
              <w:t>(8.01)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4,811,641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4"/>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3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2" w:name="page193"/>
    <w:bookmarkEnd w:id="1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GEMINI</w:t>
      </w:r>
    </w:p>
    <w:p>
      <w:pPr>
        <w:spacing w:after="0" w:line="7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Gemini’s financial condition and results of operations should be read in conjunction with its financial statements and related notes that appear elsewhere in this proxy statement/prospectus.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w:t>
      </w:r>
      <w:r>
        <w:rPr>
          <w:rFonts w:ascii="Times New Roman" w:cs="Times New Roman" w:eastAsia="Times New Roman" w:hAnsi="Times New Roman"/>
          <w:sz w:val="18"/>
          <w:szCs w:val="18"/>
          <w:color w:val="auto"/>
        </w:rPr>
        <w:t>Cautionary Note Regarding Forward-Looking Statements</w:t>
      </w:r>
      <w:r>
        <w:rPr>
          <w:rFonts w:ascii="Times New Roman" w:cs="Times New Roman" w:eastAsia="Times New Roman" w:hAnsi="Times New Roman"/>
          <w:sz w:val="18"/>
          <w:szCs w:val="18"/>
          <w:i w:val="1"/>
          <w:iCs w:val="1"/>
          <w:color w:val="auto"/>
        </w:rPr>
        <w:t>” included elsewhere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9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merger with FS Development, which would result in FS Development acquiring 100% of the Company’s issued and outstanding securities. Together with FS Development’s cash resources, additional funding for Gemini’s operations would be provided through a Private Investment in Public Equity (“PIPE”) offering to be completed concurrently with the merger. In the event a merger is not consummated, Gemini may be required to obtain additional funding whether through future collaboration agreements, private or public offerings, debt or a combination thereof and such additional funding may not be available on terms Gemini finds acceptable or favorable. There is inherent uncertainty associated with these fundraising activities and they are not considered probable. If Gemini is unable to obtain sufficient capital to continue to advance its programs, Gemini would be forced to delay, reduce or eliminate its research and development programs and any future commercialization efforts. Accordingly, substantial doubt is deemed to exist about Gemini’s ability to continue as a going concern within 12 months following the date its audited financial statements for December 31, 2019 were issued.</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September 30, 2020, Gemini had received gross proceeds of $76.0 million from the sale of its preferred stock, gross proceeds of $16.9 million from borrowings under convertible promissory notes and $10.0 million from its term loan facility with Silicon Valley Bank, or SVB.</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$31.7 million and $26.5 million for the nine months ended September 30, 2019 and 2020, respectively. As of December 31, 2019 and September 30, 2020, Gemini had an accumulated deficit of $72.0 million and $98.5 million, respectively. Gemini expects that its expenses and capital requirements will increase substantially in connection with its ongoing development activities, particularly if and as it:</w:t>
      </w:r>
    </w:p>
    <w:p>
      <w:pPr>
        <w:spacing w:after="0" w:line="97" w:lineRule="exact"/>
        <w:rPr>
          <w:sz w:val="20"/>
          <w:szCs w:val="20"/>
          <w:color w:val="auto"/>
        </w:rPr>
      </w:pPr>
    </w:p>
    <w:p>
      <w:pPr>
        <w:ind w:left="1320" w:right="479" w:hanging="434"/>
        <w:spacing w:after="0" w:line="282" w:lineRule="auto"/>
        <w:tabs>
          <w:tab w:leader="none" w:pos="133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preclinical studies and continues existing and initiates new clinical trials for GEM103, its lead product candidate being tested in AMD;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3" w:name="page194"/>
    <w:bookmarkEnd w:id="1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9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the development of its product candidate pipeline of other product candidates, including through business development efforts to invest in or in-license other technologies or product candidates;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expands and protects its intellectual property portfolio;</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medical, scientific and other technical personnel to support Gemini’s clinical operations;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any pre-commercialization activities to establish sales, marketing and distribution capabilities for any product candidates for which Gemini may receive regulatory approval;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infrastructure and facilities to accommodate its growing employee base;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Furthermore, upon the Closing, Gemini expects to incur additional costs associated with operating as a public company, including significant legal, accounting, investor relations and other expenses that it did not incur as a private company.</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 has incurred significant operating losses since its inception and as of September 30, 2020, had an accumulated deficit of $98.5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its cash resources will not be sufficient to allow Gemini to fund current planned operations beyond the next twelve months from the date of this proxy statement/prospectus without additional capital. Gemini believes, however, that the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Gemini’s future viability beyond that point is dependent on its ability to raise additional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its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Gemini and FS Development.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 Transaction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FS Development executed a definitive merger agreement among it, Merger Sub, Gemini and the Shareholders Representative. As a result of the proposed Business Combination, FS Development will be renamed to Gemini Therapeutics, Inc., or the Combined Entity, and Gemini will become a wholly-owned subsidiary of the Combined Entity. In connection with the Business Combination, the stockholders of Gemini will exchange their interests in Gemini for shares of FS Development Class A Common Stock. In addition, Gemini’s existing equity incentive plan will be terminated; awards issued under Gemini’s existing equity incentive plan will be exchanged for awards issued under a new equity incentive plan to be adopted by the Combined Entity. Lastly, in connection with the Business Combination, certain investors have agreed to subscribe for and purchase an aggregate of $95,060,000 of FS Development Class A Common Stock. The Combined Entity is expected to receive net proceeds of approximately $191.2 million at the Closing (assuming no redemptions are effected by stockholders of FS Development) and will continue to operate under the Gemini management team, led by chief executive officer Jason Meyenburg. The boards of directors of both FS Development and Gemini have approved the proposed transaction. Completion of the transaction, which is expected by the first quarter of 2021, is subject to approval of FS Development stockholders and the satisfaction or waiver of certain other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Gemini’s Operating Results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development of Gemini’s product candidates. Gemini expenses research and development costs as incurred, which include:</w:t>
      </w:r>
    </w:p>
    <w:p>
      <w:pPr>
        <w:spacing w:after="0" w:line="108" w:lineRule="exact"/>
        <w:rPr>
          <w:sz w:val="20"/>
          <w:szCs w:val="20"/>
          <w:color w:val="auto"/>
        </w:rPr>
      </w:pPr>
    </w:p>
    <w:p>
      <w:pPr>
        <w:ind w:left="1320" w:right="479" w:hanging="434"/>
        <w:spacing w:after="0" w:line="282" w:lineRule="auto"/>
        <w:tabs>
          <w:tab w:leader="none" w:pos="13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facilities-related costs, depreciation and other expenses, which include rent and utilities.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6" w:name="page197"/>
    <w:bookmarkEnd w:id="1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20" w:lineRule="exact"/>
        <w:rPr>
          <w:sz w:val="20"/>
          <w:szCs w:val="20"/>
          <w:color w:val="auto"/>
        </w:rPr>
      </w:pPr>
    </w:p>
    <w:p>
      <w:pPr>
        <w:ind w:left="1320" w:right="479" w:hanging="434"/>
        <w:spacing w:after="0" w:line="282" w:lineRule="auto"/>
        <w:tabs>
          <w:tab w:leader="none" w:pos="139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its preclinical development activities, clinical trials and other research and development activities;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IND enabling studies;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it or its third-party manufacturers are able to make product successfully;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its clinical trials and for commercial launch;</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its product candidates, if and when approved, whether alone or in collaboration with others;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its product candidates following approval, if any, of its product candidates.</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accrued on Gemini’s term loan entered into on February 8, 2019 and its convertible notes entered into on August 21,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income earned on its cash, cash equivalents and restricted cash.</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September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results of operations for the nine months ended September 30, 2019 and 2020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$26.7 million for the nine months ended September 30, 2019, compared to $20.5 million for the nine months ended September 30, 2020. The decrease of $6.2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nine months ended September 30, 2019, compared to $3.8 million for the nine months ended September 30, 2020. The decrease of $1.2 million was primarily because of a reduction in employee headcount period over period and related expenses such as travel and benefits due to the impact of COVID-19.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expense was $0.2 million for the nine months ended September 30, 2019, compared to $2.3 million for the nine months ended September 30, 2020. The increase of $2.1 million is primarily due to the interest expense recognized on the $14.0 million Notes, which includes $1.8 million from the accretion of the beneficial conversion feature discount recognized on the issuance date of the Notes.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Interest income was $0.2 million for the nine months ended September 30, 2019, compared to less than $0.1 million for the nine months ended September 30, 2020. The decrease in interest income primarily relates to lower cash balances during the nine months ended September 30, 2020 compared to the same period in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58"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 xml:space="preserve">The change in fair value of warrant liability reflects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reduction of the fair value of the Series A preferred stock warrant.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results of operations for the years ended December 31, 2018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2019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was zero for the year ended December 31, 2018, compared to $0.4 million for the year ended December 31, 2019. The increase was due to the new term loan entered into in February 2019.</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liability was zero for the year ended December 31, 2018, compared to less than $0.1 million for the year ended December 31, 2019. The warrants were issued in February 2019.</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September 30, 2020, Gemini had received gross cash proceeds of $76.0 million from sales of its preferred stock, gross cash proceeds of $16.9 million from borrowings under convertible promissory notes and $10.0 million of cash proceeds from its term loan with SVB.</w:t>
      </w:r>
    </w:p>
    <w:p>
      <w:pPr>
        <w:spacing w:after="0" w:line="12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September 30, 2020, Gemini had cash and cash equivalents of $13.2 million. Gemini has incurred operating losses and experienced negative operating cash flows since inception, and it anticipates that it will continue to incur losses for at least the foreseeable future. Its net losses totaled $31.7 million and $26.5 million for the nine months ended September 30, 2019 and 2020, respectively. Its net losses totaled $20.2 million and $41.4 million for the years ended December 31, 2018 and 2019, respectively. As of September 30, 2020, Gemini had an accumulated deficit of $98.5 million.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cash flows for each of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3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6"/>
        </w:trPr>
        <w:tc>
          <w:tcPr>
            <w:tcW w:w="3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(23,855)</w:t>
            </w: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30,497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19,626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178"/>
        </w:trPr>
        <w:tc>
          <w:tcPr>
            <w:tcW w:w="32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5"/>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2"/>
                <w:szCs w:val="22"/>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40" w:type="dxa"/>
            <w:vAlign w:val="bottom"/>
          </w:tcPr>
          <w:p>
            <w:pPr>
              <w:spacing w:after="0"/>
              <w:rPr>
                <w:sz w:val="22"/>
                <w:szCs w:val="22"/>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operating activities of $27.2 million, primarily resulting from its net loss of $31.7 million, partially offset by increases in accounts payable and accrued expenses and other liabilities.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operating activities of $23.9 million, primarily resulting from its net loss of $26.5 million and a decrease in accounts payable, partially offset by a decrease in prepaid expenses and other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Changes in accounts payable and accrued expenses in all periods were generally due to growth in its business, the advancement of its product candidates, and the timing of vendor invoicing and payments.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1" w:name="page202"/>
    <w:bookmarkEnd w:id="2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investing activities of $0.4 million, consisting primarily of purchases of laboratory equipment.</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investing activities of $0.2 million, consisting primarily of purchases of laboratory equipment.</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investing activities of $0.2 million, consisting primarily of purchases of laboratory equipment.</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investing activities of less than $0.1 million, consisting of purchases of laboratory equipment.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cash provided by financing activities was $30.5 million, consisting primarily of proceeds from the issuance of Gemini’s Series A preferred stock.</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$19.6 million, consisting primarily of $12.2 million of proceeds from the issuance of Gemini’s Series B preferred stock and $7.5 million of gross proceeds from its term loan.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$34.1 million, consisting primarily of $20.1 million of proceeds from the issuance of Gemini’s Series B preferred stock and $14.0 million of proceeds from the issuance of its convertible promissory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its expenses to increase substantially in connection with its ongoing activities, particularly as it advances the preclinical activities and clinical trials of its product candidates. In addition, upon the Closing and concurrent PIPE Investment,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116" w:lineRule="exact"/>
        <w:rPr>
          <w:sz w:val="20"/>
          <w:szCs w:val="20"/>
          <w:color w:val="auto"/>
        </w:rPr>
      </w:pPr>
    </w:p>
    <w:p>
      <w:pPr>
        <w:ind w:left="1320" w:right="479" w:hanging="434"/>
        <w:spacing w:after="0" w:line="282" w:lineRule="auto"/>
        <w:tabs>
          <w:tab w:leader="none" w:pos="155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its early-stage programs and clinical trials of its product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its behalf, its preclinical and clinical drug material and develop processes for late stage and commercial manufacturing;</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it may obtain marketing approval and intend to commercialize on its own;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6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its intellectual property portfolio;</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its intellectual property rights, including enforcing and defending intellectual property related claims;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has incurred significant operating losses since its inception and, as of September 30, 2020, had an accumulated deficit of $98.5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 Management believes that its existing cash resources will not be sufficient to allow it to fund current planned operations beyond the next twelve months from the date of this proxy statement/prospectus without additional capital, This evaluation does not take into consideration the effect of potential mitigating plans of management that have not been fully implemented as of the date of this proxy statement/prospectus.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proposed business combination transaction with FS Development and the PIPE Investment, described above and Note 16, Subsequent Events, to its financial statements included elsewhere in this proxy statement/prospectus. The completion of the proposed Business Combination is conditioned on the satisfaction of certain closing conditions. Upon the completion of the proposed Business Combination transaction, the stockholders of Gemini will exchange their equity interests in Gemini, which include the conversion prior to the Closing of the principal and interest of the outstanding Notes into Series B Preferred Stock at a per share conversion price of $1.3513, for shares of FS Development Class A Common Stock. In connection with the Business Combination, certain investors have agreed to subscribe for and purchase an aggregate of $95,060,000 of FS Development Class A Common Stock in the PIPE Investment. The Combined Company is expected to receive net proceeds of approximately $191.2 million at the closing of the transaction (assuming no redemptions are affected by stockholders of FS Development). The Combined Entity may also pursue additional cash resources through public or private equity or debt financings.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additional information on risks associated with Gemini’s substantial capital requirements, please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12" w:lineRule="exact"/>
        <w:rPr>
          <w:sz w:val="20"/>
          <w:szCs w:val="20"/>
          <w:color w:val="auto"/>
        </w:rPr>
      </w:pPr>
    </w:p>
    <w:p>
      <w:pPr>
        <w:ind w:left="1320" w:right="459" w:hanging="434"/>
        <w:spacing w:after="0" w:line="282" w:lineRule="auto"/>
        <w:tabs>
          <w:tab w:leader="none" w:pos="14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its product candidates, and conducting preclinical and clinical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its product candidates;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its product candidates to supply its clinical and preclinical development efforts and its clinical trials;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its product candidates for which it receives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7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 and necessary inventory to support commercial launch;</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its products, should any of its product candidates receive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its intellectual property rights and defending intellectual property-related claims;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establish and maintain collaborations on favorable terms, if at all;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acquires or in-licenses other product candidates and technologies.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contractual obligations as of September 30, 2020 and the effects that such obligations are expected to have on Gemini’s liquidity and cash flows in future periods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Less than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1 to 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4 to 5</w:t>
            </w: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2"/>
        </w:trPr>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47"/>
        </w:trPr>
        <w:tc>
          <w:tcPr>
            <w:tcW w:w="22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6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3"/>
              </w:rPr>
              <w:t>(i)</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obligations</w:t>
            </w:r>
          </w:p>
        </w:tc>
        <w:tc>
          <w:tcPr>
            <w:tcW w:w="8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(iii)</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2"/>
              </w:rPr>
              <w:t>(iv)</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2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6" w:lineRule="auto"/>
        <w:tabs>
          <w:tab w:leader="none" w:pos="871"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borrowed $10.0 million under its term loan facility with SVB. The term loan matures on January 1, 2023 and accrues interest at a floating rate per annum equal to the greater of 3.75% or the prime rate minus 1.5%. In addition, Gemini issued $14.0 million of convertible promissory notes that mature in February 2021. Gemini accrues simple interest at 8% per annum.</w:t>
      </w:r>
    </w:p>
    <w:p>
      <w:pPr>
        <w:spacing w:after="0" w:line="2"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an operating lease agreement for its office and laboratory space.</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902"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is required to make license fee payments to its licensors. See Financial Statements, Note 13, Commitments and Contingencies for additional details regarding its payment obligations to these licensors</w:t>
      </w:r>
    </w:p>
    <w:p>
      <w:pPr>
        <w:ind w:left="880" w:right="459" w:hanging="426"/>
        <w:spacing w:after="0" w:line="288" w:lineRule="auto"/>
        <w:tabs>
          <w:tab w:leader="none" w:pos="857"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SVB loan term, Gemini is required to pay a final end of term charge to SVB in the amount of 4.0% of the aggregate original principal amount borrowed.</w:t>
      </w:r>
    </w:p>
    <w:p>
      <w:pPr>
        <w:spacing w:after="0" w:line="8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4" w:name="page205"/>
    <w:bookmarkEnd w:id="2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research and manufacturing organizations</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Gemini recorded accrued expenses of approximately $0.4 million and $1.2 million in its balance sheets for expenditures incurred by CROs and CMOs as of December 31, 2019 and September 30,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Tax-related obligations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date, Gemini has not recognized any reserves related to uncertain tax positions. As of December 31, 2019 and September 30, 2020, Gemini had no accrued interest or penalties related to uncertain tax positions.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11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While Gemini’s significant accounting policies are described in more detail in Note 2 to Gemini’s financial statements appearing elsewhere in this proxy statement/prospectus, it believes that the following accounting policies are those most critical to the judgments and estimates used in the preparation of its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127" w:lineRule="exact"/>
        <w:rPr>
          <w:sz w:val="20"/>
          <w:szCs w:val="20"/>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measures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Gemini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Gemini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 classifies stock-based compensation expense in its statements of operations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estimates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Gemini’s common stock to date of this proxy statement/prospectus,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Privately-Held-Company Equity Securities Issued as Compensation</w:t>
      </w:r>
      <w:r>
        <w:rPr>
          <w:rFonts w:ascii="Times New Roman" w:cs="Times New Roman" w:eastAsia="Times New Roman" w:hAnsi="Times New Roman"/>
          <w:sz w:val="18"/>
          <w:szCs w:val="18"/>
          <w:color w:val="auto"/>
        </w:rPr>
        <w:t>. Gemini’s common stock valuations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$0.55 per share as of January 21, 2020, and $1.66 per share as of September 20, 2020.</w:t>
      </w:r>
    </w:p>
    <w:p>
      <w:pPr>
        <w:spacing w:after="0" w:line="13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108" w:lineRule="exact"/>
        <w:rPr>
          <w:sz w:val="20"/>
          <w:szCs w:val="20"/>
          <w:color w:val="auto"/>
        </w:rPr>
      </w:pPr>
    </w:p>
    <w:p>
      <w:pPr>
        <w:ind w:left="1320" w:right="459" w:hanging="434"/>
        <w:spacing w:after="0" w:line="282" w:lineRule="auto"/>
        <w:tabs>
          <w:tab w:leader="none" w:pos="133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Gemini sold shares of preferred stock and the superior rights and preferences of the preferred stock relative to its common stock at the time of each grant;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its research and development programs, including the status and results of preclinical studies and clinical trials for its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stage of development and commercialization and its business strategy;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 trends within the biopharmaceutical industry;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6" w:name="page207"/>
    <w:bookmarkEnd w:id="2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9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position, including cash on hand, and its historical and forecasted performance and results of operations;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its common stock and its preferred stock;</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sale of Gemini in light of prevailing market conditions;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Once a public trading market for the Combined Entity’s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the Combined Entity’s common stock will be determined based on the quoted market price of its common stock.</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Awards granted</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options and restricted stock granted from January 1, 2018 through the date of this proxy statement/prospectus, the per share purchase prices and exercise prices, the fair value of common stock per share on each grant date, and the per share estimated fair value of the awards: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 share fair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options 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202"/>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subject</w:t>
            </w: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restricted</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on grant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award</w:t>
            </w:r>
          </w:p>
        </w:tc>
      </w:tr>
      <w:tr>
        <w:trPr>
          <w:trHeight w:val="212"/>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to award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on grant date</w:t>
            </w:r>
          </w:p>
        </w:tc>
      </w:tr>
      <w:tr>
        <w:trPr>
          <w:trHeight w:val="47"/>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Restricted stock</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28, 2018</w:t>
            </w:r>
            <w:r>
              <w:rPr>
                <w:rFonts w:ascii="Times New Roman" w:cs="Times New Roman" w:eastAsia="Times New Roman" w:hAnsi="Times New Roman"/>
                <w:sz w:val="20"/>
                <w:szCs w:val="20"/>
                <w:color w:val="auto"/>
                <w:vertAlign w:val="superscript"/>
              </w:rPr>
              <w:t>(1)</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5,723,737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83"/>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2018</w:t>
            </w:r>
            <w:r>
              <w:rPr>
                <w:rFonts w:ascii="Times New Roman" w:cs="Times New Roman" w:eastAsia="Times New Roman" w:hAnsi="Times New Roman"/>
                <w:sz w:val="20"/>
                <w:szCs w:val="20"/>
                <w:color w:val="auto"/>
                <w:vertAlign w:val="superscript"/>
              </w:rPr>
              <w:t>(1)</w:t>
            </w: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731,695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356,780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492,500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 2019</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411,865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3,748,799</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2019</w:t>
            </w:r>
            <w:r>
              <w:rPr>
                <w:rFonts w:ascii="Times New Roman" w:cs="Times New Roman" w:eastAsia="Times New Roman" w:hAnsi="Times New Roman"/>
                <w:sz w:val="20"/>
                <w:szCs w:val="20"/>
                <w:color w:val="auto"/>
                <w:vertAlign w:val="superscript"/>
              </w:rPr>
              <w:t>(2)</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2020</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1,182,200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0" w:lineRule="auto"/>
        <w:tabs>
          <w:tab w:leader="none" w:pos="958"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73"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 award was fully vested on the date of grant.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does not have during the periods presented, and it does not currently have, any off-balance sheet arrangements, as defined in the rules and regulations of the SEC.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Gemini’s financial position and results of operations is disclosed in Note 2 to Gemini’s financial statements included elsewhere in this proxy statement/prospectus.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7" w:name="page208"/>
    <w:bookmarkEnd w:id="2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is exposed to market risk in the ordinary course of its business. These risks primarily relate to changes in interest rates.</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40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Hypothetical Change in Interest Rates</w:t>
            </w:r>
            <w:r>
              <w:rPr>
                <w:rFonts w:ascii="Times New Roman" w:cs="Times New Roman" w:eastAsia="Times New Roman" w:hAnsi="Times New Roman"/>
                <w:sz w:val="18"/>
                <w:szCs w:val="18"/>
                <w:b w:val="1"/>
                <w:bCs w:val="1"/>
                <w:color w:val="auto"/>
                <w:vertAlign w:val="superscript"/>
              </w:rPr>
              <w:t>(i)</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Impact to Interest Expense</w:t>
            </w:r>
          </w:p>
        </w:tc>
      </w:tr>
      <w:tr>
        <w:trPr>
          <w:trHeight w:val="232"/>
        </w:trPr>
        <w:tc>
          <w:tcPr>
            <w:tcW w:w="39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1-percent increase</w:t>
            </w:r>
          </w:p>
        </w:tc>
        <w:tc>
          <w:tcPr>
            <w:tcW w:w="10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 increase</w:t>
            </w:r>
          </w:p>
        </w:tc>
      </w:tr>
      <w:tr>
        <w:trPr>
          <w:trHeight w:val="279"/>
        </w:trPr>
        <w:tc>
          <w:tcPr>
            <w:tcW w:w="40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1-percent decrease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Impact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928"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pays a floating rate per annum equal to the greater of 3.75% or the prime rate minus 1.5%. See Note 6 to Gemini’s financial statements for further information.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and the post-combination company is expected to be,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Gemini is, and the post-combination company is expected be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w:t>
      </w:r>
    </w:p>
    <w:p>
      <w:pPr>
        <w:spacing w:after="0" w:line="3" w:lineRule="exact"/>
        <w:rPr>
          <w:sz w:val="20"/>
          <w:szCs w:val="20"/>
          <w:color w:val="auto"/>
        </w:rPr>
      </w:pPr>
    </w:p>
    <w:p>
      <w:pPr>
        <w:ind w:left="460" w:right="479" w:hanging="6"/>
        <w:spacing w:after="0" w:line="260" w:lineRule="auto"/>
        <w:tabs>
          <w:tab w:leader="none" w:pos="72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annual revenues exceeded $100 million during such completed fiscal year and the market value of our common stock held by non-affiliates exceeds $700 million as of the prior June 30.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AFTER THE BUSINESS COMBINATION</w:t>
      </w:r>
    </w:p>
    <w:p>
      <w:pPr>
        <w:spacing w:after="0" w:line="2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FS Development stockholders who receive shares of FS Development Class A Common Stock will become the stockholders of the Combined Entity. Your rights as the Combined Entity stockholders will be governed by Delaware law and the Proposed Charter and the Amended By-laws. The following description of the material terms of the Combined Entity’s securities reflects the anticipated state of affairs upon completion of the Business Combination.</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connection with the Business Combination, FS Development will amend and restate the Current Charter and the Current By-Laws. The following summary of the material terms the Combined Entity’s securities following the Business Combination is not intended to be a complete summary of the rights and preferences of such securities. The full text of the Proposed Charter and the Amended By-laws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C</w:t>
      </w:r>
      <w:r>
        <w:rPr>
          <w:rFonts w:ascii="Times New Roman" w:cs="Times New Roman" w:eastAsia="Times New Roman" w:hAnsi="Times New Roman"/>
          <w:sz w:val="18"/>
          <w:szCs w:val="18"/>
          <w:i w:val="1"/>
          <w:iCs w:val="1"/>
          <w:color w:val="auto"/>
        </w:rPr>
        <w:t>, respectively, to this proxy statement/prospectus. You are encouraged to read the applicable provisions of Delaware law, the Proposed Charter and the Amended By-laws in their entirety for a complete description of the rights and preferences of the Combined Entity securities following the 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162" w:lineRule="exact"/>
        <w:rPr>
          <w:sz w:val="20"/>
          <w:szCs w:val="20"/>
          <w:color w:val="auto"/>
        </w:rPr>
      </w:pPr>
    </w:p>
    <w:p>
      <w:pPr>
        <w:ind w:left="460"/>
        <w:spacing w:after="0"/>
        <w:tabs>
          <w:tab w:leader="none" w:pos="4700" w:val="left"/>
          <w:tab w:leader="none" w:pos="6660" w:val="left"/>
        </w:tabs>
        <w:rPr>
          <w:sz w:val="20"/>
          <w:szCs w:val="20"/>
          <w:color w:val="auto"/>
        </w:rPr>
      </w:pPr>
      <w:r>
        <w:rPr>
          <w:rFonts w:ascii="Times New Roman" w:cs="Times New Roman" w:eastAsia="Times New Roman" w:hAnsi="Times New Roman"/>
          <w:sz w:val="18"/>
          <w:szCs w:val="18"/>
          <w:color w:val="auto"/>
        </w:rPr>
        <w:t>The Proposed Charter authorizes the issuance of</w:t>
      </w:r>
      <w:r>
        <w:rPr>
          <w:sz w:val="20"/>
          <w:szCs w:val="20"/>
          <w:color w:val="auto"/>
        </w:rPr>
        <w:tab/>
      </w:r>
      <w:r>
        <w:rPr>
          <w:rFonts w:ascii="Times New Roman" w:cs="Times New Roman" w:eastAsia="Times New Roman" w:hAnsi="Times New Roman"/>
          <w:sz w:val="18"/>
          <w:szCs w:val="18"/>
          <w:color w:val="auto"/>
        </w:rPr>
        <w:t>shares, consisting of</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$0.0001 par value per share, and 10,000,000 shares of preferred stock, $0.0001 par value. As of the Record</w:t>
      </w:r>
    </w:p>
    <w:p>
      <w:pPr>
        <w:spacing w:after="0" w:line="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Date, there were shares of FS Development Class A Common Stock and shares of FS Development Class B Common Stock outstanding. In connection with the Business Combination and subject to the terms of the Current Charter, all shares of outstanding Class B Common Stock shall automatically be converted into shares of Class A Common Stock. No shares of preferred stock are currently outstanding.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Proposed Charter, which FS Development will adopt if the Charter Amendment Proposal is approved,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the Combined Entity’s directors and all other matters requiring stockholder action. Holders of Common Stock are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the Combined Entity’s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of the Combined Entity’s voluntary or involuntary liquidation, dissolution, distribution of assets or winding-up, the holders of the Common Stock will be entitled to receive an equal amount per share of all of the Combined Entity’s assets of whatever kind available for distribution to stockholders, after the rights of the holders of the preferred stock have been satisfied.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holders of the Founders Shares issued and outstanding on the date of this proxy statement/prospectus are entitled to registration rights pursuant to an agreement signed in connection with the FS Development IPO.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certain Gemini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additional rights to provide for registration of registrable securities on Form S-3 and any similar short-form registration statement that may be available at such time. See the section titled “</w:t>
      </w:r>
      <w:r>
        <w:rPr>
          <w:rFonts w:ascii="Times New Roman" w:cs="Times New Roman" w:eastAsia="Times New Roman" w:hAnsi="Times New Roman"/>
          <w:sz w:val="18"/>
          <w:szCs w:val="18"/>
          <w:i w:val="1"/>
          <w:iCs w:val="1"/>
          <w:color w:val="auto"/>
        </w:rPr>
        <w:t>The Business Combination Proposal — Ancillary Agreements.”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Charter and Amended By-laws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the Proposed Charter and Amended By-laws will:</w:t>
      </w:r>
    </w:p>
    <w:p>
      <w:pPr>
        <w:spacing w:after="0" w:line="144" w:lineRule="exact"/>
        <w:rPr>
          <w:sz w:val="20"/>
          <w:szCs w:val="20"/>
          <w:color w:val="auto"/>
        </w:rPr>
      </w:pPr>
    </w:p>
    <w:p>
      <w:pPr>
        <w:jc w:val="both"/>
        <w:ind w:left="1320" w:right="459" w:hanging="434"/>
        <w:spacing w:after="0" w:line="266" w:lineRule="auto"/>
        <w:tabs>
          <w:tab w:leader="none" w:pos="13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Combined Entity’s board of directors to issue up to 10,000,000 shares of preferred stock, with any rights, preferences and privileges as they may designate, including the right to approve an acquisition or other change of control;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Combined Entity’s board of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2" w:lineRule="auto"/>
        <w:tabs>
          <w:tab w:leader="none" w:pos="13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all of our then-outstanding shares of the capital stock entitled to vote generally at an election of directors;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1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Combined Entity’s stockholders may be called the Combined Entity’s board of directors pursuant to a resolution adopted by a majority of the total number of authorized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Combined Entity’s board of directors will be divided into three classes of directors, with the classes to be as nearly equal as possible, and with the directors serving three-year terms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therefore making it more difficult for stockholders to change the composition of our board of directors;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the Combined Entity’s board of directors as well as for another party to obtain control of the Combined Entity by replacing the Combined Entity’s board of directors. Because the Combined Entity’s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Combined Entity’s board of directors to issue preferred stock with voting or other rights or preferences that could impede the success of any attempt to change our control.</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Combined Entity’s board of directors and its policies and to discourage coercive takeover practices and inadequate takeover bids. These provisions are also designed to reduce the Combined Entity’s vulnerability to hostile takeovers and to discourage certain tactics that may be used in proxy fights. However, such provisions could have the effect of discouraging others from making tender offers for the Combined Entity’s shares and may have the effect of delaying changes in our control or management. As a consequence, these provisions may also inhibit fluctuations in the market price of our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will opt out of Section 203 of the Delaware General Corporation Law.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Shares</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will issue up to shares of Class A Common Stock to Gemini Equityholders in connection with the Business Combination. All of the shares of Class A Common Stock issued in connection with the Business Combination will be freely transferable by persons other than by FS Development’s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Provisions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Sponsor and certain existing Gemini stockholders, including all Gemini officers, directors and certain stockholders prior to the Closing, and their affiliates that hold Gemini securities, will be broadly prohibited from selling, pledging, transferring or otherwise disposing of their ownership interest in the Combined Entity’s common stock for a period 180 days after the Closing, subject to certain customary exceptions.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has agreed to give holders of certain restricted securities, including shares of Common Stock and the shares purchased in the PIPE Investment, registration rights to facilitate the resale of such restricted securities. Additional details of these rights can be found under the section titled “</w:t>
      </w:r>
      <w:r>
        <w:rPr>
          <w:rFonts w:ascii="Times New Roman" w:cs="Times New Roman" w:eastAsia="Times New Roman" w:hAnsi="Times New Roman"/>
          <w:sz w:val="18"/>
          <w:szCs w:val="18"/>
          <w:i w:val="1"/>
          <w:iCs w:val="1"/>
          <w:color w:val="auto"/>
        </w:rPr>
        <w:t>Description of Securities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 Registration Rights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00" w:hanging="41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shares of the Combined Entity’s common stock then outstanding; 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Combined Entity’s Common Stock during the four calendar weeks preceding the filing of a notice on Form 144 with respect to the sale.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Sales by affiliates of FS Development under Rule 144 are also subject to certain requirements relating to manner of sale, notice and the availability of current public information about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5" w:lineRule="exact"/>
        <w:rPr>
          <w:sz w:val="20"/>
          <w:szCs w:val="20"/>
          <w:color w:val="auto"/>
        </w:rPr>
      </w:pPr>
    </w:p>
    <w:p>
      <w:pPr>
        <w:ind w:left="1300" w:hanging="41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40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08"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shares of Common Stock outstanding. Of these shares, the 8,622,644 shares issued in the FS Development IPO are freely tradable without restriction or further registration under the Securities Act, except for any shares purchased by one of our affiliates within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meaning of Rule 144 under the Securities Act. All of the remaining shares owned collectively by the Sponsor, officers and directors are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Gemini’s employees, consultants or advisors who purchases equity shares from Gemini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table below summarizes the material differences between the current rights of stockholders of FS Development under the Current Charter and Current By-laws and the rights of FS Development stockholders, post-Business Combination, under the Proposed Charter and Amended By-laws, which will be in effect immediately following the Closing.</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While FS Development believes that the summary tables cover the material differences between the rights of stockholders of FS Development prior to the Business Combination and the rights of FS Development stockholders following the Business Combination, these summary tables may not contain all of the information that is important to you. You should carefully read this entire proxy statement/prospectus and the other documents referred to in this proxy statement/prospectus for a more complete understanding of the differences between being a stockholder of FS Development before and after the Business Combination, Annex B, and Exhibits 3.1, 3.2 and 3.3 to the registration statement of which this proxy statement/prospectus forms a part and will send copies of the documents referred to in this proxy statement/prospectus to you upon your request.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w:t>
      </w:r>
    </w:p>
    <w:p>
      <w:pPr>
        <w:spacing w:after="0" w:line="142" w:lineRule="exact"/>
        <w:rPr>
          <w:sz w:val="20"/>
          <w:szCs w:val="20"/>
          <w:color w:val="auto"/>
        </w:rPr>
      </w:pPr>
    </w:p>
    <w:p>
      <w:pPr>
        <w:ind w:left="840"/>
        <w:spacing w:after="0"/>
        <w:tabs>
          <w:tab w:leader="none" w:pos="4940" w:val="left"/>
        </w:tabs>
        <w:rPr>
          <w:sz w:val="20"/>
          <w:szCs w:val="20"/>
          <w:color w:val="auto"/>
        </w:rPr>
      </w:pPr>
      <w:r>
        <w:rPr>
          <w:rFonts w:ascii="Times New Roman" w:cs="Times New Roman" w:eastAsia="Times New Roman" w:hAnsi="Times New Roman"/>
          <w:sz w:val="16"/>
          <w:szCs w:val="16"/>
          <w:b w:val="1"/>
          <w:bCs w:val="1"/>
          <w:color w:val="auto"/>
        </w:rPr>
        <w:t>FS Development (Pre-Business Combination)</w:t>
      </w:r>
      <w:r>
        <w:rPr>
          <w:sz w:val="20"/>
          <w:szCs w:val="20"/>
          <w:color w:val="auto"/>
        </w:rPr>
        <w:tab/>
      </w:r>
      <w:r>
        <w:rPr>
          <w:rFonts w:ascii="Times New Roman" w:cs="Times New Roman" w:eastAsia="Times New Roman" w:hAnsi="Times New Roman"/>
          <w:sz w:val="14"/>
          <w:szCs w:val="14"/>
          <w:b w:val="1"/>
          <w:bCs w:val="1"/>
          <w:color w:val="auto"/>
        </w:rPr>
        <w:t>The Combined Entity (Post-Business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78740</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currently authorized to issue The Combined Entity will be authorized to issue shares 111,000,000 shares of capital stock, consisting of of capital stock, consisting of (i) shares of common</w:t>
      </w:r>
    </w:p>
    <w:p>
      <w:pPr>
        <w:ind w:left="460" w:right="799" w:hanging="6"/>
        <w:spacing w:after="0" w:line="250" w:lineRule="auto"/>
        <w:tabs>
          <w:tab w:leader="none" w:pos="74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110,000,000 shares of common stock, including stock, and (iii) 10,000,000 shares of preferred stock 100,000,000 shares of Class A Common Stock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B Common Stock, and</w:t>
      </w:r>
    </w:p>
    <w:p>
      <w:pPr>
        <w:spacing w:after="0" w:line="9"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Preferred Stock</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fix for any series of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fix for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voting powers, if any, designations, powers,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class or series of preferred stock such voting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preferences  and  relative,  participating,  optional,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 full or limited, or no voting powers, and such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special and other rights, if any, as may be stated in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designations,  preferences  and  relative,  participating,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resolutions of the Board’s providing for the issuance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or other special rights and such qualifications,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series.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or restrictions thereof, as may be stated in</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resolutions of the Combined Entity’s board of</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resolutions providing for the issuance of such class or</w:t>
            </w: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w:t>
            </w:r>
          </w:p>
        </w:tc>
      </w:tr>
      <w:tr>
        <w:trPr>
          <w:trHeight w:val="426"/>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2"/>
          </w:tcPr>
          <w:p>
            <w:pPr>
              <w:spacing w:after="0"/>
              <w:rPr>
                <w:sz w:val="7"/>
                <w:szCs w:val="7"/>
                <w:color w:val="auto"/>
              </w:rPr>
            </w:pPr>
          </w:p>
        </w:tc>
      </w:tr>
      <w:tr>
        <w:trPr>
          <w:trHeight w:val="237"/>
        </w:trPr>
        <w:tc>
          <w:tcPr>
            <w:tcW w:w="810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Number and Qualification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directors of FS Development, other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any rights of holders of preferred stock to</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than those who may be elected by the holders of 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under  specified  circumstances  and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more series of preferred stock voting separately by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the Registration Rights Agreement and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or series, will be fixed from time to time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Voting Agreement, the number of directors will be fixed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exclusively by the Board pursuant to a resolution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time to time pursuant to a resolution adopted by</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adopted by a majority of the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w:t>
            </w:r>
          </w:p>
        </w:tc>
      </w:tr>
      <w:tr>
        <w:trPr>
          <w:trHeight w:val="405"/>
        </w:trPr>
        <w:tc>
          <w:tcPr>
            <w:tcW w:w="81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Classification of the Board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of FS Development to elect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of the Combined Entity to elect 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one or more directors, the Board is classified into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 directors, the Combined Entity’s board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three classes of directors with staggered terms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is classified into three classes of directors with</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terms of office.</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Election of Directors; Vacancies on the Board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FS Development’s annual meeting,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the Combined Entity’s annual meeting,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 expires at that annual meeting, each of whom</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expires at that annual meeting, each of whom shall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shall hold office for a term of three years or until his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 office for a term of three years or until his or 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her successor is duly elected and qualified, subject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is duly elected and qualified, subject to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such  director’s  earlier  death,  resignation,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earlier death, resignation, disqualification or</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w:t>
            </w:r>
          </w:p>
        </w:tc>
        <w:tc>
          <w:tcPr>
            <w:tcW w:w="0" w:type="dxa"/>
            <w:vAlign w:val="bottom"/>
          </w:tcPr>
          <w:p>
            <w:pPr>
              <w:spacing w:after="0"/>
              <w:rPr>
                <w:sz w:val="1"/>
                <w:szCs w:val="1"/>
                <w:color w:val="auto"/>
              </w:rPr>
            </w:pPr>
          </w:p>
        </w:tc>
      </w:tr>
      <w:tr>
        <w:trPr>
          <w:trHeight w:val="33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If the number of directors is changed, any increase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majority of the board of directors shall have the right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is apportioned among the classes to maintain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any vacancies on of the Combined Entity’s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 equal number of directors in each class as nearly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whether caused by increase in size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possible,  and  any  additional  director  of  any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or resignation or removal of a director, and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elected to fill a vacancy will hold office for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board of directors shall have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of that class, but in no case will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determine the class that any additional director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the number of directors remove or shorten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fill, and any additional director of any class elected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term of any incumbent director.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 vacancy will hold office for the remaining term</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that class, but in no case will a decrease in the</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number of directors remove or shorten the term of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the election of directors shall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incumbent director.</w:t>
            </w:r>
          </w:p>
        </w:tc>
        <w:tc>
          <w:tcPr>
            <w:tcW w:w="0" w:type="dxa"/>
            <w:vAlign w:val="bottom"/>
          </w:tcPr>
          <w:p>
            <w:pPr>
              <w:spacing w:after="0"/>
              <w:rPr>
                <w:sz w:val="1"/>
                <w:szCs w:val="1"/>
                <w:color w:val="auto"/>
              </w:rPr>
            </w:pPr>
          </w:p>
        </w:tc>
      </w:tr>
      <w:tr>
        <w:trPr>
          <w:trHeight w:val="184"/>
        </w:trPr>
        <w:tc>
          <w:tcPr>
            <w:tcW w:w="4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 determined by a plurality of the votes cast by the</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the election of directors shall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determined by a plurality of the votes cast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0" w:type="dxa"/>
            <w:vAlign w:val="bottom"/>
          </w:tcPr>
          <w:p>
            <w:pPr>
              <w:spacing w:after="0"/>
              <w:rPr>
                <w:sz w:val="1"/>
                <w:szCs w:val="1"/>
                <w:color w:val="auto"/>
              </w:rPr>
            </w:pPr>
          </w:p>
        </w:tc>
      </w:tr>
    </w:tbl>
    <w:p>
      <w:pPr>
        <w:ind w:left="4500"/>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2" w:lineRule="exact"/>
        <w:rPr>
          <w:sz w:val="20"/>
          <w:szCs w:val="20"/>
          <w:color w:val="auto"/>
        </w:rPr>
      </w:pPr>
    </w:p>
    <w:p>
      <w:pPr>
        <w:jc w:val="both"/>
        <w:ind w:left="460" w:right="459"/>
        <w:spacing w:after="0" w:line="249" w:lineRule="auto"/>
        <w:rPr>
          <w:sz w:val="20"/>
          <w:szCs w:val="20"/>
          <w:color w:val="auto"/>
        </w:rPr>
      </w:pPr>
      <w:r>
        <w:rPr>
          <w:rFonts w:ascii="Times New Roman" w:cs="Times New Roman" w:eastAsia="Times New Roman" w:hAnsi="Times New Roman"/>
          <w:sz w:val="18"/>
          <w:szCs w:val="18"/>
          <w:color w:val="auto"/>
        </w:rPr>
        <w:t>Subject to the rights of the holders of any series of Subject to the rights of the holders of any series of preferred stock, any director or the entire board may preferred stock, as well as the Registration Rights be removed from office at any time, but only for cause Agreement and Voting Agreement, any director or the and only by the affirmative vote of holders of a entire board may be removed from office at any time, majority of the voting power of all then outstanding but only for cause and only by the affirmative vote of shares of capital stock of FS Development entitled to holders of at least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xml:space="preserve"> of the voting power of all then vote generally in the election of directors, voting outstanding shares of capital stock of the Combined</w:t>
      </w:r>
    </w:p>
    <w:p>
      <w:pPr>
        <w:spacing w:after="0" w:line="3"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together as a single class.</w:t>
      </w:r>
      <w:r>
        <w:rPr>
          <w:sz w:val="20"/>
          <w:szCs w:val="20"/>
          <w:color w:val="auto"/>
        </w:rPr>
        <w:tab/>
      </w:r>
      <w:r>
        <w:rPr>
          <w:rFonts w:ascii="Times New Roman" w:cs="Times New Roman" w:eastAsia="Times New Roman" w:hAnsi="Times New Roman"/>
          <w:sz w:val="18"/>
          <w:szCs w:val="18"/>
          <w:color w:val="auto"/>
        </w:rPr>
        <w:t>Entity entitled to vote generally in the election of directors, voting together as a single class.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of the common stock will be entitled to cast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holders of the FS Development Class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vote per share.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the FS Development Class B</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Except as otherwise required by applicable law, holders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Common Stock exclusively possess all voting power</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FS Development. Except as otherwise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Combined Entity’s common stock will not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by law or the Current Charter, the holders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on any amendment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shares shall be entitled to one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that relates solely to the terms of one 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each such share on each matter properly submitted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series of the Combined Entity’s preferred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FS  Development’s  stockholders  on  which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if the holders of such affected series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holders of FS Development shares are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preferred  stock  are  exclusively</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10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auto"/>
              </w:rPr>
              <w:t>entitled  to  vote  thereon  pursuant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or applicable law.</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for so long as any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remain  outstanding,  FS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may not, without first obtaining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written consent of the holders of at least a majority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then  outstanding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voting separately as a single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amend, alter or repeal any provision of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Charter, if such amendment, alteration or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repeal would alter or change the powers, preferences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relative, participating, optional or other or special</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rights of the FS Development 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96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type w:val="continuous"/>
        </w:sectPr>
      </w:pPr>
    </w:p>
    <w:bookmarkStart w:id="215" w:name="page216"/>
    <w:bookmarkEnd w:id="2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2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Delaware law allows for cumulative voting only if Delaware law allows for cumulative voting only if provided for in the Current Charter; however, the provided for in the Proposed Charter; however, the Current Charter does not authorize cumulative voting. Proposed Charter does not authorize cumulative voting.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the Board of Directors</w:t>
      </w:r>
    </w:p>
    <w:p>
      <w:pPr>
        <w:spacing w:after="0" w:line="20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Special meetings of the Board may be called by the Special meetings of the Combined Entity’s board of Chairman of the Board or Chief Executive Officer or directors may be called by the affirmative vote of a upon the written request of at least a majority of majority of the directors then in office, or by one</w:t>
      </w:r>
    </w:p>
    <w:p>
      <w:pPr>
        <w:spacing w:after="0" w:line="1"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directors then in office or the sole director.</w:t>
      </w:r>
      <w:r>
        <w:rPr>
          <w:sz w:val="20"/>
          <w:szCs w:val="20"/>
          <w:color w:val="auto"/>
        </w:rPr>
        <w:tab/>
      </w:r>
      <w:r>
        <w:rPr>
          <w:rFonts w:ascii="Times New Roman" w:cs="Times New Roman" w:eastAsia="Times New Roman" w:hAnsi="Times New Roman"/>
          <w:sz w:val="18"/>
          <w:szCs w:val="18"/>
          <w:color w:val="auto"/>
        </w:rPr>
        <w:t>director in the event there is only a single director in office, or by the Chairman or the President.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Current Charter, any action required or Subject to the terms of any series of preferred stock, permitted to be taken by the stockholders of FS any action required or permitted to be taken by the Development must be effected by a duly called annual stockholders of Combined Entity must be effected at an or special meeting of such stockholders and may not annual or special meeting of the stockholders and may be effected by written consent of the stockholders, not be effected by written consent. other than with respect to the FS Development Class B</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with respect to which action may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taken by written consent, and other than what may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provided for pursuant to the Current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relating to the rights of the holders of any</w:t>
      </w:r>
    </w:p>
    <w:p>
      <w:pPr>
        <w:spacing w:after="0" w:line="9" w:lineRule="exact"/>
        <w:rPr>
          <w:sz w:val="20"/>
          <w:szCs w:val="20"/>
          <w:color w:val="auto"/>
        </w:rPr>
      </w:pPr>
    </w:p>
    <w:p>
      <w:pPr>
        <w:ind w:left="460"/>
        <w:spacing w:after="0"/>
        <w:tabs>
          <w:tab w:leader="none" w:pos="1460" w:val="left"/>
          <w:tab w:leader="none" w:pos="2080" w:val="left"/>
          <w:tab w:leader="none" w:pos="2420" w:val="left"/>
          <w:tab w:leader="none" w:pos="3260" w:val="left"/>
          <w:tab w:leader="none" w:pos="3840" w:val="left"/>
          <w:tab w:leader="none" w:pos="4180" w:val="left"/>
        </w:tabs>
        <w:rPr>
          <w:sz w:val="20"/>
          <w:szCs w:val="20"/>
          <w:color w:val="auto"/>
        </w:rPr>
      </w:pPr>
      <w:r>
        <w:rPr>
          <w:rFonts w:ascii="Times New Roman" w:cs="Times New Roman" w:eastAsia="Times New Roman" w:hAnsi="Times New Roman"/>
          <w:sz w:val="18"/>
          <w:szCs w:val="18"/>
          <w:color w:val="auto"/>
        </w:rPr>
        <w:t>outstanding</w:t>
        <w:tab/>
        <w:t>series</w:t>
        <w:tab/>
        <w:t>of</w:t>
        <w:tab/>
        <w:t>preferred</w:t>
        <w:tab/>
        <w:t>stock</w:t>
        <w:tab/>
        <w:t>of</w:t>
      </w:r>
      <w:r>
        <w:rPr>
          <w:sz w:val="20"/>
          <w:szCs w:val="20"/>
          <w:color w:val="auto"/>
        </w:rPr>
        <w:tab/>
      </w:r>
      <w:r>
        <w:rPr>
          <w:rFonts w:ascii="Times New Roman" w:cs="Times New Roman" w:eastAsia="Times New Roman" w:hAnsi="Times New Roman"/>
          <w:sz w:val="17"/>
          <w:szCs w:val="17"/>
          <w:color w:val="auto"/>
        </w:rPr>
        <w:t>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an amendment to a charter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 the affirmative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generally requires the approval of a company’s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 of the majority of the outstanding shares of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and a majority of the combined voting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entitled to vote on such amendment, provided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then-outstanding shares of voting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in  the  Proposed  Charter  in  Article  V</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voting together as a single class.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stockholder actions), Article VI, Section 3</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IX of the Current Charter relating to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classified Board of directors), Article VI,</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Section 5 (removal of directors), Article VII, Section 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combination requirements may not be amended prior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  Article  VIII</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the  consummation  of  the  initial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of by-laws) will require approval of the</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combination unless approved by the affirmative vote</w:t>
            </w:r>
          </w:p>
        </w:tc>
        <w:tc>
          <w:tcPr>
            <w:tcW w:w="4100" w:type="dxa"/>
            <w:vAlign w:val="bottom"/>
            <w:vMerge w:val="restart"/>
          </w:tcPr>
          <w:p>
            <w:pPr>
              <w:ind w:left="40"/>
              <w:spacing w:after="0" w:line="351" w:lineRule="exact"/>
              <w:rPr>
                <w:sz w:val="20"/>
                <w:szCs w:val="20"/>
                <w:color w:val="auto"/>
              </w:rPr>
            </w:pPr>
            <w:r>
              <w:rPr>
                <w:rFonts w:ascii="Times New Roman" w:cs="Times New Roman" w:eastAsia="Times New Roman" w:hAnsi="Times New Roman"/>
                <w:sz w:val="18"/>
                <w:szCs w:val="18"/>
                <w:color w:val="auto"/>
              </w:rPr>
              <w:t>holders of at least 66</w:t>
            </w:r>
            <w:r>
              <w:rPr>
                <w:rFonts w:ascii="Times New Roman" w:cs="Times New Roman" w:eastAsia="Times New Roman" w:hAnsi="Times New Roman"/>
                <w:sz w:val="35"/>
                <w:szCs w:val="35"/>
                <w:color w:val="auto"/>
                <w:vertAlign w:val="superscript"/>
              </w:rPr>
              <w:t>⅔</w:t>
            </w:r>
            <w:r>
              <w:rPr>
                <w:rFonts w:ascii="Times New Roman" w:cs="Times New Roman" w:eastAsia="Times New Roman" w:hAnsi="Times New Roman"/>
                <w:sz w:val="18"/>
                <w:szCs w:val="18"/>
                <w:color w:val="auto"/>
              </w:rPr>
              <w:t>% of the Combined Entity’s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of the holders of at least 65% of all then outstanding</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and the rights, preferences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then-outstanding shares of capital stock entitled to vote</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privileges of the Class B Common Stock may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generally at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only be amended with the approval of the holders of at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least a majority of the then-outstanding shares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By-laws</w:t>
      </w:r>
    </w:p>
    <w:p>
      <w:pPr>
        <w:spacing w:after="0" w:line="202" w:lineRule="exact"/>
        <w:rPr>
          <w:sz w:val="20"/>
          <w:szCs w:val="20"/>
          <w:color w:val="auto"/>
        </w:rPr>
      </w:pPr>
    </w:p>
    <w:p>
      <w:pPr>
        <w:ind w:left="460" w:right="479"/>
        <w:spacing w:after="0"/>
        <w:rPr>
          <w:sz w:val="20"/>
          <w:szCs w:val="20"/>
          <w:color w:val="auto"/>
        </w:rPr>
      </w:pPr>
      <w:r>
        <w:rPr>
          <w:rFonts w:ascii="Times New Roman" w:cs="Times New Roman" w:eastAsia="Times New Roman" w:hAnsi="Times New Roman"/>
          <w:sz w:val="18"/>
          <w:szCs w:val="18"/>
          <w:color w:val="auto"/>
        </w:rPr>
        <w:t>The Board is expressly authorized to make, alter, The Combined Entity’s board of directors is expressly amend or repeal the Current By-laws. The Current By- authorized to make, alter, amend or repeal the Amended laws may also be adopted, amended, altered or By-laws by the affirmative vote of a majority of the repealed by the FS Development stockholders directors. representing a majority of the voting power of all of</w:t>
      </w:r>
    </w:p>
    <w:p>
      <w:pPr>
        <w:spacing w:after="0" w:line="191" w:lineRule="exact"/>
        <w:rPr>
          <w:sz w:val="20"/>
          <w:szCs w:val="20"/>
          <w:color w:val="auto"/>
        </w:rPr>
      </w:pPr>
    </w:p>
    <w:p>
      <w:pPr>
        <w:jc w:val="both"/>
        <w:ind w:left="460" w:right="479"/>
        <w:spacing w:after="0" w:line="228" w:lineRule="auto"/>
        <w:rPr>
          <w:sz w:val="20"/>
          <w:szCs w:val="20"/>
          <w:color w:val="auto"/>
        </w:rPr>
      </w:pPr>
      <w:r>
        <w:rPr>
          <w:rFonts w:ascii="Times New Roman" w:cs="Times New Roman" w:eastAsia="Times New Roman" w:hAnsi="Times New Roman"/>
          <w:sz w:val="15"/>
          <w:szCs w:val="15"/>
          <w:color w:val="auto"/>
        </w:rPr>
        <w:t xml:space="preserve">the then-outstanding shares of capital stock of FS </w:t>
      </w:r>
      <w:r>
        <w:rPr>
          <w:rFonts w:ascii="Times New Roman" w:cs="Times New Roman" w:eastAsia="Times New Roman" w:hAnsi="Times New Roman"/>
          <w:sz w:val="28"/>
          <w:szCs w:val="28"/>
          <w:color w:val="auto"/>
          <w:vertAlign w:val="superscript"/>
        </w:rPr>
        <w:t>Any amendments to the Amended By-Laws will require</w:t>
      </w:r>
      <w:r>
        <w:rPr>
          <w:rFonts w:ascii="Times New Roman" w:cs="Times New Roman" w:eastAsia="Times New Roman" w:hAnsi="Times New Roman"/>
          <w:sz w:val="15"/>
          <w:szCs w:val="15"/>
          <w:color w:val="auto"/>
        </w:rPr>
        <w:t xml:space="preserve"> Development entitled to vote generally in the election approval of the holders of at least 66</w:t>
      </w:r>
      <w:r>
        <w:rPr>
          <w:rFonts w:ascii="Times New Roman" w:cs="Times New Roman" w:eastAsia="Times New Roman" w:hAnsi="Times New Roman"/>
          <w:sz w:val="28"/>
          <w:szCs w:val="28"/>
          <w:color w:val="auto"/>
          <w:vertAlign w:val="superscript"/>
        </w:rPr>
        <w:t>⅔</w:t>
      </w:r>
      <w:r>
        <w:rPr>
          <w:rFonts w:ascii="Times New Roman" w:cs="Times New Roman" w:eastAsia="Times New Roman" w:hAnsi="Times New Roman"/>
          <w:sz w:val="15"/>
          <w:szCs w:val="15"/>
          <w:color w:val="auto"/>
        </w:rPr>
        <w:t xml:space="preserve">% of the of directors, provided that the approval of at least Combined Entity’s then-outstanding shares of capital </w:t>
      </w:r>
      <w:r>
        <w:rPr>
          <w:rFonts w:ascii="Times New Roman" w:cs="Times New Roman" w:eastAsia="Times New Roman" w:hAnsi="Times New Roman"/>
          <w:sz w:val="28"/>
          <w:szCs w:val="28"/>
          <w:color w:val="auto"/>
          <w:vertAlign w:val="subscript"/>
        </w:rPr>
        <w:t>66</w:t>
      </w:r>
      <w:r>
        <w:rPr>
          <w:rFonts w:ascii="Times New Roman" w:cs="Times New Roman" w:eastAsia="Times New Roman" w:hAnsi="Times New Roman"/>
          <w:sz w:val="15"/>
          <w:szCs w:val="15"/>
          <w:color w:val="auto"/>
        </w:rPr>
        <w:t>⅔</w:t>
      </w:r>
      <w:r>
        <w:rPr>
          <w:rFonts w:ascii="Times New Roman" w:cs="Times New Roman" w:eastAsia="Times New Roman" w:hAnsi="Times New Roman"/>
          <w:sz w:val="28"/>
          <w:szCs w:val="28"/>
          <w:color w:val="auto"/>
          <w:vertAlign w:val="subscript"/>
        </w:rPr>
        <w:t>% of the Combined Entity’s then-outstanding</w:t>
      </w:r>
      <w:r>
        <w:rPr>
          <w:rFonts w:ascii="Times New Roman" w:cs="Times New Roman" w:eastAsia="Times New Roman" w:hAnsi="Times New Roman"/>
          <w:sz w:val="15"/>
          <w:szCs w:val="15"/>
          <w:color w:val="auto"/>
        </w:rPr>
        <w:t xml:space="preserve"> stock entitled to vote generally at an election of shares of capital stock entitled to vote generally at an </w:t>
      </w:r>
      <w:r>
        <w:rPr>
          <w:rFonts w:ascii="Times New Roman" w:cs="Times New Roman" w:eastAsia="Times New Roman" w:hAnsi="Times New Roman"/>
          <w:sz w:val="28"/>
          <w:szCs w:val="28"/>
          <w:color w:val="auto"/>
          <w:vertAlign w:val="superscript"/>
        </w:rPr>
        <w:t>directors.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 is required to amend Article VIII,</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relates to indemnification matters.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6" w:name="page217"/>
    <w:bookmarkEnd w:id="2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570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r>
      <w:tr>
        <w:trPr>
          <w:trHeight w:val="250"/>
        </w:trPr>
        <w:tc>
          <w:tcPr>
            <w:tcW w:w="570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2400" w:type="dxa"/>
            <w:vAlign w:val="bottom"/>
          </w:tcPr>
          <w:p>
            <w:pPr>
              <w:spacing w:after="0"/>
              <w:rPr>
                <w:sz w:val="21"/>
                <w:szCs w:val="2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A majority the Board constitutes</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majority of the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quorum at any meeting of the Board.</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constitutes a quorum at any</w:t>
            </w:r>
          </w:p>
        </w:tc>
      </w:tr>
      <w:tr>
        <w:trPr>
          <w:trHeight w:val="349"/>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The presence, in person or by proxy, at</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 of the Combined Entity’s board of directors.</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The presence, in person or by proxy, at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capital stock representing a majority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voting power of all outstanding shares of capital</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capital  stock  of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entitled to vote at such meeting constitutes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 representing a majority of the voting power of all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quorum; expect that when specified business is to be</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shares  of  capital  stock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voted on by a class or series of stock voting together</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  Entity entitled  to  vote at such meeting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a single class, the holders of shares representing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constitutes a quorum; provided, however, that where a</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voting power of the outstanding shares</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separate vote by a class or classes of capital stock is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class or series will constitute a quorum.</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required, the holders of a majority in voting power of</w:t>
            </w:r>
          </w:p>
        </w:tc>
      </w:tr>
      <w:tr>
        <w:trPr>
          <w:trHeight w:val="216"/>
        </w:trPr>
        <w:tc>
          <w:tcPr>
            <w:tcW w:w="4000" w:type="dxa"/>
            <w:vAlign w:val="bottom"/>
          </w:tcPr>
          <w:p>
            <w:pPr>
              <w:spacing w:after="0"/>
              <w:rPr>
                <w:sz w:val="18"/>
                <w:szCs w:val="18"/>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shares of such class and entitled to vote on such</w:t>
            </w:r>
          </w:p>
        </w:tc>
      </w:tr>
      <w:tr>
        <w:trPr>
          <w:trHeight w:val="216"/>
        </w:trPr>
        <w:tc>
          <w:tcPr>
            <w:tcW w:w="4000" w:type="dxa"/>
            <w:vAlign w:val="bottom"/>
          </w:tcPr>
          <w:p>
            <w:pPr>
              <w:spacing w:after="0"/>
              <w:rPr>
                <w:sz w:val="18"/>
                <w:szCs w:val="18"/>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matter, present in person or represented by proxy, shall</w:t>
            </w:r>
          </w:p>
        </w:tc>
      </w:tr>
      <w:tr>
        <w:trPr>
          <w:trHeight w:val="234"/>
        </w:trPr>
        <w:tc>
          <w:tcPr>
            <w:tcW w:w="4000" w:type="dxa"/>
            <w:vAlign w:val="bottom"/>
          </w:tcPr>
          <w:p>
            <w:pPr>
              <w:spacing w:after="0"/>
              <w:rPr>
                <w:sz w:val="20"/>
                <w:szCs w:val="20"/>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constitute a quorum.</w:t>
            </w:r>
          </w:p>
        </w:tc>
        <w:tc>
          <w:tcPr>
            <w:tcW w:w="2400" w:type="dxa"/>
            <w:vAlign w:val="bottom"/>
          </w:tcPr>
          <w:p>
            <w:pPr>
              <w:spacing w:after="0"/>
              <w:rPr>
                <w:sz w:val="20"/>
                <w:szCs w:val="20"/>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02" w:lineRule="exact"/>
        <w:rPr>
          <w:sz w:val="20"/>
          <w:szCs w:val="20"/>
          <w:color w:val="auto"/>
        </w:rPr>
      </w:pPr>
    </w:p>
    <w:p>
      <w:pPr>
        <w:ind w:left="460"/>
        <w:spacing w:after="0"/>
        <w:tabs>
          <w:tab w:leader="none" w:pos="4920" w:val="left"/>
          <w:tab w:leader="none" w:pos="5820" w:val="left"/>
          <w:tab w:leader="none" w:pos="6400" w:val="left"/>
          <w:tab w:leader="none" w:pos="728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To the extent permitted by law, FS Development The</w:t>
        <w:tab/>
        <w:t>Combined</w:t>
        <w:tab/>
        <w:t>Entity</w:t>
        <w:tab/>
        <w:t>renounces</w:t>
        <w:tab/>
        <w:t>any</w:t>
        <w:tab/>
        <w:t>interest</w:t>
      </w:r>
      <w:r>
        <w:rPr>
          <w:sz w:val="20"/>
          <w:szCs w:val="20"/>
          <w:color w:val="auto"/>
        </w:rPr>
        <w:tab/>
      </w:r>
      <w:r>
        <w:rPr>
          <w:rFonts w:ascii="Times New Roman" w:cs="Times New Roman" w:eastAsia="Times New Roman" w:hAnsi="Times New Roman"/>
          <w:sz w:val="16"/>
          <w:szCs w:val="16"/>
          <w:color w:val="auto"/>
        </w:rPr>
        <w:t>or</w:t>
      </w:r>
    </w:p>
    <w:p>
      <w:pPr>
        <w:spacing w:after="0" w:line="27" w:lineRule="exact"/>
        <w:rPr>
          <w:sz w:val="20"/>
          <w:szCs w:val="20"/>
          <w:color w:val="auto"/>
        </w:rPr>
      </w:pPr>
    </w:p>
    <w:p>
      <w:pPr>
        <w:ind w:left="460"/>
        <w:spacing w:after="0"/>
        <w:tabs>
          <w:tab w:leader="none" w:pos="1320" w:val="left"/>
          <w:tab w:leader="none" w:pos="1720" w:val="left"/>
          <w:tab w:leader="none" w:pos="2680" w:val="left"/>
          <w:tab w:leader="none" w:pos="3100" w:val="left"/>
          <w:tab w:leader="none" w:pos="3520" w:val="left"/>
          <w:tab w:leader="none" w:pos="3820" w:val="left"/>
          <w:tab w:leader="none" w:pos="4180" w:val="left"/>
        </w:tabs>
        <w:rPr>
          <w:sz w:val="20"/>
          <w:szCs w:val="20"/>
          <w:color w:val="auto"/>
        </w:rPr>
      </w:pPr>
      <w:r>
        <w:rPr>
          <w:rFonts w:ascii="Times New Roman" w:cs="Times New Roman" w:eastAsia="Times New Roman" w:hAnsi="Times New Roman"/>
          <w:sz w:val="18"/>
          <w:szCs w:val="18"/>
          <w:color w:val="auto"/>
        </w:rPr>
        <w:t>renounces</w:t>
        <w:tab/>
        <w:t>any</w:t>
        <w:tab/>
        <w:t>expectancy</w:t>
        <w:tab/>
        <w:t>that</w:t>
        <w:tab/>
        <w:t>any</w:t>
        <w:tab/>
        <w:t>of</w:t>
        <w:tab/>
        <w:t>the</w:t>
        <w:tab/>
        <w:t>FS expectancy of Combined Entity in, or in being offered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directors  or  officers  will  offer  any an opportunity to participate in, any matter, transaction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opportunity in which he or she may become or interest that is presented to, or acquired, created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aware to FS Development, except with respect to any developed by any director of Combined Entity who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directors or officers of FS Development with not an employee or officer of Combined Entity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 to a corporate opportunity that was offered to of its subsidiaries, unless such matter, transaction or</w:t>
      </w:r>
    </w:p>
    <w:p>
      <w:pPr>
        <w:spacing w:after="0" w:line="9" w:lineRule="exact"/>
        <w:rPr>
          <w:sz w:val="20"/>
          <w:szCs w:val="20"/>
          <w:color w:val="auto"/>
        </w:rPr>
      </w:pPr>
    </w:p>
    <w:p>
      <w:pPr>
        <w:ind w:left="460"/>
        <w:spacing w:after="0"/>
        <w:tabs>
          <w:tab w:leader="none" w:pos="5160" w:val="left"/>
          <w:tab w:leader="none" w:pos="5420" w:val="left"/>
          <w:tab w:leader="none" w:pos="6260" w:val="left"/>
          <w:tab w:leader="none" w:pos="6600" w:val="left"/>
          <w:tab w:leader="none" w:pos="690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such person solely in his or her capacity as a director interest</w:t>
        <w:tab/>
        <w:t>is</w:t>
        <w:tab/>
        <w:t>presented</w:t>
        <w:tab/>
        <w:t>to,</w:t>
        <w:tab/>
        <w:t>or</w:t>
        <w:tab/>
        <w:t>acquired,</w:t>
        <w:tab/>
        <w:t>created</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officer of FS Development and (i) such opportunity developed by, or otherwise comes into the possession</w:t>
      </w:r>
    </w:p>
    <w:p>
      <w:pPr>
        <w:spacing w:after="0" w:line="9" w:lineRule="exact"/>
        <w:rPr>
          <w:sz w:val="20"/>
          <w:szCs w:val="20"/>
          <w:color w:val="auto"/>
        </w:rPr>
      </w:pPr>
    </w:p>
    <w:p>
      <w:pPr>
        <w:ind w:left="460"/>
        <w:spacing w:after="0"/>
        <w:tabs>
          <w:tab w:leader="none" w:pos="740" w:val="left"/>
          <w:tab w:leader="none" w:pos="1180" w:val="left"/>
          <w:tab w:leader="none" w:pos="1620" w:val="left"/>
          <w:tab w:leader="none" w:pos="2000" w:val="left"/>
          <w:tab w:leader="none" w:pos="3160" w:val="left"/>
          <w:tab w:leader="none" w:pos="3460" w:val="left"/>
          <w:tab w:leader="none" w:pos="4120" w:val="left"/>
        </w:tabs>
        <w:rPr>
          <w:sz w:val="20"/>
          <w:szCs w:val="20"/>
          <w:color w:val="auto"/>
        </w:rPr>
      </w:pPr>
      <w:r>
        <w:rPr>
          <w:rFonts w:ascii="Times New Roman" w:cs="Times New Roman" w:eastAsia="Times New Roman" w:hAnsi="Times New Roman"/>
          <w:sz w:val="18"/>
          <w:szCs w:val="18"/>
          <w:color w:val="auto"/>
        </w:rPr>
        <w:t>is</w:t>
        <w:tab/>
        <w:t>one</w:t>
        <w:tab/>
        <w:t>that</w:t>
        <w:tab/>
        <w:t>FS</w:t>
        <w:tab/>
        <w:t>Development</w:t>
        <w:tab/>
        <w:t>is</w:t>
        <w:tab/>
        <w:t>legally</w:t>
        <w:tab/>
        <w:t>and of, such person expressly and solely in such person’s</w:t>
      </w:r>
    </w:p>
    <w:p>
      <w:pPr>
        <w:spacing w:after="0" w:line="9" w:lineRule="exact"/>
        <w:rPr>
          <w:sz w:val="20"/>
          <w:szCs w:val="20"/>
          <w:color w:val="auto"/>
        </w:rPr>
      </w:pPr>
    </w:p>
    <w:p>
      <w:pPr>
        <w:ind w:left="460"/>
        <w:spacing w:after="0"/>
        <w:tabs>
          <w:tab w:leader="none" w:pos="1520" w:val="left"/>
          <w:tab w:leader="none" w:pos="2360" w:val="left"/>
          <w:tab w:leader="none" w:pos="2660" w:val="left"/>
          <w:tab w:leader="none" w:pos="3520" w:val="left"/>
          <w:tab w:leader="none" w:pos="3940" w:val="left"/>
        </w:tabs>
        <w:rPr>
          <w:sz w:val="20"/>
          <w:szCs w:val="20"/>
          <w:color w:val="auto"/>
        </w:rPr>
      </w:pPr>
      <w:r>
        <w:rPr>
          <w:rFonts w:ascii="Times New Roman" w:cs="Times New Roman" w:eastAsia="Times New Roman" w:hAnsi="Times New Roman"/>
          <w:sz w:val="18"/>
          <w:szCs w:val="18"/>
          <w:color w:val="auto"/>
        </w:rPr>
        <w:t>contractually</w:t>
        <w:tab/>
        <w:t>permitted</w:t>
        <w:tab/>
        <w:t>to</w:t>
        <w:tab/>
        <w:t>undertake</w:t>
        <w:tab/>
        <w:t>and</w:t>
        <w:tab/>
        <w:t>would capacity as a director of the Combined Entity.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reasonable for FS Development to pursue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(ii) the director or officer is permitted to refer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to FS Development without violating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By-laws provide that a special meeting of Subject to the rights of any series of preferred stock,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be called by the Chairman of the special meetings of the Combined Entity’s 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Chief Executive Officer of FS Development, or may be called by the Combined Entity’s board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pursuant to a resolution adopted by a directors pursuant to a resolution adopted by a majority</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majority of the Board.</w:t>
      </w:r>
      <w:r>
        <w:rPr>
          <w:sz w:val="20"/>
          <w:szCs w:val="20"/>
          <w:color w:val="auto"/>
        </w:rPr>
        <w:tab/>
      </w:r>
      <w:r>
        <w:rPr>
          <w:rFonts w:ascii="Times New Roman" w:cs="Times New Roman" w:eastAsia="Times New Roman" w:hAnsi="Times New Roman"/>
          <w:sz w:val="17"/>
          <w:szCs w:val="17"/>
          <w:color w:val="auto"/>
        </w:rPr>
        <w:t>of the Combined Entity’s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Stockholder Meetings</w:t>
      </w:r>
    </w:p>
    <w:p>
      <w:pPr>
        <w:spacing w:after="0" w:line="202"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Written notice stating the place, if any, date and hour Except as otherwise provided by law or the Proposed of each meeting of FS Development’s stockholders, Charter or the Amended By-laws, notice of each the means of remote communications, if any, by which meeting of the Combined Entity’s stockholders, stockholders and proxy holders may be deemed to be whether annual or special, shall be given not less than present in person and vote at such meeting, the record ten (10) nor more than sixty (60) days before the date of date for determining the stockholders entitled to vote the meeting to each stockholder entitled to vote at such at the meeting (if such date is different from the record meeting as of the record date for determining the date for stockholders entitled to notice of the meeting) Combined Entity’s stockholders entitled to notice of the must be delivered not less than ten (10) nor more than meeting. sixty (60) days before the date of the meeting, unless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required by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7" w:name="page218"/>
    <w:bookmarkEnd w:id="2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Whenever notice is required to be given to any FS Without limiting the manner by which notice otherwise Development stockholder, such notice may be given may be given to the Combined Entity’s stockholders,</w:t>
      </w:r>
    </w:p>
    <w:p>
      <w:pPr>
        <w:jc w:val="both"/>
        <w:ind w:left="460" w:right="459" w:hanging="6"/>
        <w:spacing w:after="0" w:line="250" w:lineRule="auto"/>
        <w:tabs>
          <w:tab w:leader="none" w:pos="67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and sent either by hand delivery, through any notice to the Combined Entity’s stockholders given the United States mail, or by a nationally recognized by Combined Entity shall be effective if given by overnight delivery service for next day delivery, or electronic transmission in accordance with Section 232</w:t>
      </w:r>
    </w:p>
    <w:p>
      <w:pPr>
        <w:spacing w:after="0" w:line="1"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form of electronic transmission of the DGCL. The notices of all meetings shall state the</w:t>
      </w:r>
    </w:p>
    <w:p>
      <w:pPr>
        <w:spacing w:after="0" w:line="9"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consented to by the stockholder, to the extent place, if any, date and time of the meeting, the means of permitted by, and subject to the conditions set forth in remote communications, if any, by which stockholders</w:t>
      </w:r>
    </w:p>
    <w:p>
      <w:pPr>
        <w:spacing w:after="0" w:line="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Section 232 of the DGCL.</w:t>
      </w:r>
      <w:r>
        <w:rPr>
          <w:sz w:val="20"/>
          <w:szCs w:val="20"/>
          <w:color w:val="auto"/>
        </w:rPr>
        <w:tab/>
      </w:r>
      <w:r>
        <w:rPr>
          <w:rFonts w:ascii="Times New Roman" w:cs="Times New Roman" w:eastAsia="Times New Roman" w:hAnsi="Times New Roman"/>
          <w:sz w:val="18"/>
          <w:szCs w:val="18"/>
          <w:color w:val="auto"/>
        </w:rPr>
        <w:t>and proxyholders may be deemed to be present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and vote at such meeting, and the record date for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determining the stockholders entitled to vote at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(if such date is different from the record date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stockholders entitled to notice of the meeting).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notice of a special meeting shall state, in addition,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purpose or purposes for which the meeting is called.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(Other than Nomination of Persons for Election as Directors)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 business may be transacted at an annual meeting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business may be conducted at an annual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other than business that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the Combined Entity’s stockholders, other than business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 either (i) specified in FS Development’s notice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that is either (i) specified in Combined Entity’s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(or  any  supplement  thereto)  delivered</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meeting</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pursuant  to  the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the  By-laws,  (ii)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(ii)  otherwise  properly  brought  before  the  annual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or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by or at the direction of the board (or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direction of the Board or (iii)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committee thereof) or (iii) otherwise properly brought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any  FS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before the annual meeting by any stockholder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stockholder who is entitled to vote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 Entity who is entitled to vote at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who complies with the notice procedures set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who complies with the notice procedures set forth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forth in the Current By-laws.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Amended By-laws and who is a stockholder of record</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FS Development stockholder must (i) give timely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 the time such notice is delivered to the Secretary of</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19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the Combined Entity.</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notice thereof in proper written form to the Secretary</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FS Development, and (ii) the business must be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stockholder must (i) give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 thereof in proper written form to the Secretary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notice  must  be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and (ii) the business must be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received by the Secretary at the principal executive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offices of FS Development not later than the close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stockholder’s notice must be received at the principal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offices of Combined Entity not less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opening of business on the one-hundred twentieth</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ninety  (90)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  one-hundred  twenty</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(120) days prior to the one-year anniversary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provided,</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preceding year’s annual meeting; provided however if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however, that in the event that the annual meeting is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date of the annual meeting is more than thirty (30)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more than 30 days before or more than 60 days after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days before or more than sixty (60) days after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anniversary date, notice must be delivered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anniversary date, the notice must be delivered not later</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8"/>
                <w:szCs w:val="18"/>
                <w:color w:val="auto"/>
              </w:rPr>
              <w:t>than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or, if later, the tenth day following the day on</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public</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which public disclosure of such meeting was first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annual meeting, if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public  announcement  of  an  adjournment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later. The public announcement of an adjournment or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postponement of an annual meeting will not commence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postponement  of  an  annual  meeting  shall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new time period (or extend any time period) for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commence a new time period (or extend any time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giving  of  a  stockholder’s  notice.  Additionally,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period)  for  the  giving  of  a  stockholder’s  notice.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 must provide information pursuant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Additionally,   the   stockholder   must   provide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advance notice provisions in the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pursuant to the advance notice provisions</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the Current By-laws.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206</w:t>
            </w:r>
          </w:p>
        </w:tc>
        <w:tc>
          <w:tcPr>
            <w:tcW w:w="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Stockholder Nominations of Persons for Election as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Nominations of persons for election to Board may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Nominations of persons for election to the Combined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made by any stockholder of FS Development who is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Entity’s  board  of  directors  may  be  made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of record entitled to vote in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of Combined Entity who provides a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on the date of the giving of the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(i.e. provides notice which must be received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(as described below) and on the record date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by  the  secretary  of  Combined  Entity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the determination of stockholders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principal executive officer either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such meeting and who gives proper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 in the case of an election of directors at an annual</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give timely notice, a stockholder’s notice must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not less than ninety (90) days nor more than</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one  hundred  twenty  (120)  days  prior  to  the  first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given to the Secretary of FS Development at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anniversary of the preceding year’s annual meeting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offices of FS Development either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most cases) or (ii) in the case of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 in the case of an annual meeting, not later than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special meeting, not earlier than one hundred</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close of business on the ninetieth (90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4"/>
                <w:szCs w:val="14"/>
                <w:color w:val="auto"/>
              </w:rPr>
              <w:t>) day nor earlier</w:t>
            </w:r>
          </w:p>
        </w:tc>
        <w:tc>
          <w:tcPr>
            <w:tcW w:w="410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th</w:t>
            </w:r>
          </w:p>
        </w:tc>
        <w:tc>
          <w:tcPr>
            <w:tcW w:w="0" w:type="dxa"/>
            <w:vAlign w:val="bottom"/>
          </w:tcPr>
          <w:p>
            <w:pPr>
              <w:spacing w:after="0"/>
              <w:rPr>
                <w:sz w:val="1"/>
                <w:szCs w:val="1"/>
                <w:color w:val="auto"/>
              </w:rPr>
            </w:pPr>
          </w:p>
        </w:tc>
      </w:tr>
      <w:tr>
        <w:trPr>
          <w:trHeight w:val="11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than  the  close  of  business  on  the  one  hundred</w:t>
            </w:r>
          </w:p>
        </w:tc>
        <w:tc>
          <w:tcPr>
            <w:tcW w:w="41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twentieth (120 ) day prior to such special meeting and</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not later than the close of business on the later of (a)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special meeting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of stockholders</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(b)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most cases) and (ii) in the case of a special meeting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disclosure of the date of such special meeting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stockholders called for the purpose of electing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election of directors is first made), is a stockholder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not later than the close of business 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record on the date of giving such notices and on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  for  the  determination  of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special meeting 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at such a meeting, and is entitled to vote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made.</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at such meeting and on such election.</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202" w:lineRule="exact"/>
        <w:rPr>
          <w:sz w:val="20"/>
          <w:szCs w:val="20"/>
          <w:color w:val="auto"/>
        </w:rPr>
      </w:pPr>
    </w:p>
    <w:p>
      <w:pPr>
        <w:ind w:left="460" w:right="459"/>
        <w:spacing w:after="0"/>
        <w:rPr>
          <w:sz w:val="20"/>
          <w:szCs w:val="20"/>
          <w:color w:val="auto"/>
        </w:rPr>
      </w:pPr>
      <w:r>
        <w:rPr>
          <w:rFonts w:ascii="Times New Roman" w:cs="Times New Roman" w:eastAsia="Times New Roman" w:hAnsi="Times New Roman"/>
          <w:sz w:val="18"/>
          <w:szCs w:val="18"/>
          <w:color w:val="auto"/>
        </w:rPr>
        <w:t>The DGCL permits limiting or eliminating the The DGCL permits limiting or eliminating the monetary liability of a director to a corporation or its monetary liability of a director to a corporation or its stockholders, except with regard to breaches of the stockholders, except with regard to breaches of the duty duty of loyalty, intentional misconduct, unlawful of loyalty, intentional misconduct, unlawful repurchases repurchases or dividends, or improper personal or dividends, or improper personal benefit. benefit.</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Proposed Charter provides that no director will be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no director will be personally liable, except to the extent an exemption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personally liable, except to the extent an exemption from liability or limitation is not permitted under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liability or limitation is not permitted under the DGCL, unless a director breached his or her duty of</w:t>
      </w:r>
    </w:p>
    <w:p>
      <w:pPr>
        <w:spacing w:after="0" w:line="9" w:lineRule="exact"/>
        <w:rPr>
          <w:sz w:val="20"/>
          <w:szCs w:val="20"/>
          <w:color w:val="auto"/>
        </w:rPr>
      </w:pPr>
    </w:p>
    <w:p>
      <w:pPr>
        <w:ind w:left="460"/>
        <w:spacing w:after="0"/>
        <w:tabs>
          <w:tab w:leader="none" w:pos="5140" w:val="left"/>
          <w:tab w:leader="none" w:pos="5440" w:val="left"/>
          <w:tab w:leader="none" w:pos="6340" w:val="left"/>
          <w:tab w:leader="none" w:pos="6940" w:val="left"/>
          <w:tab w:leader="none" w:pos="7260" w:val="left"/>
          <w:tab w:leader="none" w:pos="7580" w:val="left"/>
        </w:tabs>
        <w:rPr>
          <w:sz w:val="20"/>
          <w:szCs w:val="20"/>
          <w:color w:val="auto"/>
        </w:rPr>
      </w:pPr>
      <w:r>
        <w:rPr>
          <w:rFonts w:ascii="Times New Roman" w:cs="Times New Roman" w:eastAsia="Times New Roman" w:hAnsi="Times New Roman"/>
          <w:sz w:val="18"/>
          <w:szCs w:val="18"/>
          <w:color w:val="auto"/>
        </w:rPr>
        <w:t>DGCL, unless a director violated his or her duty of loyalty</w:t>
        <w:tab/>
        <w:t>to</w:t>
        <w:tab/>
        <w:t>Combined</w:t>
        <w:tab/>
        <w:t>Entity</w:t>
        <w:tab/>
        <w:t>or</w:t>
        <w:tab/>
        <w:t>its</w:t>
        <w:tab/>
        <w:t>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loyalty to the FS Development or its stockholders, performed acts or omissions not in good faith or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acted in bad faith, knowingly or intentionally violated involve intentional misconduct or a knowing violation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 authorized unlawful payments of dividends, of law, pursuant to Section 174 of the DGCL, or for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unlawful stock purchases or unlawful redemptions, or transaction from which the director derived an improper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derived improper personal benefit from his or her personal benefit.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actions as a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w:t>
      </w:r>
    </w:p>
    <w:p>
      <w:pPr>
        <w:spacing w:after="0" w:line="202" w:lineRule="exact"/>
        <w:rPr>
          <w:sz w:val="20"/>
          <w:szCs w:val="20"/>
          <w:color w:val="auto"/>
        </w:rPr>
      </w:pPr>
    </w:p>
    <w:p>
      <w:pPr>
        <w:ind w:left="460"/>
        <w:spacing w:after="0"/>
        <w:tabs>
          <w:tab w:leader="none" w:pos="860" w:val="left"/>
          <w:tab w:leader="none" w:pos="1500" w:val="left"/>
          <w:tab w:leader="none" w:pos="2340" w:val="left"/>
          <w:tab w:leader="none" w:pos="3020" w:val="left"/>
          <w:tab w:leader="none" w:pos="3260" w:val="left"/>
          <w:tab w:leader="none" w:pos="4240" w:val="left"/>
          <w:tab w:leader="none" w:pos="4940" w:val="left"/>
          <w:tab w:leader="none" w:pos="5600" w:val="left"/>
          <w:tab w:leader="none" w:pos="6420" w:val="left"/>
          <w:tab w:leader="none" w:pos="7140" w:val="left"/>
          <w:tab w:leader="none" w:pos="7380" w:val="left"/>
          <w:tab w:leader="none" w:pos="8380" w:val="left"/>
        </w:tabs>
        <w:rPr>
          <w:sz w:val="20"/>
          <w:szCs w:val="20"/>
          <w:color w:val="auto"/>
        </w:rPr>
      </w:pPr>
      <w:r>
        <w:rPr>
          <w:rFonts w:ascii="Times New Roman" w:cs="Times New Roman" w:eastAsia="Times New Roman" w:hAnsi="Times New Roman"/>
          <w:sz w:val="18"/>
          <w:szCs w:val="18"/>
          <w:color w:val="auto"/>
        </w:rPr>
        <w:t>The</w:t>
        <w:tab/>
        <w:t>DGCL</w:t>
        <w:tab/>
        <w:t>generally</w:t>
        <w:tab/>
        <w:t>permits</w:t>
        <w:tab/>
        <w:t>a</w:t>
        <w:tab/>
        <w:t>corporation</w:t>
        <w:tab/>
        <w:t>to The</w:t>
        <w:tab/>
        <w:t>DGCL</w:t>
        <w:tab/>
        <w:t>generally</w:t>
        <w:tab/>
        <w:t>permits</w:t>
        <w:tab/>
        <w:t>a</w:t>
        <w:tab/>
        <w:t>corporation</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indemnify its directors and officers acting in good indemnify its directors and officers acting in good faith.</w:t>
      </w:r>
    </w:p>
    <w:p>
      <w:pPr>
        <w:spacing w:after="0" w:line="9" w:lineRule="exact"/>
        <w:rPr>
          <w:sz w:val="20"/>
          <w:szCs w:val="20"/>
          <w:color w:val="auto"/>
        </w:rPr>
      </w:pPr>
    </w:p>
    <w:p>
      <w:pPr>
        <w:ind w:left="460"/>
        <w:spacing w:after="0"/>
        <w:tabs>
          <w:tab w:leader="none" w:pos="5120" w:val="left"/>
          <w:tab w:leader="none" w:pos="5500" w:val="left"/>
          <w:tab w:leader="none" w:pos="6220" w:val="left"/>
          <w:tab w:leader="none" w:pos="6620" w:val="left"/>
          <w:tab w:leader="none" w:pos="7620" w:val="left"/>
          <w:tab w:leader="none" w:pos="8360" w:val="left"/>
        </w:tabs>
        <w:rPr>
          <w:sz w:val="20"/>
          <w:szCs w:val="20"/>
          <w:color w:val="auto"/>
        </w:rPr>
      </w:pPr>
      <w:r>
        <w:rPr>
          <w:rFonts w:ascii="Times New Roman" w:cs="Times New Roman" w:eastAsia="Times New Roman" w:hAnsi="Times New Roman"/>
          <w:sz w:val="18"/>
          <w:szCs w:val="18"/>
          <w:color w:val="auto"/>
        </w:rPr>
        <w:t>faith. Under the DGCL, the corporation through its Under</w:t>
        <w:tab/>
        <w:t>the</w:t>
        <w:tab/>
        <w:t>DGCL,</w:t>
        <w:tab/>
        <w:t>the</w:t>
        <w:tab/>
        <w:t>corporation</w:t>
        <w:tab/>
        <w:t>through</w:t>
        <w:tab/>
        <w:t>its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directors or independent legal counsel, stockholders, directors or independent legal counsel,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determine that the conduct of the person seeking will determine that the conduct of the person seeking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indemnity conformed with the statutory provisions indemnity  conformed  with  the  statutory  provisions</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governing indemnity.</w:t>
      </w:r>
      <w:r>
        <w:rPr>
          <w:sz w:val="20"/>
          <w:szCs w:val="20"/>
          <w:color w:val="auto"/>
        </w:rPr>
        <w:tab/>
      </w:r>
      <w:r>
        <w:rPr>
          <w:rFonts w:ascii="Times New Roman" w:cs="Times New Roman" w:eastAsia="Times New Roman" w:hAnsi="Times New Roman"/>
          <w:sz w:val="17"/>
          <w:szCs w:val="17"/>
          <w:color w:val="auto"/>
        </w:rPr>
        <w:t>governing indemnity.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FS Development The Amended By-laws provide that Combined Entity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indemnify each director and officer to the fullest will indemnify each director and officer to the fullest</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extent permitted by applicable law.</w:t>
      </w:r>
      <w:r>
        <w:rPr>
          <w:sz w:val="20"/>
          <w:szCs w:val="20"/>
          <w:color w:val="auto"/>
        </w:rPr>
        <w:tab/>
      </w:r>
      <w:r>
        <w:rPr>
          <w:rFonts w:ascii="Times New Roman" w:cs="Times New Roman" w:eastAsia="Times New Roman" w:hAnsi="Times New Roman"/>
          <w:sz w:val="17"/>
          <w:szCs w:val="17"/>
          <w:color w:val="auto"/>
        </w:rPr>
        <w:t>extent permitted by applicable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9" w:name="page220"/>
    <w:bookmarkEnd w:id="2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Unless further restricted in the certificate of Unless further restricted in the certificate of incorporation, the DGCL permits a corporation to incorporation, the DGCL permits a corporation to declare and pay dividends out of either (i) surplus, or declare and pay dividends out of either (i) surplus, or</w:t>
      </w:r>
    </w:p>
    <w:p>
      <w:pPr>
        <w:spacing w:after="0" w:line="1" w:lineRule="exact"/>
        <w:rPr>
          <w:sz w:val="20"/>
          <w:szCs w:val="20"/>
          <w:color w:val="auto"/>
        </w:rPr>
      </w:pPr>
    </w:p>
    <w:p>
      <w:pPr>
        <w:jc w:val="both"/>
        <w:ind w:left="460" w:right="459" w:hanging="6"/>
        <w:spacing w:after="0" w:line="250" w:lineRule="auto"/>
        <w:tabs>
          <w:tab w:leader="none" w:pos="7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surplus exists, out of net profits for the fiscal (ii) if no surplus exists, out of net profits for the fiscal year in which the dividend is declared and/or the year in which the dividend is declared and/or the preceding fiscal year (provided that the amount of preceding fiscal year (provided that the amount of capital of the corporation is not less than the aggregate capital of the corporation is not less than the aggregate amount of the capital represented by the issued and amount of the capital represented by the issued and outstanding stock of all classes having a preference outstanding stock of all classes having a preference upon the distribution of assets). The DGCL defines upon the distribution of assets). The DGCL defines surplus as the excess, at any time, of the net assets of a surplus as the excess, at any time, of the net assets of a corporation over its stated capital. In addition, the corporation over its stated capital. In addition, the DGCL provides that a corporation may redeem or DGCL provides that a corporation may redeem or repurchase its shares only when the capital of the repurchase its shares only when the capital of the corporation is not impaired and only if such corporation is not impaired and only if such redemption redemption or repurchase would not cause any or repurchase would not cause any impairment of the</w:t>
      </w:r>
    </w:p>
    <w:p>
      <w:pPr>
        <w:spacing w:after="0" w:line="5"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impairment of the capital of a corporation.</w:t>
      </w:r>
      <w:r>
        <w:rPr>
          <w:sz w:val="20"/>
          <w:szCs w:val="20"/>
          <w:color w:val="auto"/>
        </w:rPr>
        <w:tab/>
      </w:r>
      <w:r>
        <w:rPr>
          <w:rFonts w:ascii="Times New Roman" w:cs="Times New Roman" w:eastAsia="Times New Roman" w:hAnsi="Times New Roman"/>
          <w:sz w:val="17"/>
          <w:szCs w:val="17"/>
          <w:color w:val="auto"/>
        </w:rPr>
        <w:t>capital of a corporation.</w:t>
      </w:r>
    </w:p>
    <w:p>
      <w:pPr>
        <w:spacing w:after="0" w:line="126" w:lineRule="exact"/>
        <w:rPr>
          <w:sz w:val="20"/>
          <w:szCs w:val="20"/>
          <w:color w:val="auto"/>
        </w:rPr>
      </w:pPr>
    </w:p>
    <w:p>
      <w:pPr>
        <w:ind w:left="460" w:right="479"/>
        <w:spacing w:after="0" w:line="257" w:lineRule="auto"/>
        <w:rPr>
          <w:sz w:val="20"/>
          <w:szCs w:val="20"/>
          <w:color w:val="auto"/>
        </w:rPr>
      </w:pPr>
      <w:r>
        <w:rPr>
          <w:rFonts w:ascii="Times New Roman" w:cs="Times New Roman" w:eastAsia="Times New Roman" w:hAnsi="Times New Roman"/>
          <w:sz w:val="18"/>
          <w:szCs w:val="18"/>
          <w:color w:val="auto"/>
        </w:rPr>
        <w:t>The Current Charter provides that, subject to The Proposed Charter provides dividends may be applicable law and the rights, if any, of outstanding declared only when and as declared by the board of shares of preferred stock, the holders of FS directors of the Combined Entity or any authorized Development common stock will be entitled to receive committee thereof out of any assets of Combined Entity dividends (payable in cash, property, or capital stock legally available for dividends. of FS Development) when, as, and if declared by the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from time to time out of any assets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FS Development legally available for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Subject to applicable law and the rights, if any, of the Subject to applicable law and the preferential or other holders of outstanding shares of preferred stock, the rights of any holders of preferred stock then Current Charter provides that following the payment outstanding, the Proposed Charter provides that upon or provision for payment of the debts and other the voluntary or involuntary liquidation, dissolution or liabilities of FS Development in the event of an winding up of the Combined Entity, the net assets of the voluntary or involuntary liquidation, dissolution, or Combined Entity shall be distributed pro rata to the winding up of FS Development, the holders of FS holders of Combined Entity common stock. Development common stock shall be entitled to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receive all the remaining assets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available for distribution to its stockholders, ratably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proportion to the number of shares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held by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Supermajority Voting Provisions</w:t>
      </w:r>
    </w:p>
    <w:p>
      <w:pPr>
        <w:spacing w:after="0" w:line="202" w:lineRule="exact"/>
        <w:rPr>
          <w:sz w:val="20"/>
          <w:szCs w:val="20"/>
          <w:color w:val="auto"/>
        </w:rPr>
      </w:pPr>
    </w:p>
    <w:p>
      <w:pPr>
        <w:jc w:val="both"/>
        <w:ind w:left="460" w:right="459"/>
        <w:spacing w:after="0" w:line="248" w:lineRule="auto"/>
        <w:rPr>
          <w:sz w:val="20"/>
          <w:szCs w:val="20"/>
          <w:color w:val="auto"/>
        </w:rPr>
      </w:pPr>
      <w:r>
        <w:rPr>
          <w:rFonts w:ascii="Times New Roman" w:cs="Times New Roman" w:eastAsia="Times New Roman" w:hAnsi="Times New Roman"/>
          <w:sz w:val="18"/>
          <w:szCs w:val="18"/>
          <w:color w:val="auto"/>
        </w:rPr>
        <w:t>The blank shell company provisions the Current The affirmative vote of two-thirds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of the voting Charter (Article XI) and Article VIII regarding power of the shares of capital stock of Combined Entity indemnification require the affirmative vote of a that would then be entitled to vote in the election of supermajority of the voting power of all outstanding directors at an annual meeting of stockholders will be</w:t>
      </w:r>
    </w:p>
    <w:p>
      <w:pPr>
        <w:spacing w:after="0" w:line="3"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shares of capital stock of FS Development.</w:t>
      </w:r>
      <w:r>
        <w:rPr>
          <w:sz w:val="20"/>
          <w:szCs w:val="20"/>
          <w:color w:val="auto"/>
        </w:rPr>
        <w:tab/>
      </w:r>
      <w:r>
        <w:rPr>
          <w:rFonts w:ascii="Times New Roman" w:cs="Times New Roman" w:eastAsia="Times New Roman" w:hAnsi="Times New Roman"/>
          <w:sz w:val="18"/>
          <w:szCs w:val="18"/>
          <w:color w:val="auto"/>
        </w:rPr>
        <w:t>required in order for the stockholders of Combined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Entity  to  amend  the  Proposed  Charter  in  certain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circumstances, including provides in the Charter related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amending  the  Amended  By-laws,  increasing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decreasing the number of directors, filling vacancies 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board of directors, removing a director from office,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calling a special meeting of stockholders.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0" w:name="page221"/>
    <w:bookmarkEnd w:id="2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3"/>
          </w:tcPr>
          <w:p>
            <w:pPr>
              <w:spacing w:after="0"/>
              <w:rPr>
                <w:sz w:val="7"/>
                <w:szCs w:val="7"/>
                <w:color w:val="auto"/>
              </w:rPr>
            </w:pPr>
          </w:p>
        </w:tc>
      </w:tr>
      <w:tr>
        <w:trPr>
          <w:trHeight w:val="250"/>
        </w:trPr>
        <w:tc>
          <w:tcPr>
            <w:tcW w:w="810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Anti-Takeover Provisions and Other Stockholder Protections</w:t>
            </w:r>
          </w:p>
        </w:tc>
      </w:tr>
      <w:tr>
        <w:trPr>
          <w:trHeight w:val="38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protections  in  the  Current</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include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protections included in the Proposed Charter include a</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staggered board, a prohibition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stockholder action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board, a prohibition on stockholder action by</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 other than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relates to Class B</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written consent and blank check preferred stock. The</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and blank check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 of the DGCL.</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of  the  DGCL  prohibit  a  Delaware</w:t>
      </w:r>
    </w:p>
    <w:p>
      <w:pPr>
        <w:spacing w:after="0" w:line="27" w:lineRule="exact"/>
        <w:rPr>
          <w:sz w:val="20"/>
          <w:szCs w:val="20"/>
          <w:color w:val="auto"/>
        </w:rPr>
      </w:pPr>
    </w:p>
    <w:p>
      <w:pPr>
        <w:ind w:left="460"/>
        <w:spacing w:after="0"/>
        <w:tabs>
          <w:tab w:leader="none" w:pos="1500" w:val="left"/>
          <w:tab w:leader="none" w:pos="2100" w:val="left"/>
          <w:tab w:leader="none" w:pos="3000" w:val="left"/>
          <w:tab w:leader="none" w:pos="3380" w:val="left"/>
          <w:tab w:leader="none" w:pos="3680" w:val="left"/>
        </w:tabs>
        <w:rPr>
          <w:sz w:val="20"/>
          <w:szCs w:val="20"/>
          <w:color w:val="auto"/>
        </w:rPr>
      </w:pPr>
      <w:r>
        <w:rPr>
          <w:rFonts w:ascii="Times New Roman" w:cs="Times New Roman" w:eastAsia="Times New Roman" w:hAnsi="Times New Roman"/>
          <w:sz w:val="18"/>
          <w:szCs w:val="18"/>
          <w:color w:val="auto"/>
        </w:rPr>
        <w:t>corporation</w:t>
        <w:tab/>
        <w:t>from</w:t>
        <w:tab/>
        <w:t>engaging</w:t>
        <w:tab/>
        <w:t>in</w:t>
        <w:tab/>
        <w:t>a</w:t>
        <w:tab/>
        <w:t>“business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combination” with an “interested stockholder” (i.e.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owning 15% or more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voting stock) for three years following the time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“interested stockholder” becomes such, subject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exceptions.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the Combined Entity.</w:t>
            </w:r>
          </w:p>
        </w:tc>
        <w:tc>
          <w:tcPr>
            <w:tcW w:w="0" w:type="dxa"/>
            <w:vAlign w:val="bottom"/>
          </w:tcPr>
          <w:p>
            <w:pPr>
              <w:spacing w:after="0"/>
              <w:rPr>
                <w:sz w:val="1"/>
                <w:szCs w:val="1"/>
                <w:color w:val="auto"/>
              </w:rPr>
            </w:pPr>
          </w:p>
        </w:tc>
      </w:tr>
      <w:tr>
        <w:trPr>
          <w:trHeight w:val="405"/>
        </w:trPr>
        <w:tc>
          <w:tcPr>
            <w:tcW w:w="810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Fiduciary Duties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any committee designated by the board of 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committee designated by the board of directors 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similarly entitled to rely in good faith upon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similarly entitled to rely in good faith upon the records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records of the corporation and upon such information,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corporation and upon such information, opinions,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opinions,  reports  and  statements  presented  to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 and statements presented to the corporation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by   corporate   officers,   employees,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officers, employees, committees of the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committees of the board of directors or other persons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or other persons as to matters such member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to matters such member reasonably believes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reasonably believes are within such other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within  such  other  person’s  professional  or  expert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or expert competence, provided that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competence, provided that such other person has been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person has been selected with reasonable care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selected with reasonable care by or on behalf of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on  behalf  of  the  corporation.  Such  appropriate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Such appropriate reliance on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records  and  other  information  protects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protects  directors  from  liability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from liability related to decisions made based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related to decisions made based on such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such records and other information.</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exercise</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exercise  all  such  powers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such authority and powers of Combined Entity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do all such lawful acts and things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all such lawful acts and things as are not by statute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not by statute or the Current Charter or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Proposed Charter or Amended By-laws directed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directed or required to be exercised or done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required to be exercised or done solely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solely by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DGCL, any stockholder or beneficial owner Under the DGCL, any stockholder or beneficial owner has the right, upon written demand under oath stating has the right, upon written demand under oath stating the proper purpose thereof, either in person or by the proper purpose thereof, either in person or by attorney or other agent, to inspect and make copies attorney or other agent, to inspect and make copies and and extracts from the corporation’s stock ledger, list of extracts from the corporation’s stock ledger, list of stockholders and its other books and records for a stockholders and its other books and records for a proper purpose during the usual hours for business. proper purpose during the usual hours for business. The Current Charter permits FS Development’s books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records to be kept within or outside Delaware.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1" w:name="page222"/>
    <w:bookmarkEnd w:id="2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Current Charter generally designates the Court of The Amended By-laws generally designates Court of Chancery of the State of Delaware as the sole and Chancery of the State of Delaware as the sole and exclusive forum for any stockholder (including a exclusive forum for: (i) any derivative action or beneficial owner) to: (i) any derivative action or proceeding brought on behalf of Combined Entity, proceeding brought on behalf of FS Development, (ii) any action asserting a claim of breach of a fiduciary</w:t>
      </w:r>
    </w:p>
    <w:p>
      <w:pPr>
        <w:spacing w:after="0" w:line="3" w:lineRule="exact"/>
        <w:rPr>
          <w:sz w:val="20"/>
          <w:szCs w:val="20"/>
          <w:color w:val="auto"/>
        </w:rPr>
      </w:pPr>
    </w:p>
    <w:p>
      <w:pPr>
        <w:jc w:val="both"/>
        <w:ind w:left="460" w:right="459" w:hanging="6"/>
        <w:spacing w:after="0" w:line="251" w:lineRule="auto"/>
        <w:tabs>
          <w:tab w:leader="none" w:pos="79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owed by, or any other wrongdoing by, any director fiduciary duty owed by any director, officer, or other officer, employee, or stockholder of Combined Entity, employee of FS Development to FS Development or (iii) any action asserting a claim against Combined FS Development’s stockholders, (iii) any action Entity arising pursuant to any provision of the DCGL, asserting a claim against FS Development, its the Combined Entity Chart, or Combined Entity’s By-directors, officers, or employees arising pursuant to laws, (iv) any action to interpret, apply, enforce, or any provision of the DGCL or the Current Charter or determine the validity of any provisions in the Proposed Current By-laws, (iv) any action asserting a claim Charter or Amended By-laws, or (v) any action against FS Development, its directors, officers, or asserting a claim governed by the internal affairs employees governed by the internal affairs doctrine, doctrine and if brought outside of Delaware in the name and, if brought outside of Delaware, the stockholder of any stockholder, the stockholder bringing the suit bringing the suit will be deemed to have consented to will be deemed to have consented to (a) the personal service of process on such stockholder’s counsel, jurisdiction of the state and federal courts within subject to certain exceptions. In addition, Delaware and (b) service of process on such notwithstanding anything to the contrary in the stockholder’s counsel, subject to certain exceptions. In foregoing, the federal district courts of the addition, notwithstanding anything to the contrary in United States are the exclusive forum for the the foregoing, the federal district courts of the District resolution of any action, suit or proceeding asserting a of Massachusetts are the exclusive forum for the cause of action under the Securities Act. The exclusive resolution of any action, suit or proceeding asserting a forum provision does not apply to suits brought to cause of action under the Securities Act. The exclusive enforce any liability or duty created by the Exchange forum provision does not apply to suits brought to</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Act.</w:t>
            </w: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enforce any liability or duty created by the Exchange</w:t>
            </w:r>
          </w:p>
        </w:tc>
      </w:tr>
      <w:tr>
        <w:trPr>
          <w:trHeight w:val="234"/>
        </w:trPr>
        <w:tc>
          <w:tcPr>
            <w:tcW w:w="2100" w:type="dxa"/>
            <w:vAlign w:val="bottom"/>
          </w:tcPr>
          <w:p>
            <w:pPr>
              <w:spacing w:after="0"/>
              <w:rPr>
                <w:sz w:val="20"/>
                <w:szCs w:val="20"/>
                <w:color w:val="auto"/>
              </w:rPr>
            </w:pP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Act.</w:t>
            </w:r>
          </w:p>
        </w:tc>
      </w:tr>
      <w:tr>
        <w:trPr>
          <w:trHeight w:val="432"/>
        </w:trPr>
        <w:tc>
          <w:tcPr>
            <w:tcW w:w="2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210</w:t>
            </w:r>
          </w:p>
        </w:tc>
      </w:tr>
    </w:tbl>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TICKER SYMBOL, MARKET PRICE AND DIVIDEND POLICY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Ticker Symbol and Market Price</w:t>
      </w:r>
    </w:p>
    <w:p>
      <w:pPr>
        <w:spacing w:after="0" w:line="148" w:lineRule="exact"/>
        <w:rPr>
          <w:sz w:val="20"/>
          <w:szCs w:val="20"/>
          <w:color w:val="auto"/>
        </w:rPr>
      </w:pPr>
    </w:p>
    <w:p>
      <w:pPr>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Class A Common Stock is currently listed on the Nasdaq Capital Market under the symbol “FSDC.” The closing price of the FS Development Class A Common Stock on October 14, 2020, the last</w:t>
      </w:r>
    </w:p>
    <w:p>
      <w:pPr>
        <w:ind w:left="460" w:right="459"/>
        <w:spacing w:after="0" w:line="250" w:lineRule="auto"/>
        <w:rPr>
          <w:sz w:val="20"/>
          <w:szCs w:val="20"/>
          <w:color w:val="auto"/>
        </w:rPr>
      </w:pPr>
      <w:r>
        <w:rPr>
          <w:rFonts w:ascii="Times New Roman" w:cs="Times New Roman" w:eastAsia="Times New Roman" w:hAnsi="Times New Roman"/>
          <w:sz w:val="18"/>
          <w:szCs w:val="18"/>
          <w:color w:val="auto"/>
        </w:rPr>
        <w:t>trading day before announcement of the execution of the Merger Agreement, was $11.14. As of , 2021, the record date for the special meeting, the closing price for the FS Development Class A Common Stock, was</w:t>
      </w:r>
    </w:p>
    <w:p>
      <w:pPr>
        <w:spacing w:after="0" w:line="1" w:lineRule="exact"/>
        <w:rPr>
          <w:sz w:val="20"/>
          <w:szCs w:val="20"/>
          <w:color w:val="auto"/>
        </w:rPr>
      </w:pPr>
    </w:p>
    <w:p>
      <w:pPr>
        <w:ind w:left="1180" w:hanging="726"/>
        <w:spacing w:after="0"/>
        <w:tabs>
          <w:tab w:leader="none" w:pos="11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shares of FS Development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actual beneficial ownership of FS Development Common Stock as of October 15, 2020 (the “</w:t>
      </w:r>
      <w:r>
        <w:rPr>
          <w:rFonts w:ascii="Times New Roman" w:cs="Times New Roman" w:eastAsia="Times New Roman" w:hAnsi="Times New Roman"/>
          <w:sz w:val="18"/>
          <w:szCs w:val="18"/>
          <w:b w:val="1"/>
          <w:bCs w:val="1"/>
          <w:color w:val="auto"/>
        </w:rPr>
        <w:t>Ownership Date</w:t>
      </w:r>
      <w:r>
        <w:rPr>
          <w:rFonts w:ascii="Times New Roman" w:cs="Times New Roman" w:eastAsia="Times New Roman" w:hAnsi="Times New Roman"/>
          <w:sz w:val="18"/>
          <w:szCs w:val="18"/>
          <w:color w:val="auto"/>
        </w:rPr>
        <w:t>”), which is prior to the Closing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116" w:lineRule="exact"/>
        <w:rPr>
          <w:sz w:val="20"/>
          <w:szCs w:val="20"/>
          <w:color w:val="auto"/>
        </w:rPr>
      </w:pPr>
    </w:p>
    <w:p>
      <w:pPr>
        <w:jc w:val="both"/>
        <w:ind w:left="1320" w:right="479" w:hanging="434"/>
        <w:spacing w:after="0" w:line="282" w:lineRule="auto"/>
        <w:tabs>
          <w:tab w:leader="none" w:pos="148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is expected to be, the beneficial owner of more than 5% of issued and outstanding shares of FS Development Common Stock or of the Combined Entity’s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 directors;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(or is expected to) become an executive officer or director of the Combined Entity following the Closing;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FS Development as a group pre-Business Combination and all executive officers and directors of the Combined Entity post-Business Combination.</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beneficial ownership of shares of FS Development Common Stock pre-Business Combination is based on 15,535,250 issued and outstanding shares of FS Development Common Stock as of October 15, 2020. The beneficial ownership of shares of FS Development Common Stock immediately following Closing is based on 46,541,250 shares (assuming no redemption) and 35,388,875 shares (assuming maximum redemption) to be outstanding and assumes (i) the issuance of up to 21,500,000 shares as Merger Consideration,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(ii) the issuance of 9,506,000 shares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PIPE Investment. If the actual facts are different than these assumptions (which they are likely to be), the percentage ownership retained by FS Development’s existing stockholders in FS Development will be different.</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Unless otherwise indicated, FS Development believes that all persons named in the table have sole voting and investment power with respect to all FS Development Common Stock beneficially owned by them.</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2"/>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FS Development:</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Ryan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Dubin</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FS Development as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(7 Individuals</w:t>
            </w: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1"/>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Combined Entity After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Business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Combination: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0"/>
                <w:szCs w:val="20"/>
                <w:color w:val="auto"/>
                <w:vertAlign w:val="superscript"/>
              </w:rPr>
              <w:t>(2)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r>
              <w:rPr>
                <w:rFonts w:ascii="Times New Roman" w:cs="Times New Roman" w:eastAsia="Times New Roman" w:hAnsi="Times New Roman"/>
                <w:sz w:val="20"/>
                <w:szCs w:val="20"/>
                <w:color w:val="auto"/>
                <w:vertAlign w:val="superscript"/>
              </w:rPr>
              <w:t>(3)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Combined Entity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(10 Individuals)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 Development Holdings, LLC</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Wellington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Co LLP</w:t>
            </w:r>
            <w:r>
              <w:rPr>
                <w:rFonts w:ascii="Times New Roman" w:cs="Times New Roman" w:eastAsia="Times New Roman" w:hAnsi="Times New Roman"/>
                <w:sz w:val="20"/>
                <w:szCs w:val="20"/>
                <w:color w:val="auto"/>
                <w:vertAlign w:val="superscript"/>
              </w:rPr>
              <w:t>(4)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629,300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Suvretta</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Management, LLC</w:t>
            </w:r>
            <w:r>
              <w:rPr>
                <w:rFonts w:ascii="Times New Roman" w:cs="Times New Roman" w:eastAsia="Times New Roman" w:hAnsi="Times New Roman"/>
                <w:sz w:val="20"/>
                <w:szCs w:val="20"/>
                <w:color w:val="auto"/>
                <w:vertAlign w:val="superscript"/>
              </w:rPr>
              <w:t>(5)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899,457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 Capital Management LP</w:t>
            </w:r>
            <w:r>
              <w:rPr>
                <w:rFonts w:ascii="Times New Roman" w:cs="Times New Roman" w:eastAsia="Times New Roman" w:hAnsi="Times New Roman"/>
                <w:sz w:val="20"/>
                <w:szCs w:val="20"/>
                <w:color w:val="auto"/>
                <w:vertAlign w:val="superscript"/>
              </w:rPr>
              <w:t>(6)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Orbimed Private Investments VI,</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line="275"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0"/>
                <w:szCs w:val="10"/>
                <w:color w:val="auto"/>
              </w:rPr>
              <w:t>(7)</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Atlas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(8)</w:t>
            </w: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(9)</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5,039,585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5,036,585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0"/>
                <w:szCs w:val="20"/>
                <w:color w:val="auto"/>
                <w:vertAlign w:val="superscript"/>
              </w:rPr>
              <w:t>(10)</w:t>
            </w: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jc w:val="both"/>
        <w:ind w:left="880" w:right="459" w:hanging="426"/>
        <w:spacing w:after="0" w:line="267" w:lineRule="auto"/>
        <w:tabs>
          <w:tab w:leader="none" w:pos="95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Holdings, LLC is the record holder of 1,870,250 shares reported herein. Foresite Capital Fund V, L.P. (“FCM V LP”) is the record holder of 1,500,000 shares reported herein. Foresite Capital Management V, LLC (“FCM V”), is the general partner of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pacing w:after="0" w:line="18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5" w:name="page226"/>
    <w:bookmarkEnd w:id="2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3" w:lineRule="auto"/>
        <w:tabs>
          <w:tab w:leader="none" w:pos="92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November 2, 2020. Wellington Management Company LLP, a registered investment company under the Investment Company Act of 1940, as amended, is the investment advisor to certain funds associated with Wellington, and Wellington Alternative Investments LLC is its general partner. Wellington Management Investment, Inc. is the managing member of Wellington Alternative Investments LLC. Wellington Management Company LLP is an indirect subsidiary of Wellington Management Group LLP. Wellington Management Group LLP and Wellington Management Company LLP may be deemed beneficial owners with shared voting and investment power over such shares.</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92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October 26, 2020. Suvretta Capital Management, LLC has shared voting and dispositive power over the shares held by funds associated with it. and Aaron Cowen is a control person of Suvretta Capital Management, LLC and as such may be deemed to beneficially own these shares with shared voting and investment power over such shares.</w:t>
      </w:r>
    </w:p>
    <w:p>
      <w:pPr>
        <w:jc w:val="both"/>
        <w:ind w:left="880" w:right="459" w:hanging="426"/>
        <w:spacing w:after="0" w:line="264" w:lineRule="auto"/>
        <w:tabs>
          <w:tab w:leader="none" w:pos="92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August 24, 2020. Adage Captial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w:t>
      </w:r>
    </w:p>
    <w:p>
      <w:pPr>
        <w:jc w:val="both"/>
        <w:ind w:left="880" w:right="459" w:hanging="426"/>
        <w:spacing w:after="0" w:line="264" w:lineRule="auto"/>
        <w:tabs>
          <w:tab w:leader="none" w:pos="100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5,554,613 shares issued as Merger Consideration and 510,000 shares issued in the PIPE Investment. OrbiMed Capital GP VI LLC, or GP VI, is the general partner of OrbiMed Private Investments VI, LP, or OrbiMed VI. OrbiMed Advisors LLC, or OrbiMed Advisors, is the managing member of GP VI. OrbiMed Advisors exercises investment and voting power through a management committee comprised of Carl Gordon, Ph.D., C.F.A., Sven H. Borho and Jonathan T. Silverstein. By virtue of such relationships, GP VI, OrbiMed Advisors and Dr. Gordon may be deemed to have voting and investment power with respect to the shares held by OrbiMed VI and as a result may be deemed to have beneficial ownership of these shares. Each of GP VI, OrbiMed Advisors, Messrs. Borho and Silverstein and Dr. Gordon disclaims beneficial ownership of the shares held by OrbiMed VI, except to the extent of its or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91"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4,957,111 shares issued as Merger Consideration and 510,000 shares issued in the PIPE Investment. Atlas Venture Associates XI, L.P. is the general partner of Atlas Fund XI, and Atlas Venture Associates XI, LLC is the general partner of Atlas Venture Associates XI, L.P. Bruce Booth, Jean- Francois Formela, David Grayzel, Jason Rhodes and Kevin Bitterman are the members of Atlas Venture Associates XI, LLC and collectively make investment decisions on behalf of Atlas Venture Fund XI, LLC. Each of Atlas Fund XI, Atlas Venture Associates XI, L.P., and Atlas Venture Associates XI, LLC may be deemed to beneficially own the shares held by Atlas Fund XI. Atlas Venture Associates Opportunity I, L.P. is the general partner of Atlas Fund I, and Atlas Venture Associates Opportunity I, LLC, or AVAO, LLC, is the general partner of Atlas Venture Associates Opportunity I, L.P. Bruce Booth, Jean-Francois Formela, David Grayzel, Jason Rhodes and Kevin Bitterman are the members of AVAO, LLC and collectively make investment decisions on behalf of AVAO, LLC. Each of Atlas Fund I, Atlas Venture Associates Opportunity I, L.P. and AVAO, LLC may be deemed to beneficially own the shares held by Atlas Fund I. Jason Rhodes is also a member of our board of directors. Mr. Rhodes disclaims beneficial ownership of the shares listed, except to the extent of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03"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4,639,585 shares issued as Merger Consideration and 400,000 shares issued in the PIPE Investment.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w:t>
      </w:r>
    </w:p>
    <w:p>
      <w:pPr>
        <w:jc w:val="both"/>
        <w:ind w:left="880" w:right="459" w:hanging="426"/>
        <w:spacing w:after="0" w:line="265" w:lineRule="auto"/>
        <w:tabs>
          <w:tab w:leader="none" w:pos="98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6" w:name="page227"/>
    <w:bookmarkEnd w:id="2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FS Development IPO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currently utilize office space at 600 Montgomery Street, Suite 4500, San Francisco, California 94111 from the Sponsor. Following the closing of the FS Development IPO, we pay the Sponsor $10,000 per month for office space, secretarial and administrative services provided to members of our management team pursuant to the terms of an administrative services agreement between us and the Sponsor. Upon completion of our initial business combination or our liquidation, we will cease paying these monthly fees.</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by the Company to the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Sponsor loaned us $200,000 to be used for a portion of the expenses of the FS Development IPO. These loans were non-interest bearing, unsecured and were due at the earlier of December 31, 2020 or the closing of the FS Development IPO. These loans were fully repaid on August 14, 2020.</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 As of October 28, 2020, there are no loans outstanding. Following the Closing, our Sponsor would be entitled to the repayment of any working capital loan and advances that have been made to FS Development and remain outstanding.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as part of the PIPE Investment, an affiliate of our Sponsor has entered into a subscription agreement to purchase 1,500,000 shares of our Class A Common Stock at a purchase price of $10 per share in a private placement that would occur concurrently with the consummation of our initial business combination. The affiliate of our Sponsor has assigned to the Sponsor its obligation to purchase its shares under the subscription agreement so that the Sponsor will purchase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funds from such private placement would be used as part of the consideration to the sellers in our initial business combination, and any excess funds from such private placement would be used for working capital in the post-transaction company. Consummation of the subscriptions are conditioned upon, among other things, closing conditions and the Closing</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Initial Stockholders and certain other stockholders will enter into the Registration Rights Agreement with FS Development and Gemini that will replace the existing registration rights agreement. Pursuant to such agreement,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The presence of these additional shares of common stock trading in the public market may have an adverse effect on the market price of the Combined Entity’s securities.</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Initial Stockholders entered into support agreements with FS Development, Gemini and Sponsor. Under such support agreements, each such stockholder agreed to vote, at any meeting of the stockholders of the Company, and in any action by written consent of the stockholders of the Company, all of such stockholder’s Class B Common Stock of FS Development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 Development held by such stockholder or taking any action that would prevent or disable such stockholder from performing its obligations under the support agreement.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the Sponsor and certain other stockholders will enter into a Voting Agreement with the Combined Entity. Please see the section titled “</w:t>
      </w:r>
      <w:r>
        <w:rPr>
          <w:rFonts w:ascii="Times New Roman" w:cs="Times New Roman" w:eastAsia="Times New Roman" w:hAnsi="Times New Roman"/>
          <w:sz w:val="18"/>
          <w:szCs w:val="18"/>
          <w:i w:val="1"/>
          <w:iCs w:val="1"/>
          <w:color w:val="auto"/>
        </w:rPr>
        <w:t>Ancillary Agreements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Gemini</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transactions since September 30, 2017 to which Gemini has been a participant, in which:</w:t>
      </w:r>
    </w:p>
    <w:p>
      <w:pPr>
        <w:spacing w:after="0" w:line="81" w:lineRule="exact"/>
        <w:rPr>
          <w:sz w:val="20"/>
          <w:szCs w:val="20"/>
          <w:color w:val="auto"/>
        </w:rPr>
      </w:pPr>
    </w:p>
    <w:p>
      <w:pPr>
        <w:ind w:left="1300" w:hanging="414"/>
        <w:spacing w:after="0"/>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Gemini” or that were approved by its compensation committee.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8" w:name="page229"/>
    <w:bookmarkEnd w:id="2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A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30, 2018, Gemini held the second closing of its Series A Preferred Stock financing, pursuant to its Series A Preferred Stock Purchase Agreement, as amended (the “Series A Purchase Agreement”), at which Gemini issued 9,243,696 shares of its Series A Preferred Stock for a per share price of $1.19, for aggregate gross proceeds in the amount of $11.0 million. On November 2, 2018, Gemini held the third closing of its Series A Preferred Stock financing, pursuant to the Series A Purchase Agreement, at which Gemini issued 16,386,555 shares of its Series A Preferred Stock for a per share price of $1.19, for aggregate gross proceeds in the amount of $19.5 million. The following holders of more than 5% of Gemini’s capital stock participated in the second closing and third closing of the Series A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Second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Price – Third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Second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Third Closing</w:t>
            </w:r>
          </w:p>
        </w:tc>
        <w:tc>
          <w:tcPr>
            <w:tcW w:w="12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92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B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26, 2019, Gemini held the initial closing of its Series B Preferred Stock financing, pursuant to its Series B Preferred Stock Purchase Agreement (the “Series B Purchase Agreement”), at which Gemini issued 9,916,375 shares of its Series B Preferred Stock for a per share price of $1.3513, for aggregate gross proceeds in the amount of $13.4 million. On January 21, 2020, Gemini held the second closing of its Series B Preferred Stock financing, pursuant to the Series B Purchase Agreement, at which Gemini issued 14,874,563 shares of its Series B Preferred Stock for a per share price of $1.3513, for aggregate gross proceeds in the amount of $20.1 million. The following holders of more than 5% of Gemini’s capital stock participated in the initial closing and second closing of the Series B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Initial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Price – Second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Initial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Second Closing</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3,899,999.09</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2,072,078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2,799,999.00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3,108,118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4,199,999.85</w:t>
            </w:r>
          </w:p>
        </w:tc>
      </w:tr>
      <w:tr>
        <w:trPr>
          <w:trHeight w:val="29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954"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initially purchased by Wu Capital LLC and subsequently transferred to Wu Capital Investment LLC.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 Financing</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August 21, 2020, Gemini issued convertible promissory notes for aggregate gross proceeds of $14,000,000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at a closing held pursuant to a convertible note purchase agreement among Gemini and certain investors. The following holders of more than 5% of Gemini’s capital stock participated in note financing. The Notes accrue simple interest at 8% per annum and mature on February 21, 2021. Prior to the Closing, all principal and accrued interest under the Notes shall convert into shares of Gemini’s Series B Preferred Stock.</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Note</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60" w:type="dxa"/>
            <w:vAlign w:val="bottom"/>
          </w:tcPr>
          <w:p>
            <w:pPr>
              <w:spacing w:after="0"/>
              <w:rPr>
                <w:sz w:val="18"/>
                <w:szCs w:val="18"/>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Opportunity Fund I, L.P.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Investors Rights Agreement (the “</w:t>
      </w:r>
      <w:r>
        <w:rPr>
          <w:rFonts w:ascii="Times New Roman" w:cs="Times New Roman" w:eastAsia="Times New Roman" w:hAnsi="Times New Roman"/>
          <w:sz w:val="18"/>
          <w:szCs w:val="18"/>
          <w:b w:val="1"/>
          <w:bCs w:val="1"/>
          <w:color w:val="auto"/>
        </w:rPr>
        <w:t>Investors Rights Agreement</w:t>
      </w:r>
      <w:r>
        <w:rPr>
          <w:rFonts w:ascii="Times New Roman" w:cs="Times New Roman" w:eastAsia="Times New Roman" w:hAnsi="Times New Roman"/>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Gemini Support Agreements, Gemini and its investors have agreed to terminate the Investors Rights Agreement at the Closing.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Voting Agreement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with certain of its investors, including its 5% stockholders. Pursuant to the Investors Agreement, certain investors were given the right to designate certain members of Gemini’s board of directors. Pursuant to the Merger Agreement and the Gemini Support Agreements, Gemini and its investors have agreed to terminate the Voting Agreement at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Services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 2021, Gemini engaged Danforth Advisors, an accounting and finance advisory company managed by Gregg Beloff, Gemini’s Interim Chief Financial Officer. Through September 30, 2020, Gemini has paid</w:t>
      </w: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to Danforth Advisors in exchange for professional services related to accounting, finance and other administrative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for Approval of Related Party Transactions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Person Transactions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Upon the Closing, the Combined Entity will adopt a written related person transaction policy that sets forth the following policies and procedures for the review and approval or ratification of related person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Combined Entity or any of its subsidiaries was, is or will be a participant, the amount of which involved exceeds $120,000, and in which any related person had, has or will have a direct or indirect material interest. A “Related Person” means:</w:t>
      </w:r>
    </w:p>
    <w:p>
      <w:pPr>
        <w:spacing w:after="0" w:line="108" w:lineRule="exact"/>
        <w:rPr>
          <w:sz w:val="20"/>
          <w:szCs w:val="20"/>
          <w:color w:val="auto"/>
        </w:rPr>
      </w:pPr>
    </w:p>
    <w:p>
      <w:pPr>
        <w:ind w:left="1320" w:right="479" w:hanging="434"/>
        <w:spacing w:after="0" w:line="282" w:lineRule="auto"/>
        <w:tabs>
          <w:tab w:leader="none" w:pos="147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Combined Entity’s officers or one of Combined Entity’s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Combined Entity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audit committee of the Combined Entity’s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the Combined Entity than terms generally available in a transaction with an unaffiliated third-party under the same or similar circumstances and the extent of the Related Person’s interest in the related person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62" w:lineRule="exact"/>
        <w:rPr>
          <w:sz w:val="20"/>
          <w:szCs w:val="20"/>
          <w:color w:val="auto"/>
        </w:rPr>
      </w:pPr>
    </w:p>
    <w:p>
      <w:pPr>
        <w:ind w:left="460"/>
        <w:spacing w:after="0"/>
        <w:tabs>
          <w:tab w:leader="none" w:pos="7380" w:val="left"/>
        </w:tabs>
        <w:rPr>
          <w:sz w:val="20"/>
          <w:szCs w:val="20"/>
          <w:color w:val="auto"/>
        </w:rPr>
      </w:pPr>
      <w:r>
        <w:rPr>
          <w:rFonts w:ascii="Times New Roman" w:cs="Times New Roman" w:eastAsia="Times New Roman" w:hAnsi="Times New Roman"/>
          <w:sz w:val="18"/>
          <w:szCs w:val="18"/>
          <w:color w:val="auto"/>
        </w:rPr>
        <w:t>We anticipate that the 2021 annual meeting of stockholders will be held no later than</w:t>
      </w:r>
      <w:r>
        <w:rPr>
          <w:sz w:val="20"/>
          <w:szCs w:val="20"/>
          <w:color w:val="auto"/>
        </w:rPr>
        <w:tab/>
      </w:r>
      <w:r>
        <w:rPr>
          <w:rFonts w:ascii="Times New Roman" w:cs="Times New Roman" w:eastAsia="Times New Roman" w:hAnsi="Times New Roman"/>
          <w:sz w:val="18"/>
          <w:szCs w:val="18"/>
          <w:color w:val="auto"/>
        </w:rPr>
        <w:t>, 2021. For any</w:t>
      </w:r>
    </w:p>
    <w:p>
      <w:pPr>
        <w:spacing w:after="0" w:line="27"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proposal to be considered for inclusion in our proxy statement and form of proxy for submission to the stockholders at our 2021 annual meeting of stockholders, it must be submitted in writing and comply with the requirements of Rule 14a-8 of the Exchange Act and the Current By-laws. Assuming the meeting is held on or</w:t>
      </w:r>
    </w:p>
    <w:p>
      <w:pPr>
        <w:spacing w:after="0" w:line="1" w:lineRule="exact"/>
        <w:rPr>
          <w:sz w:val="20"/>
          <w:szCs w:val="20"/>
          <w:color w:val="auto"/>
        </w:rPr>
      </w:pPr>
    </w:p>
    <w:p>
      <w:pPr>
        <w:jc w:val="both"/>
        <w:ind w:left="460" w:right="459"/>
        <w:spacing w:after="0" w:line="242" w:lineRule="auto"/>
        <w:rPr>
          <w:sz w:val="20"/>
          <w:szCs w:val="20"/>
          <w:color w:val="auto"/>
        </w:rPr>
      </w:pPr>
      <w:r>
        <w:rPr>
          <w:rFonts w:ascii="Times New Roman" w:cs="Times New Roman" w:eastAsia="Times New Roman" w:hAnsi="Times New Roman"/>
          <w:sz w:val="18"/>
          <w:szCs w:val="18"/>
          <w:color w:val="auto"/>
        </w:rPr>
        <w:t>about , 2021, such proposals must be received by the Combined Entity at its offices at c/o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within a reasonable time before the Combined Entity begins to print and send its proxy materials for the meeting.</w:t>
      </w:r>
    </w:p>
    <w:p>
      <w:pPr>
        <w:spacing w:after="0" w:line="12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7"/>
          <w:szCs w:val="17"/>
          <w:color w:val="auto"/>
        </w:rPr>
        <w:t>In addition, the Amended By-laws, which will be effective upon the Closing, provide notice procedures for stockholders to propose business (other than director nominations) to be considered by stockholders at a meeting. To be timely, a stockholder’s notice must be received by the Secretary at the principal executive offices of the Combined Entity not later than the close of business on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nor earlier than the close of business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later of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or the tenth day following the day on which public announcement of the date such meeting is first made. Thus, for our 2021 annual meeting of stockholders, notice of a proposal must be delivered</w:t>
      </w:r>
    </w:p>
    <w:p>
      <w:pPr>
        <w:spacing w:after="0" w:line="9"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to our Secretary no later than , 2021 and no earlier than , 2021. The Chairperson of the Combined Entity’s board of directors may refuse to acknowledge the introduction of any stockholder proposal not made in compliance with the foregoing procedures.</w:t>
      </w:r>
    </w:p>
    <w:p>
      <w:pPr>
        <w:spacing w:after="0" w:line="10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Further, the Amended By-laws, which will be effective upon the Closing, provide notice procedures for stockholders to nominate a person as a director to be considered by stockholders at a meeting. To be timely, a stockholder’s notice must be received by the Secretary at the principal executive offices of the Combined Entity</w:t>
      </w:r>
    </w:p>
    <w:p>
      <w:pPr>
        <w:spacing w:after="0" w:line="1" w:lineRule="exact"/>
        <w:rPr>
          <w:sz w:val="20"/>
          <w:szCs w:val="20"/>
          <w:color w:val="auto"/>
        </w:rPr>
      </w:pPr>
    </w:p>
    <w:p>
      <w:pPr>
        <w:jc w:val="both"/>
        <w:ind w:left="460" w:right="459" w:hanging="6"/>
        <w:spacing w:after="0" w:line="237" w:lineRule="auto"/>
        <w:tabs>
          <w:tab w:leader="none" w:pos="70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tenth day following the day on which public announcement of the date of such meeting was first made. Thus, for our 2021 annual meeting of stockholders,</w:t>
      </w:r>
    </w:p>
    <w:p>
      <w:pPr>
        <w:spacing w:after="0" w:line="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notice of a nomination must be delivered to our Secretary no later than , 2021 and no earlier than , 2021. The Chairperson of the Combined Entity’s board of directors may refuse to acknowledge the introduction of any stockholder nomination not made in compliance with the foregoing procedures.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Board, any committee chairperson or the non-management directors as a group by writing to the board or committee chairperson in care FS Development, 600 Montgomery Street, Suite 4500, San Francisco, California 94111. Following the Business Combination, such communications should be sent to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Each communication will be forwarded, depending on the subject matter, to the board of directors, the appropriate committee chairperson or all non-management directors.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validity of the shares of Class A Common Stock to be issued in connection with the Business Combination will be passed upon by White &amp; Case LLP, New York, New York.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FS Development as of June 30, 2020, and for the period from June 25, 2020 (inception) through June 30, 2020 appearing in this proxy statement/prospectus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Gemini Therapeutics, Inc. as of December 31, 2018 and December 31, 2019, and for the years then ended included in the Proxy Statement of FS Development Corp., which is referred to and made part of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rules of the SEC, FS Development and servicers that it employs to deliver communications to its stockholders are permitted to deliver to two or more stockholders sharing the same address a single copy of this proxy statement/prospectus. Upon written or oral request, FS Development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FS Development of their requests by calling or writing FS Development at its principal executive offices 600 Montgomery Street, Suite 4500, San Francisco, California 94111.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registrar and transfer agent for the shares of Common Stock is Continental Stock Transfer &amp; Trust Company. FS Development has agreed to indemnify Continental Stock Transfer &amp; Trust Company in its role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FS Development by telephone or in writing:</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FS Development’s proxy solicitation agent at the following address and telephone number: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658-9400Email: FSDC.info@investor.morrowsodali.com</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 one week prior to the Special Meeting in order to receive them before the Special Meeting. If you request any documents from FS Development, FS Development will mail them to you by first class mail, or another equally prompt means.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FS Development has been supplied by FS Development, and all such information relating to Gemini has been supplied by Gemini. Information provided by either FS Development or Gemini does not constitute any representation, estimate or projection of any other party.</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document is a proxy statement/prospectus of FS Development for the Special Meeting. FS Development has not authorized anyone to give any information or make any representation about the Business Combination, FS Development or Gemini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736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 of FS Development Corp.</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36">
              <w:r>
                <w:rPr>
                  <w:rFonts w:ascii="Times New Roman" w:cs="Times New Roman" w:eastAsia="Times New Roman" w:hAnsi="Times New Roman"/>
                  <w:sz w:val="18"/>
                  <w:szCs w:val="18"/>
                  <w:u w:val="single" w:color="auto"/>
                  <w:color w:val="0000EE"/>
                </w:rPr>
                <w:t>Unaudited Condensed Balance Sheet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7">
              <w:r>
                <w:rPr>
                  <w:rFonts w:ascii="Times New Roman" w:cs="Times New Roman" w:eastAsia="Times New Roman" w:hAnsi="Times New Roman"/>
                  <w:sz w:val="18"/>
                  <w:szCs w:val="18"/>
                  <w:color w:val="0000EE"/>
                </w:rPr>
                <w:t>Unaudited Condensed Statement of Operations for the three months ended September 30, 2020 and</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6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237">
              <w:r>
                <w:rPr>
                  <w:rFonts w:ascii="Times New Roman" w:cs="Times New Roman" w:eastAsia="Times New Roman" w:hAnsi="Times New Roman"/>
                  <w:sz w:val="18"/>
                  <w:szCs w:val="18"/>
                  <w:color w:val="0000EE"/>
                </w:rPr>
                <w:t>for the period from June 25, 2020 (inception) through September 30, 2020</w:t>
              </w:r>
            </w:hyperlink>
          </w:p>
        </w:tc>
        <w:tc>
          <w:tcPr>
            <w:tcW w:w="220" w:type="dxa"/>
            <w:vAlign w:val="bottom"/>
            <w:tcBorders>
              <w:top w:val="single" w:sz="8" w:color="CCEEFF"/>
            </w:tcBorders>
            <w:gridSpan w:val="3"/>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17"/>
          </w:tcPr>
          <w:p>
            <w:pPr>
              <w:spacing w:after="0" w:line="17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Unaudited Condensed Statement of Changes in Stockholder’s equity for the three months ended</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September 30, 2020 and for the period from June 25, 2020 (inception) through September</w:t>
              </w:r>
            </w:hyperlink>
          </w:p>
        </w:tc>
        <w:tc>
          <w:tcPr>
            <w:tcW w:w="4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780" w:type="dxa"/>
            <w:vAlign w:val="bottom"/>
            <w:gridSpan w:val="4"/>
          </w:tcPr>
          <w:p>
            <w:pPr>
              <w:ind w:left="180"/>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30, 2020</w:t>
              </w:r>
            </w:hyperlink>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Unaudited Condensed Statement of Cash Flows for the period from June 25, 2020 (inception)</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6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through September 30, 2020</w:t>
              </w:r>
            </w:hyperlink>
          </w:p>
        </w:tc>
        <w:tc>
          <w:tcPr>
            <w:tcW w:w="620" w:type="dxa"/>
            <w:vAlign w:val="bottom"/>
            <w:tcBorders>
              <w:top w:val="single" w:sz="8" w:color="CCEEFF"/>
            </w:tcBorders>
            <w:gridSpan w:val="7"/>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Notes to Unaudited Condensed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4"/>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FS Development Corp.</w:t>
            </w:r>
          </w:p>
        </w:tc>
        <w:tc>
          <w:tcPr>
            <w:tcW w:w="74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F-19</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Balance Sheet as of June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Statements of Operations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F-21</w:t>
            </w:r>
          </w:p>
        </w:tc>
      </w:tr>
      <w:tr>
        <w:trPr>
          <w:trHeight w:val="176"/>
        </w:trPr>
        <w:tc>
          <w:tcPr>
            <w:tcW w:w="66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Statement of Changes in Stockholder’s Equity for the period from June 25, 2020 (inception)</w:t>
              </w:r>
            </w:hyperlink>
          </w:p>
        </w:tc>
        <w:tc>
          <w:tcPr>
            <w:tcW w:w="680" w:type="dxa"/>
            <w:vAlign w:val="bottom"/>
            <w:gridSpan w:val="8"/>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through June 30, 2020</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Statement of Cash Flows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F-23</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8">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F-24</w:t>
            </w: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Gemini Therapeutics, Inc.</w:t>
            </w:r>
          </w:p>
        </w:tc>
        <w:tc>
          <w:tcPr>
            <w:tcW w:w="74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66">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F-32</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67">
              <w:r>
                <w:rPr>
                  <w:rFonts w:ascii="Times New Roman" w:cs="Times New Roman" w:eastAsia="Times New Roman" w:hAnsi="Times New Roman"/>
                  <w:sz w:val="18"/>
                  <w:szCs w:val="18"/>
                  <w:u w:val="single" w:color="auto"/>
                  <w:color w:val="0000EE"/>
                </w:rPr>
                <w:t>Balance Sheets as of December 31, 2018 and 2019, and (unaudited)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F-33</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68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8">
              <w:r>
                <w:rPr>
                  <w:rFonts w:ascii="Times New Roman" w:cs="Times New Roman" w:eastAsia="Times New Roman" w:hAnsi="Times New Roman"/>
                  <w:sz w:val="18"/>
                  <w:szCs w:val="18"/>
                  <w:color w:val="0000EE"/>
                  <w:w w:val="99"/>
                </w:rPr>
                <w:t>Statements of Operations and Comprehensive Loss for the years ended December 31, 2018 and</w:t>
              </w:r>
            </w:hyperlink>
          </w:p>
        </w:tc>
        <w:tc>
          <w:tcPr>
            <w:tcW w:w="50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6"/>
            <w:shd w:val="clear" w:color="auto" w:fill="CCEEFF"/>
          </w:tcPr>
          <w:p>
            <w:pPr>
              <w:spacing w:after="0"/>
              <w:rPr>
                <w:rFonts w:ascii="Times New Roman" w:cs="Times New Roman" w:eastAsia="Times New Roman" w:hAnsi="Times New Roman"/>
                <w:sz w:val="18"/>
                <w:szCs w:val="18"/>
                <w:u w:val="single" w:color="auto"/>
                <w:color w:val="0000EE"/>
              </w:rPr>
            </w:pPr>
            <w:hyperlink w:anchor="page268">
              <w:r>
                <w:rPr>
                  <w:rFonts w:ascii="Times New Roman" w:cs="Times New Roman" w:eastAsia="Times New Roman" w:hAnsi="Times New Roman"/>
                  <w:sz w:val="18"/>
                  <w:szCs w:val="18"/>
                  <w:u w:val="single" w:color="auto"/>
                  <w:color w:val="0000EE"/>
                </w:rPr>
                <w:t>2019, and (unaudited) for the nine months ended September 30, 2019 and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F-34</w:t>
            </w:r>
          </w:p>
        </w:tc>
      </w:tr>
      <w:tr>
        <w:trPr>
          <w:trHeight w:val="176"/>
        </w:trPr>
        <w:tc>
          <w:tcPr>
            <w:tcW w:w="70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w:anchor="page269">
              <w:r>
                <w:rPr>
                  <w:rFonts w:ascii="Times New Roman" w:cs="Times New Roman" w:eastAsia="Times New Roman" w:hAnsi="Times New Roman"/>
                  <w:sz w:val="18"/>
                  <w:szCs w:val="18"/>
                  <w:color w:val="0000EE"/>
                  <w:w w:val="99"/>
                </w:rPr>
                <w:t>Statements of Convertible Preferred Stock and Stockholders’ Equity (Deficit) for the years ended</w:t>
              </w:r>
            </w:hyperlink>
          </w:p>
        </w:tc>
        <w:tc>
          <w:tcPr>
            <w:tcW w:w="3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69">
              <w:r>
                <w:rPr>
                  <w:rFonts w:ascii="Times New Roman" w:cs="Times New Roman" w:eastAsia="Times New Roman" w:hAnsi="Times New Roman"/>
                  <w:sz w:val="18"/>
                  <w:szCs w:val="18"/>
                  <w:color w:val="0000EE"/>
                  <w:w w:val="99"/>
                </w:rPr>
                <w:t>December 31, 2018 and 2019, and (unaudited) for the nine months ended September 30, 2019 and</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800" w:type="dxa"/>
            <w:vAlign w:val="bottom"/>
            <w:gridSpan w:val="3"/>
          </w:tcPr>
          <w:p>
            <w:pPr>
              <w:ind w:left="180"/>
              <w:spacing w:after="0" w:line="196" w:lineRule="exact"/>
              <w:rPr>
                <w:rFonts w:ascii="Times New Roman" w:cs="Times New Roman" w:eastAsia="Times New Roman" w:hAnsi="Times New Roman"/>
                <w:sz w:val="18"/>
                <w:szCs w:val="18"/>
                <w:color w:val="0000EE"/>
              </w:rPr>
            </w:pPr>
            <w:hyperlink w:anchor="page269">
              <w:r>
                <w:rPr>
                  <w:rFonts w:ascii="Times New Roman" w:cs="Times New Roman" w:eastAsia="Times New Roman" w:hAnsi="Times New Roman"/>
                  <w:sz w:val="18"/>
                  <w:szCs w:val="18"/>
                  <w:color w:val="0000EE"/>
                </w:rPr>
                <w:t>2020</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2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71">
              <w:r>
                <w:rPr>
                  <w:rFonts w:ascii="Times New Roman" w:cs="Times New Roman" w:eastAsia="Times New Roman" w:hAnsi="Times New Roman"/>
                  <w:sz w:val="18"/>
                  <w:szCs w:val="18"/>
                  <w:color w:val="0000EE"/>
                  <w:w w:val="99"/>
                </w:rPr>
                <w:t>Statements of Cash Flows for the years ended December 31, 2018 and 2019, and (unaudited) for the</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271">
              <w:r>
                <w:rPr>
                  <w:rFonts w:ascii="Times New Roman" w:cs="Times New Roman" w:eastAsia="Times New Roman" w:hAnsi="Times New Roman"/>
                  <w:sz w:val="18"/>
                  <w:szCs w:val="18"/>
                  <w:color w:val="0000EE"/>
                </w:rPr>
                <w:t>nine months ended September 30, 2019 and 2020</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72">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F-37</w:t>
            </w:r>
          </w:p>
        </w:tc>
      </w:tr>
      <w:tr>
        <w:trPr>
          <w:trHeight w:val="43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35" w:name="page236"/>
    <w:bookmarkEnd w:id="23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UNAUDITED CONDENSED BALANCE SHEET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1,437,928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169,570</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held in Trust Account</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120,751,489</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40,489</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461,999</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49,914</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4,226,250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11,258,033 shares subject to possible redemption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$10.00 per share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112,580,330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4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1,258,467 shares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(excluding 11,258,033 shares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5,500,488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(500,911)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June 25,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452,486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FOR THE PERIOD FROM JUNE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2020 (INCEPTION) THROUGH SEPTEMBER 30, 2020</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9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25,</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 (inception)</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 $</w:t>
            </w: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B</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to</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Sponsor</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30,</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24,698</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shares in initial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public offering,</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120,748,792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private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 shares to</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Sponsor in private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4,414,956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subject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possible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redemption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(11,258,033)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(112,579,204)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(112,580,330)</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September</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1,258,467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5,500,488</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(500,911)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SEPTEMBER 30,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(169,570)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39,489</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391,999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7"/>
        </w:trPr>
        <w:tc>
          <w:tcPr>
            <w:tcW w:w="6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20" w:type="dxa"/>
            <w:vAlign w:val="bottom"/>
          </w:tcPr>
          <w:p>
            <w:pPr>
              <w:spacing w:after="0"/>
              <w:rPr>
                <w:sz w:val="22"/>
                <w:szCs w:val="22"/>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(120,750,000)</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(120,750,000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right="1732"/>
        <w:spacing w:after="0" w:line="328" w:lineRule="auto"/>
        <w:rPr>
          <w:sz w:val="20"/>
          <w:szCs w:val="20"/>
          <w:color w:val="auto"/>
        </w:rPr>
      </w:pPr>
      <w:r>
        <w:rPr>
          <w:rFonts w:ascii="Times New Roman" w:cs="Times New Roman" w:eastAsia="Times New Roman" w:hAnsi="Times New Roman"/>
          <w:sz w:val="18"/>
          <w:szCs w:val="18"/>
          <w:color w:val="auto"/>
        </w:rPr>
        <w:t>Proceeds from issuance of Class B common stock to Sponsor Proceeds from note payable to related party 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-363855</wp:posOffset>
            </wp:positionV>
            <wp:extent cx="514350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-3810</wp:posOffset>
            </wp:positionV>
            <wp:extent cx="514350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120,750,000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4,415,000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(2,811,504)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122,378,496</w:t>
      </w:r>
    </w:p>
    <w:p>
      <w:pPr>
        <w:spacing w:after="0" w:line="360"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1,437,928</w:t>
      </w:r>
    </w:p>
    <w:p>
      <w:pPr>
        <w:spacing w:after="0" w:line="374"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88" w:hanging="388"/>
        <w:spacing w:after="0"/>
        <w:tabs>
          <w:tab w:leader="none" w:pos="388"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70,000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4,226,250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value of Class A common stock subject to possible redemption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113,053,770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value of Class A common stock subject to possible redemption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(473,440)</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9" w:name="page240"/>
    <w:bookmarkEnd w:id="2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21"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1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0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ind w:left="460" w:right="479" w:hanging="6"/>
        <w:spacing w:after="0" w:line="260" w:lineRule="auto"/>
        <w:tabs>
          <w:tab w:leader="none" w:pos="74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3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 See Note 7.</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95" w:lineRule="exact"/>
        <w:rPr>
          <w:sz w:val="20"/>
          <w:szCs w:val="20"/>
          <w:color w:val="auto"/>
        </w:rPr>
      </w:pPr>
    </w:p>
    <w:p>
      <w:pPr>
        <w:ind w:left="1320" w:right="479" w:hanging="434"/>
        <w:spacing w:after="0" w:line="282" w:lineRule="auto"/>
        <w:tabs>
          <w:tab w:leader="none" w:pos="15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1320" w:right="459" w:hanging="434"/>
        <w:spacing w:after="0" w:line="266" w:lineRule="auto"/>
        <w:tabs>
          <w:tab w:leader="none" w:pos="135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Private Placement Shares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8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9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79"/>
        <w:spacing w:after="0" w:line="277" w:lineRule="auto"/>
        <w:rPr>
          <w:sz w:val="20"/>
          <w:szCs w:val="20"/>
          <w:color w:val="auto"/>
        </w:rPr>
      </w:pPr>
      <w:r>
        <w:rPr>
          <w:rFonts w:ascii="Times New Roman" w:cs="Times New Roman" w:eastAsia="Times New Roman" w:hAnsi="Times New Roman"/>
          <w:sz w:val="17"/>
          <w:szCs w:val="17"/>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September 30, 2020, there were 12,516,500 Class A common stock outstanding, including 11,258,033 Class A common stock subject to possible conversion were classified as temporary equity in the accompanying balance sheet.</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September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 Development Class A Common Stock; minus (b) a number of shares of FS Development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4" w:lineRule="exact"/>
        <w:rPr>
          <w:sz w:val="20"/>
          <w:szCs w:val="20"/>
          <w:color w:val="auto"/>
        </w:rPr>
      </w:pPr>
    </w:p>
    <w:p>
      <w:pPr>
        <w:jc w:val="both"/>
        <w:ind w:left="460" w:right="459" w:hanging="6"/>
        <w:spacing w:after="0" w:line="250" w:lineRule="auto"/>
        <w:tabs>
          <w:tab w:leader="none" w:pos="73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redeemed the Class A of common stock of the Company in an amount that would cause the Company to have net tangible assets of less than $5,000,001 upon consummation of the Merger; and</w:t>
      </w:r>
    </w:p>
    <w:p>
      <w:pPr>
        <w:jc w:val="both"/>
        <w:ind w:left="460" w:right="479" w:hanging="6"/>
        <w:spacing w:after="0" w:line="252" w:lineRule="auto"/>
        <w:tabs>
          <w:tab w:leader="none" w:pos="76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the combined entity be approved by the stockholders of the Company.</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the execution of various additional agreements and instruments, on or before the Closing, including, among others, the following:</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Parent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Company (the “Parent Supporting 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Gemini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certain Gemini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“Gemini Supporting 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w:t>
      </w:r>
    </w:p>
    <w:p>
      <w:pPr>
        <w:spacing w:after="0" w:line="1" w:lineRule="exact"/>
        <w:rPr>
          <w:sz w:val="20"/>
          <w:szCs w:val="20"/>
          <w:color w:val="auto"/>
        </w:rPr>
      </w:pPr>
    </w:p>
    <w:p>
      <w:pPr>
        <w:jc w:val="both"/>
        <w:ind w:left="460" w:right="459" w:hanging="6"/>
        <w:spacing w:after="0" w:line="251" w:lineRule="auto"/>
        <w:tabs>
          <w:tab w:leader="none" w:pos="80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2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Merger, the Company entered into subscription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investors, including the Sponsor (the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holders of the Founder Shares, Private Placement Shares and certain other stockholders will enter into a registration rights agreement with the Company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the Company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(5th) anniversary of the date of the voting agreement, subject to certain terms and holding requirements set forth therein.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above description of the Proposed Business Combination should be read in conjunction with the disclosures contained in the Form S-4 filed by the Company with the SEC on November 2, 2020.</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11,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proposed public offering</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53,000</w:t>
            </w: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78,000</w:t>
            </w:r>
          </w:p>
        </w:tc>
        <w:tc>
          <w:tcPr>
            <w:tcW w:w="140" w:type="dxa"/>
            <w:vAlign w:val="bottom"/>
            <w:tcBorders>
              <w:bottom w:val="single" w:sz="8" w:color="CCEEFF"/>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none issued and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r>
              <w:rPr>
                <w:rFonts w:ascii="Times New Roman" w:cs="Times New Roman" w:eastAsia="Times New Roman" w:hAnsi="Times New Roman"/>
                <w:sz w:val="20"/>
                <w:szCs w:val="20"/>
                <w:color w:val="auto"/>
                <w:vertAlign w:val="superscript"/>
              </w:rPr>
              <w:t>(1)(2)</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24,698</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r>
              <w:rPr>
                <w:rFonts w:ascii="Times New Roman" w:cs="Times New Roman" w:eastAsia="Times New Roman" w:hAnsi="Times New Roman"/>
                <w:sz w:val="20"/>
                <w:szCs w:val="20"/>
                <w:b w:val="1"/>
                <w:bCs w:val="1"/>
                <w:color w:val="auto"/>
                <w:vertAlign w:val="superscript"/>
              </w:rPr>
              <w:t>(1)(2)</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86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958"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excludes an aggregate of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June 30, 2020</w:t>
      </w:r>
    </w:p>
    <w:p>
      <w:pPr>
        <w:spacing w:after="0" w:line="209" w:lineRule="exact"/>
        <w:rPr>
          <w:sz w:val="20"/>
          <w:szCs w:val="20"/>
          <w:color w:val="auto"/>
        </w:rPr>
      </w:pPr>
    </w:p>
    <w:tbl>
      <w:tblPr>
        <w:tblLayout w:type="fixed"/>
        <w:tblInd w:w="2520" w:type="dxa"/>
        <w:tblCellMar>
          <w:top w:w="0" w:type="dxa"/>
          <w:left w:w="0" w:type="dxa"/>
          <w:bottom w:w="0" w:type="dxa"/>
          <w:right w:w="0" w:type="dxa"/>
        </w:tblCellMar>
      </w:tblPr>
      <w:tr>
        <w:trPr>
          <w:trHeight w:val="212"/>
        </w:trPr>
        <w:tc>
          <w:tcPr>
            <w:tcW w:w="304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5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90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9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   Amount   Capital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Stockholder’s</w:t>
      </w:r>
    </w:p>
    <w:p>
      <w:pPr>
        <w:ind w:left="22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15" w:lineRule="exact"/>
        <w:rPr>
          <w:sz w:val="20"/>
          <w:szCs w:val="20"/>
          <w:color w:val="auto"/>
        </w:rPr>
      </w:pPr>
    </w:p>
    <w:p>
      <w:pPr>
        <w:sectPr>
          <w:pgSz w:w="11900" w:h="16838" w:orient="portrait"/>
          <w:cols w:equalWidth="0" w:num="2">
            <w:col w:w="7440" w:space="180"/>
            <w:col w:w="139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194"/>
        </w:trPr>
        <w:tc>
          <w:tcPr>
            <w:tcW w:w="20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June 25, 2020</w:t>
            </w: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Sponsor </w:t>
            </w:r>
            <w:r>
              <w:rPr>
                <w:rFonts w:ascii="Times New Roman" w:cs="Times New Roman" w:eastAsia="Times New Roman" w:hAnsi="Times New Roman"/>
                <w:sz w:val="20"/>
                <w:szCs w:val="20"/>
                <w:color w:val="auto"/>
                <w:vertAlign w:val="superscript"/>
              </w:rPr>
              <w:t>(1)(2)</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3,018,750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vMerge w:val="continue"/>
          </w:tcPr>
          <w:p>
            <w:pPr>
              <w:spacing w:after="0"/>
              <w:rPr>
                <w:sz w:val="21"/>
                <w:szCs w:val="21"/>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24,698</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6" w:name="page257"/>
    <w:bookmarkEnd w:id="256"/>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Proceeds from issuance of Class B common stock to Sponsor</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6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608" w:hanging="608"/>
        <w:spacing w:after="0"/>
        <w:tabs>
          <w:tab w:leader="none" w:pos="608"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640"/>
        <w:spacing w:after="0"/>
        <w:tabs>
          <w:tab w:leader="none" w:pos="7300" w:val="left"/>
          <w:tab w:leader="none" w:pos="7900" w:val="left"/>
        </w:tabs>
        <w:rPr>
          <w:sz w:val="20"/>
          <w:szCs w:val="20"/>
          <w:color w:val="auto"/>
        </w:rPr>
      </w:pPr>
      <w:r>
        <w:rPr>
          <w:rFonts w:ascii="Times New Roman" w:cs="Times New Roman" w:eastAsia="Times New Roman" w:hAnsi="Times New Roman"/>
          <w:sz w:val="18"/>
          <w:szCs w:val="18"/>
          <w:color w:val="auto"/>
        </w:rPr>
        <w:t>Deferred offering costs included in accrued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7" w:name="page258"/>
    <w:bookmarkEnd w:id="2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jc w:val="both"/>
        <w:ind w:left="460" w:right="459" w:hanging="6"/>
        <w:spacing w:after="0" w:line="251" w:lineRule="auto"/>
        <w:tabs>
          <w:tab w:leader="none" w:pos="74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9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Public Offering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10,500,000 shares of Class A Common stock at a price of $10.00 per share.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10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June 30, 2020, there were no shares of Class A common stock issued or outstanding.</w:t>
      </w:r>
    </w:p>
    <w:p>
      <w:pPr>
        <w:spacing w:after="0" w:line="10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June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Subsequent to June 30, 2020, the Company received $200,000 in loan proceeds under the Note.</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Gemini Therapeutics, Inc.</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1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October 30,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4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20,555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21,608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3,797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 and discount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9019"/>
          </w:cols>
          <w:pgMar w:left="1440" w:top="270" w:right="1440" w:bottom="353" w:gutter="0" w:footer="0" w:header="0"/>
        </w:sectPr>
      </w:pPr>
    </w:p>
    <w:p>
      <w:pPr>
        <w:ind w:left="460"/>
        <w:spacing w:after="0"/>
        <w:rPr>
          <w:sz w:val="20"/>
          <w:szCs w:val="20"/>
          <w:color w:val="auto"/>
        </w:rPr>
      </w:pPr>
      <w:r>
        <w:rPr>
          <w:rFonts w:ascii="Times New Roman" w:cs="Times New Roman" w:eastAsia="Times New Roman" w:hAnsi="Times New Roman"/>
          <w:sz w:val="16"/>
          <w:szCs w:val="16"/>
          <w:color w:val="auto"/>
        </w:rPr>
        <w:t>Convertible Preferred Stock:</w:t>
      </w:r>
    </w:p>
    <w:p>
      <w:pPr>
        <w:spacing w:after="0" w:line="59" w:lineRule="exact"/>
        <w:rPr>
          <w:sz w:val="20"/>
          <w:szCs w:val="20"/>
          <w:color w:val="auto"/>
        </w:rPr>
      </w:pPr>
    </w:p>
    <w:p>
      <w:pPr>
        <w:ind w:left="640" w:hanging="179"/>
        <w:spacing w:after="0" w:line="275" w:lineRule="auto"/>
        <w:rPr>
          <w:sz w:val="20"/>
          <w:szCs w:val="20"/>
          <w:color w:val="auto"/>
        </w:rPr>
      </w:pPr>
      <w:r>
        <w:rPr>
          <w:rFonts w:ascii="Times New Roman" w:cs="Times New Roman" w:eastAsia="Times New Roman" w:hAnsi="Times New Roman"/>
          <w:sz w:val="16"/>
          <w:szCs w:val="16"/>
          <w:color w:val="auto"/>
        </w:rPr>
        <w:t>Series A convertible preferred stock, $0.001 par value; 39,722,088 shares authorized at December 31, 2018 and 2019, and at September 30, 2020 (unaudited); 39,722,088 shares issued and outstanding at December 31, 2018 and 2019, and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-525780</wp:posOffset>
            </wp:positionV>
            <wp:extent cx="5143500" cy="5397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539750"/>
                    </a:xfrm>
                    <a:prstGeom prst="rect">
                      <a:avLst/>
                    </a:prstGeom>
                    <a:noFill/>
                  </pic:spPr>
                </pic:pic>
              </a:graphicData>
            </a:graphic>
          </wp:anchor>
        </w:drawing>
      </w:r>
    </w:p>
    <w:p>
      <w:pPr>
        <w:ind w:left="640" w:right="40" w:hanging="179"/>
        <w:spacing w:after="0" w:line="272" w:lineRule="auto"/>
        <w:rPr>
          <w:sz w:val="20"/>
          <w:szCs w:val="20"/>
          <w:color w:val="auto"/>
        </w:rPr>
      </w:pPr>
      <w:r>
        <w:rPr>
          <w:rFonts w:ascii="Times New Roman" w:cs="Times New Roman" w:eastAsia="Times New Roman" w:hAnsi="Times New Roman"/>
          <w:sz w:val="16"/>
          <w:szCs w:val="16"/>
          <w:color w:val="auto"/>
        </w:rPr>
        <w:t>Series B convertible preferred stock, $0.001 par value; zero and 37,001,401 shares authorized at December 31, 2018 and 2019, and 37,001,401 shares authorized at September 30, 2020 (unaudited); zero and 9,916,375 shares issued and outstanding at December 31, 2018 and 2019, and 24,790,938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wp:posOffset>
            </wp:positionV>
            <wp:extent cx="514350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Convertible Preferred Stock</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Stockholders’ Equity (Deficit):</w:t>
      </w:r>
    </w:p>
    <w:p>
      <w:pPr>
        <w:spacing w:after="0" w:line="59" w:lineRule="exact"/>
        <w:rPr>
          <w:sz w:val="20"/>
          <w:szCs w:val="20"/>
          <w:color w:val="auto"/>
        </w:rPr>
      </w:pPr>
    </w:p>
    <w:p>
      <w:pPr>
        <w:ind w:left="640" w:right="240" w:hanging="179"/>
        <w:spacing w:after="0" w:line="272" w:lineRule="auto"/>
        <w:rPr>
          <w:sz w:val="20"/>
          <w:szCs w:val="20"/>
          <w:color w:val="auto"/>
        </w:rPr>
      </w:pPr>
      <w:r>
        <w:rPr>
          <w:rFonts w:ascii="Times New Roman" w:cs="Times New Roman" w:eastAsia="Times New Roman" w:hAnsi="Times New Roman"/>
          <w:sz w:val="16"/>
          <w:szCs w:val="16"/>
          <w:color w:val="auto"/>
        </w:rPr>
        <w:t>Common stock, $0.001 par value; 55,000,000 and 95,000,000 shares authorized at December 31, 2018 and 2019, and 95,000,000 shares authorized at September 30, 2020 (unaudited); 4,968,155 and 5,313,766 shares issued and outstanding at December 31, 2018 and 2019 and 5,629,130 shares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-652780</wp:posOffset>
            </wp:positionV>
            <wp:extent cx="5143500" cy="6686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668655"/>
                    </a:xfrm>
                    <a:prstGeom prst="rect">
                      <a:avLst/>
                    </a:prstGeom>
                    <a:noFill/>
                  </pic:spPr>
                </pic:pic>
              </a:graphicData>
            </a:graphic>
          </wp:anchor>
        </w:drawing>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tabs>
          <w:tab w:leader="none" w:pos="1420" w:val="left"/>
          <w:tab w:leader="none" w:pos="2620" w:val="left"/>
        </w:tabs>
        <w:rPr>
          <w:sz w:val="20"/>
          <w:szCs w:val="20"/>
          <w:color w:val="auto"/>
        </w:rPr>
      </w:pP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13,252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47,113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60,365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80,449</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r>
      <w:tr>
        <w:trPr>
          <w:trHeight w:val="284"/>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Pr>
          <w:p>
            <w:pPr>
              <w:spacing w:after="0"/>
              <w:rPr>
                <w:sz w:val="24"/>
                <w:szCs w:val="24"/>
                <w:color w:val="auto"/>
              </w:rPr>
            </w:pPr>
          </w:p>
        </w:tc>
      </w:tr>
      <w:tr>
        <w:trPr>
          <w:trHeight w:val="297"/>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(30,584)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(71,984)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1"/>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(29,843)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(70,797)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(88,727)</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220" w:space="100"/>
            <w:col w:w="3699"/>
          </w:cols>
          <w:pgMar w:left="1440" w:top="270" w:right="1440" w:bottom="353" w:gutter="0" w:footer="0" w:header="0"/>
          <w:type w:val="continuous"/>
        </w:sectPr>
      </w:pP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4"/>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(Deficit)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21,608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6,144</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12065</wp:posOffset>
            </wp:positionV>
            <wp:extent cx="195453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54530" cy="2603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267" w:name="page268"/>
    <w:bookmarkEnd w:id="2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4,811,641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5,133,773</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120" w:type="dxa"/>
            <w:vAlign w:val="bottom"/>
          </w:tcPr>
          <w:p>
            <w:pPr>
              <w:spacing w:after="0"/>
              <w:rPr>
                <w:sz w:val="3"/>
                <w:szCs w:val="3"/>
                <w:color w:val="auto"/>
              </w:rPr>
            </w:pPr>
          </w:p>
        </w:tc>
        <w:tc>
          <w:tcPr>
            <w:tcW w:w="17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2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620" w:type="dxa"/>
            <w:vAlign w:val="bottom"/>
            <w:gridSpan w:val="10"/>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Preferred Stock Convertible Preferred Stock</w:t>
            </w:r>
          </w:p>
        </w:tc>
        <w:tc>
          <w:tcPr>
            <w:tcW w:w="20" w:type="dxa"/>
            <w:vAlign w:val="bottom"/>
            <w:shd w:val="clear" w:color="auto" w:fill="000000"/>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86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5"/>
                <w:szCs w:val="5"/>
                <w:color w:val="auto"/>
              </w:rPr>
            </w:pPr>
          </w:p>
        </w:tc>
        <w:tc>
          <w:tcPr>
            <w:tcW w:w="96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120" w:type="dxa"/>
            <w:vAlign w:val="bottom"/>
          </w:tcPr>
          <w:p>
            <w:pPr>
              <w:spacing w:after="0"/>
              <w:rPr>
                <w:sz w:val="5"/>
                <w:szCs w:val="5"/>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5"/>
                <w:szCs w:val="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Amount in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14,091,837</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4,672,144</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(10,417)</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(10,048)</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A</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25,630,251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263,974</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(20,167)</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80,118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265,493</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(41,400)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(41,400)</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9,916,375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13,252</w:t>
            </w:r>
          </w:p>
        </w:tc>
        <w:tc>
          <w:tcPr>
            <w:tcW w:w="20" w:type="dxa"/>
            <w:vAlign w:val="bottom"/>
            <w:shd w:val="clear" w:color="auto" w:fill="000000"/>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5,313,766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(71,984)</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(70,797)</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12,159</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76,680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269" w:name="page270"/>
    <w:bookmarkEnd w:id="269"/>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199,118</w:t>
            </w: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(31,733)</w:t>
            </w: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9,102,345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12,159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5,243,953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(62,317)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(61,258)</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47,113</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5,313,766</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(71,984)</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(70,797)</w:t>
            </w: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Beneficial</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feature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relating to</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(Note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116,239</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199,125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83"/>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(26,522)</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(26,522)</w:t>
            </w:r>
          </w:p>
        </w:tc>
      </w:tr>
      <w:tr>
        <w:trPr>
          <w:trHeight w:val="167"/>
        </w:trPr>
        <w:tc>
          <w:tcPr>
            <w:tcW w:w="11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24,790,938</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33,336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5,629,130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9,773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(98,506)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(88,727)</w:t>
            </w:r>
          </w:p>
        </w:tc>
      </w:tr>
      <w:tr>
        <w:trPr>
          <w:trHeight w:val="20"/>
        </w:trPr>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70" w:name="page271"/>
    <w:bookmarkEnd w:id="2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9"/>
              </w:rPr>
              <w:t>(unaudited)</w:t>
            </w: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(20,167)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(41,400)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489</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2,998</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(38,530)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(27,175)</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(23,855)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A convertible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B convertible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12,159</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term loan, net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7,446</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Increase (decrease) in cash, cash equivalents and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(15,542)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(7,750)</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18,851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3,309</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warrants in connection with term loan facility</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on convertible notes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10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had $3.0 million and $13.2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$26.5 million for periods ended December 31, 2019 and September 30, 2020 (unaudited), respectively. In addition, as of December 31, 2019 and September 30, 2020 (unaudited), the Company has an accumulated deficit of $72.0 million and $98.5 million, respectively. The Company expects to incur substantial operating losses and negative cash flows from operations for the foreseeable future. As of October 30, 2020, the Company expected its existing cash and cash equivalents would not be sufficient to fund its operating expenses and capital expenditure requirements for at least the next year following the date that the financial statements were issued.</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December 7, 2020 (unaudited), the issuance date of the interim financial statements for the nine months ended September 30, 2020, the Company expects its existing cash and cash equivalents will not be sufficient to fund its operating expenses and capital expenditure requirements for at least the next year following the date that the interim financial statements are issued.</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seeking to complete a merger with FS Development Corp. (“FS Development”), which would result in FS Development acquiring 100% of the Company’s issued and outstanding securities. Together with FS Development’s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 programs and any future commercialization efforts. Accordingly, substantial doubt is deemed to exist about the Company’s ability to continue as a going concern within one year after the date these financial statements are issued.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12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balance sheet as of September 30, 2020, the statements of operations, of convertible preferred stock and stockholders’ deficit and of cash flows for the nine months ended September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nine months 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Restricted cash amounted to $323 thousand at December 31, 2018 and 2019, and September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balance sheets to the Company’s statements of cash flows is as follows:</w:t>
      </w:r>
    </w:p>
    <w:p>
      <w:pPr>
        <w:sectPr>
          <w:pgSz w:w="11900" w:h="16838" w:orient="portrait"/>
          <w:cols w:equalWidth="0" w:num="1">
            <w:col w:w="9019"/>
          </w:cols>
          <w:pgMar w:left="1440" w:top="270" w:right="1440" w:bottom="1440" w:gutter="0" w:footer="0" w:header="0"/>
        </w:sectPr>
      </w:pPr>
    </w:p>
    <w:p>
      <w:pPr>
        <w:spacing w:after="0" w:line="178"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3" w:lineRule="exact"/>
        <w:rPr>
          <w:sz w:val="20"/>
          <w:szCs w:val="20"/>
          <w:color w:val="auto"/>
        </w:rPr>
      </w:pPr>
    </w:p>
    <w:p>
      <w:pPr>
        <w:ind w:left="474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080" w:space="700"/>
            <w:col w:w="2239"/>
          </w:cols>
          <w:pgMar w:left="1440" w:top="270" w:right="1440" w:bottom="1440" w:gutter="0" w:footer="0" w:header="0"/>
          <w:type w:val="continuous"/>
        </w:sectPr>
      </w:pPr>
    </w:p>
    <w:p>
      <w:pPr>
        <w:ind w:left="71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18,528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4" w:name="page275"/>
    <w:bookmarkEnd w:id="2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basis over the estimated useful lives of the assets. The estimated useful lives are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capitalized certain legal, professional accounting and other third-party fees that are directly associated with the in-process merger with FS Development as deferred offering costs until such merger is consummated. After consummation of the merger, these costs will be recorded as a reduction to additional paid-in capital generated as a result of the merger. Should the merger be abandoned, the deferred offering costs will be expensed immediately as a charge to operating expenses in the statement of operations. The Company had no deferred offering costs as of December 31, 2018 and 2019. As of September 30, 2020 (unaudited), the Company recorded deferred offering costs of $1.3 million.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September 30, 2020 (unaudited) (see Note 6) approximated fair value based on interest rates currently available to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of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contract costs and accruals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Company’s common stock valuations were prepared using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nine months ended September 30, 2019 and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10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Employee Share-Based Payment Accounting </w:t>
      </w:r>
      <w:r>
        <w:rPr>
          <w:rFonts w:ascii="Times New Roman" w:cs="Times New Roman" w:eastAsia="Times New Roman" w:hAnsi="Times New Roman"/>
          <w:sz w:val="18"/>
          <w:szCs w:val="18"/>
          <w:color w:val="auto"/>
        </w:rPr>
        <w:t>(“ASU 2016-09”). ASU 2016-09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provisions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early adopted Accounting Standards Update 2018-07 (“ASU 2018-07”) </w:t>
      </w:r>
      <w:r>
        <w:rPr>
          <w:rFonts w:ascii="Times New Roman" w:cs="Times New Roman" w:eastAsia="Times New Roman" w:hAnsi="Times New Roman"/>
          <w:sz w:val="18"/>
          <w:szCs w:val="18"/>
          <w:i w:val="1"/>
          <w:iCs w:val="1"/>
          <w:color w:val="auto"/>
        </w:rPr>
        <w:t xml:space="preserve">Compensation — Stock Compensation: Improvements to Non-Employee Share-Based Compensation Accounting </w:t>
      </w:r>
      <w:r>
        <w:rPr>
          <w:rFonts w:ascii="Times New Roman" w:cs="Times New Roman" w:eastAsia="Times New Roman" w:hAnsi="Times New Roman"/>
          <w:sz w:val="18"/>
          <w:szCs w:val="18"/>
          <w:color w:val="auto"/>
        </w:rPr>
        <w:t>as of the date of January 1, 2017. ASU 2018-07 generally allows the Company to treat stock-based 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10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Statement of Cash Flows: </w:t>
      </w:r>
      <w:r>
        <w:rPr>
          <w:rFonts w:ascii="Times New Roman" w:cs="Times New Roman" w:eastAsia="Times New Roman" w:hAnsi="Times New Roman"/>
          <w:sz w:val="18"/>
          <w:szCs w:val="18"/>
          <w:i w:val="1"/>
          <w:iCs w:val="1"/>
          <w:color w:val="auto"/>
        </w:rPr>
        <w:t>Classification of Certain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Receipts and Cash Payments </w:t>
      </w:r>
      <w:r>
        <w:rPr>
          <w:rFonts w:ascii="Times New Roman" w:cs="Times New Roman" w:eastAsia="Times New Roman" w:hAnsi="Times New Roman"/>
          <w:sz w:val="18"/>
          <w:szCs w:val="18"/>
          <w:color w:val="auto"/>
        </w:rPr>
        <w:t>(“ASU 2016-15”), to address diversity in practice in how certain cash receipts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1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1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Collaborative Arrangements (Topic 808):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Interaction between Topic 808 and Topic 606</w:t>
      </w:r>
      <w:r>
        <w:rPr>
          <w:rFonts w:ascii="Times New Roman" w:cs="Times New Roman" w:eastAsia="Times New Roman" w:hAnsi="Times New Roman"/>
          <w:sz w:val="18"/>
          <w:szCs w:val="18"/>
          <w:color w:val="auto"/>
        </w:rPr>
        <w:t>, (“ASU 2018-18”). The amendments in this update clarify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transactions between collaborative arrangement participants should be accounted for as revenue when the collaborative arrangement participant is a customer in the context of a unit of account and precludes recognizing as revenue consideration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(“ASU 2019-12”), which is intended to simplify the accounting for income taxes. ASU 2019-12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64" w:lineRule="exact"/>
        <w:rPr>
          <w:sz w:val="20"/>
          <w:szCs w:val="20"/>
          <w:color w:val="auto"/>
        </w:rPr>
      </w:pPr>
    </w:p>
    <w:p>
      <w:pPr>
        <w:ind w:left="460"/>
        <w:spacing w:after="0"/>
        <w:tabs>
          <w:tab w:leader="none" w:pos="4620" w:val="left"/>
          <w:tab w:leader="none" w:pos="5640" w:val="left"/>
          <w:tab w:leader="none" w:pos="6680" w:val="left"/>
          <w:tab w:leader="none" w:pos="7840" w:val="left"/>
        </w:tabs>
        <w:rPr>
          <w:sz w:val="20"/>
          <w:szCs w:val="20"/>
          <w:color w:val="auto"/>
        </w:rPr>
      </w:pPr>
      <w:r>
        <w:rPr>
          <w:rFonts w:ascii="Times New Roman" w:cs="Times New Roman" w:eastAsia="Times New Roman" w:hAnsi="Times New Roman"/>
          <w:sz w:val="16"/>
          <w:szCs w:val="16"/>
          <w:b w:val="1"/>
          <w:bCs w:val="1"/>
          <w:color w:val="auto"/>
        </w:rPr>
        <w:t>December 31, 2018</w:t>
      </w:r>
      <w:r>
        <w:rPr>
          <w:sz w:val="20"/>
          <w:szCs w:val="20"/>
          <w:color w:val="auto"/>
        </w:rPr>
        <w:tab/>
      </w: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similar securities, which represent a Level 1 measurement within the fair value hierarchy. During the years ended December 31, 2018 and 2019 and the nine months ended September 30, 2020 (unaudited), there were no transfers between Level 1, Level 2 and Level 3.</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value for the warrant liability balance is based on significant inputs not observable in the market, which represents a Level 3 measurement within the fair value hierarchy.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Warrants to purchase Series A Preferred Stock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nine months ended September 30, 2020 (unaudited). The fair value of the warrants was recorded as a liability on the date of issuance.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A Preferred Stock warrants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 (unaudited)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7"/>
                <w:szCs w:val="17"/>
                <w:color w:val="auto"/>
              </w:rPr>
            </w:pPr>
          </w:p>
        </w:tc>
        <w:tc>
          <w:tcPr>
            <w:tcW w:w="24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3"/>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13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instrument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 – $1.28</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 $1.24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 $1.41</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 0.64%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 – 10.0</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 10.0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 8.9</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73.4%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73.6%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 74.4%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0"/>
        </w:trPr>
        <w:tc>
          <w:tcPr>
            <w:tcW w:w="40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759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and for the nine months ended September 30, 2019 and 2020 (unaudited) was approximately $114 thousand, $290 thousand, $213 thousand and $235 thousand,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bookmarkStart w:id="282" w:name="page283"/>
    <w:bookmarkEnd w:id="2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9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1,133</w:t>
            </w:r>
          </w:p>
        </w:tc>
        <w:tc>
          <w:tcPr>
            <w:tcW w:w="7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2,123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2,004</w:t>
            </w:r>
          </w:p>
        </w:tc>
        <w:tc>
          <w:tcPr>
            <w:tcW w:w="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September 30, 2020 (unaudited), the Company had $10.0 million in principal outstanding under the Term Loan.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September 30, 2020 (unaudited), the Company accrued $104 thousand and $200 thousand, respectively, related to the end of term charge, which has been classified as other long-term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Term loan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scheduled principal payments for the Term Loan are as follows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w:t>
            </w: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Interest expense for the years ended December 31, 2018 and 2019 and for the nine months ended September 30, 2019 and 2020 (unaudited) was approximately $0 thousand, $350 thousand, $218 thousand and $407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Convertible promissory notes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the carrying value of the Notes is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(beneficial conversion feature)</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recognized interest expense of $1.9 million, of which $123 thousand is included in accrued expenses and other current liabilities in the accompanying balance sheet as of September 30, 2020 (unaudited).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9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26, 2019, the Company issued 9,916,375 shares of Series B Preferred Stock at a purchase price of $1.3513 per share for gross proceeds in the amount of $13.4 million.</w:t>
      </w:r>
    </w:p>
    <w:p>
      <w:pPr>
        <w:spacing w:after="0" w:line="8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balance sheet date, the Preferred Stock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9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39,722,088</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47,113</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369"/>
        </w:trPr>
        <w:tc>
          <w:tcPr>
            <w:tcW w:w="2900" w:type="dxa"/>
            <w:vAlign w:val="bottom"/>
          </w:tcPr>
          <w:p>
            <w:pPr>
              <w:spacing w:after="0"/>
              <w:rPr>
                <w:sz w:val="24"/>
                <w:szCs w:val="24"/>
                <w:color w:val="auto"/>
              </w:rPr>
            </w:pP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12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9,916,375</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49,638,463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60,365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349"/>
        </w:trPr>
        <w:tc>
          <w:tcPr>
            <w:tcW w:w="29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 (unaudited)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24,790,938</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33,336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64,513,026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80,449</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Series A original issue price and Series A conversion price were equal to $1.19 as of December 31, 2018 and 2019 and September 30, 2020 (unaudited). The Series B original issue price and Series B conversion price were equal to $1.3513 as of December 31, 2019 and September 30, 2020 (unaudited).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September 30, 2020 (unaudited), each share of Series A Preferred Stock was convertible into one share of common stock. As of December 31, 2019 and September 30, 2020 (unaudited), each share of Series B Preferred Stock was convertible into one share of common stock.</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w:t>
      </w:r>
    </w:p>
    <w:p>
      <w:pPr>
        <w:spacing w:after="0" w:line="12" w:lineRule="exact"/>
        <w:rPr>
          <w:sz w:val="20"/>
          <w:szCs w:val="20"/>
          <w:color w:val="auto"/>
        </w:rPr>
      </w:pPr>
    </w:p>
    <w:p>
      <w:pPr>
        <w:jc w:val="both"/>
        <w:ind w:left="460" w:right="459" w:hanging="6"/>
        <w:spacing w:after="0" w:line="255" w:lineRule="auto"/>
        <w:tabs>
          <w:tab w:leader="none" w:pos="73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fraction by an amount equal to the applicable Series A or Series B original issue price. No cash dividends were declared or paid during the years ended December 31, 2018 or 2019 or the nine months ended September 30, 2020 (unaudited).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w:t>
      </w:r>
    </w:p>
    <w:p>
      <w:pPr>
        <w:spacing w:after="0" w:line="5" w:lineRule="exact"/>
        <w:rPr>
          <w:sz w:val="20"/>
          <w:szCs w:val="20"/>
          <w:color w:val="auto"/>
        </w:rPr>
      </w:pPr>
    </w:p>
    <w:p>
      <w:pPr>
        <w:jc w:val="both"/>
        <w:ind w:left="460" w:right="459" w:hanging="6"/>
        <w:spacing w:after="0" w:line="255" w:lineRule="auto"/>
        <w:tabs>
          <w:tab w:leader="none" w:pos="72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1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does not provide redemption rights to the holders of Preferred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December 31, 2018, the Amended and Restated Certificate of Incorporation authorized the Company to issue 55,000,000 shares of common stock with a par value of $0.001. As of December 31, 2019 and September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had reserved 50,031,845 shares and 89,686,234 shares as of December 31, 2018 and 2019, respectively, and 89,370,870 shares as of September 30, 2020 (unaudited),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nine months ended September 30,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2017 Plan was 7,898,675 shares as of December 31, 2018. The total number of shares of common stock that may be issued under the 2017 Plan was 11,834,437 as of December 31, 2019 and September 30, 2020 (unaudited), of which 3,789,697 and 4,089,779 shares remained available for future grant as of December 31, 2019 and September 30, 2020 (unaudited), respectively.</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Shares that are expired, terminated, surrendered or canceled under the 2017 Plan without having been fully exercised will be available for future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valuation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non-employees was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040" w:type="dxa"/>
            <w:vAlign w:val="bottom"/>
          </w:tcPr>
          <w:p>
            <w:pPr>
              <w:spacing w:after="0"/>
              <w:rPr>
                <w:sz w:val="18"/>
                <w:szCs w:val="18"/>
                <w:color w:val="auto"/>
              </w:rPr>
            </w:pPr>
          </w:p>
        </w:tc>
        <w:tc>
          <w:tcPr>
            <w:tcW w:w="260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20" w:type="dxa"/>
            <w:vAlign w:val="bottom"/>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Pr>
          <w:p>
            <w:pPr>
              <w:spacing w:after="0"/>
              <w:rPr>
                <w:sz w:val="18"/>
                <w:szCs w:val="18"/>
                <w:color w:val="auto"/>
              </w:rPr>
            </w:pPr>
          </w:p>
        </w:tc>
      </w:tr>
      <w:tr>
        <w:trPr>
          <w:trHeight w:val="46"/>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720" w:type="dxa"/>
            <w:vAlign w:val="bottom"/>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left="635"/>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40" w:type="dxa"/>
            <w:vAlign w:val="bottom"/>
          </w:tcPr>
          <w:p>
            <w:pPr>
              <w:spacing w:after="0"/>
              <w:rPr>
                <w:sz w:val="20"/>
                <w:szCs w:val="20"/>
                <w:color w:val="auto"/>
              </w:rPr>
            </w:pPr>
          </w:p>
        </w:tc>
      </w:tr>
      <w:tr>
        <w:trPr>
          <w:trHeight w:val="46"/>
        </w:trPr>
        <w:tc>
          <w:tcPr>
            <w:tcW w:w="3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 – 3.0%</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 2.4%</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1.5% – 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 – 6.3 years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 – 6.25 years</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6.0 – 6.1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40"/>
        </w:trPr>
        <w:tc>
          <w:tcPr>
            <w:tcW w:w="3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 – 75%</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 – 77%</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74% – 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Through September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Pr>
          <w:p>
            <w:pPr>
              <w:spacing w:after="0"/>
              <w:rPr>
                <w:sz w:val="18"/>
                <w:szCs w:val="18"/>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6,782,422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4,802,164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(80,118)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(2,964,150)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8,540,318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0.55</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(1,482,282)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 (unaudited)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8,123,997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9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2,179,020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exercisable at September 30, 2020</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3,223,460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41"/>
        </w:trPr>
        <w:tc>
          <w:tcPr>
            <w:tcW w:w="44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2018 and 2019 and the nine months ended September 30, 2019 and 2020 (unaudited) was $4 thousand, $11 thousand, $10 thousand and $54 thousand, respectively.</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per share of options granted during the years ended December 31, 2018 and 2019 and the nine months ended September 30, 2019 and 2020 (unaudited) was $0.22, $0.30, $0.27 and $0.37, respectively.</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2018 and 2019 and the nine months ended September 30, 2019 and 2020 (unaudited) was $190 thousand, $352 thousand, $318 thousand and $379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since December 31, 2018:</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428,657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229,532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that vested during the years ended December 31, 2018 and 2019 and the nine months ended September 30, 2019 and 2020 (unaudited) was $108 thousand, $125 thousand, $94 thousand and $331 thousand,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restricted stock of $32 thousand, $30 thousand, $22 thousand and $22 thousand, during the years ended December 31, 2018 and 2019 and the nine months ended September 30, 2019 and 2020 (unaudited),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 awards</w:t>
      </w:r>
    </w:p>
    <w:p>
      <w:pPr>
        <w:spacing w:after="0" w:line="148" w:lineRule="exact"/>
        <w:rPr>
          <w:sz w:val="20"/>
          <w:szCs w:val="20"/>
          <w:color w:val="auto"/>
        </w:rPr>
      </w:pPr>
    </w:p>
    <w:p>
      <w:pPr>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granted options to purchase 200,000 shares of common stock to scientific founders that contain a combination of service- and performance-based vesting conditions based on (i) IND submission and</w:t>
      </w:r>
    </w:p>
    <w:p>
      <w:pPr>
        <w:jc w:val="both"/>
        <w:ind w:left="460" w:right="459" w:hanging="6"/>
        <w:spacing w:after="0" w:line="252" w:lineRule="auto"/>
        <w:tabs>
          <w:tab w:leader="none" w:pos="75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3"/>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60" w:type="dxa"/>
            <w:vAlign w:val="bottom"/>
          </w:tcPr>
          <w:p>
            <w:pPr>
              <w:spacing w:after="0"/>
              <w:rPr>
                <w:sz w:val="18"/>
                <w:szCs w:val="18"/>
                <w:color w:val="auto"/>
              </w:rPr>
            </w:pPr>
          </w:p>
        </w:tc>
        <w:tc>
          <w:tcPr>
            <w:tcW w:w="1800" w:type="dxa"/>
            <w:vAlign w:val="bottom"/>
            <w:gridSpan w:val="4"/>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6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3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4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and September 30, 2020 (unaudited), total unrecognized compensation cost related to the unvested stock-based awards was $1.6 million and $1.4 million, respectively, which is expected to be recognized over a weighted average period of 3.3 and 2.9 years,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statutory federal tax rate to that reflected in operations as of December 31, 2018 and 2019 are as follows:</w:t>
      </w:r>
    </w:p>
    <w:p>
      <w:pPr>
        <w:spacing w:after="0" w:line="1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41275</wp:posOffset>
            </wp:positionV>
            <wp:extent cx="15684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9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r>
      <w:tr>
        <w:trPr>
          <w:trHeight w:val="47"/>
        </w:trPr>
        <w:tc>
          <w:tcPr>
            <w:tcW w:w="356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0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8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2"/>
        </w:trPr>
        <w:tc>
          <w:tcPr>
            <w:tcW w:w="35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F-56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were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4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42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18,078</w:t>
            </w: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21,476</w:t>
            </w: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140" w:type="dxa"/>
            <w:vAlign w:val="bottom"/>
            <w:gridSpan w:val="2"/>
          </w:tcPr>
          <w:p>
            <w:pPr>
              <w:spacing w:after="0"/>
              <w:rPr>
                <w:sz w:val="19"/>
                <w:szCs w:val="19"/>
                <w:color w:val="auto"/>
              </w:rPr>
            </w:pPr>
          </w:p>
        </w:tc>
      </w:tr>
      <w:tr>
        <w:trPr>
          <w:trHeight w:val="36"/>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(21,467)</w:t>
            </w: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w:t>
      </w:r>
    </w:p>
    <w:p>
      <w:pPr>
        <w:spacing w:after="0" w:line="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determine if any such changes have occurred that could limit its ability to use the net operating loss and tax credit carryforwards.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r>
      <w:tr>
        <w:trPr>
          <w:trHeight w:val="212"/>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 September 30,</w:t>
            </w: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(31,733)</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(26,522)</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4,811,641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5,171,537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5,133,773</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5,507,900</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Net loss per share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8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20"/>
                <w:szCs w:val="20"/>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(as converted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(as converted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9,916,375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9,102,345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24,790,938</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694,150</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428,657</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229,532</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6,782,422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8,540,318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8,123,997</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shares of Series 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(as converted to common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0"/>
        </w:trPr>
        <w:tc>
          <w:tcPr>
            <w:tcW w:w="3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43"/>
        </w:trPr>
        <w:tc>
          <w:tcPr>
            <w:tcW w:w="35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47,198,660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58,677,438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56,999,572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72,936,555</w:t>
            </w:r>
          </w:p>
        </w:tc>
      </w:tr>
      <w:tr>
        <w:trPr>
          <w:trHeight w:val="20"/>
        </w:trPr>
        <w:tc>
          <w:tcPr>
            <w:tcW w:w="3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nine months ended September 30, 2019 and 2020 (unaudited) was $827 thousand, $964 thousand, $723 thousand and $899 thousand, respectively.</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Minimum annual rent payments under this lease for the remaining term, excluding operating expenses and taxes which are not fixed for future periods as of December 31, 2019,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September 30, 2020 (unaudited).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September 30, 2020 (unaudited).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December 31, 2018 and 2019, and September 30, 2020 (unaudited), the Company was not a party to any material legal matters or claims.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Benefit plans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nine months ended September 30, 2019 and 2020 (unaudited), the Company contributed $124 thousand, $96 thousand and $103 thousand to the plan,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For the nine months ended September 30, 2020, the costs incurred under this arrangement totaled $366 thousand, which was recorded as general and administrative expense in the accompanying statement of operations. As of September 30, 2020, amounts owed under this arrangement totaled $322 thousand and is included in accounts payable in the accompanying balance sheet.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through October 30, 2020, the issuance date of its financial statements as of December 31, 2019, to ensure that these financial statements include appropriate disclosure of events both recognized in the financial statements as of December 31, 2019,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 preferred stock financing</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January 21, 2020, the Company issued 14,874,563 shares of Series B preferred stock at a price of $1.3513 per share in exchange for net proceeds of $20.1 million.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Deferral of principal payments due under term loan facility</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 of FS Development and Gemini</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Gemini executed a definitive business combination agreement between it and FS Development Corp. As a result of the proposed business combination, FS Development Corp. will be renamed to Gemini Therapeutics, Inc., or Combined Entity, and Gemini will become a wholly owned subsidiary of Combined Entity. Upon the completion of the proposed business combination transaction, the shareholders of Gemini will exchange their interests in Gemini for shares of common stock of Combined Entity. In addition, Gemini’s existing equity incentive plan will be terminated; awards issued under Gemini’s existing equity incentive plan will be exchanged for awards issued under a new equity incentive plan to be adopted by Combined Entity. Lastly, immediately after the completion of the Business Combination, certain investors have agreed to subscribe for and purchase an aggregate of $95.1 million of common stock of Combined Entity. The combined company is expected to receive net proceeds of approximately $191.2 million at the closing of the transaction (assuming no redemptions are effected by shareholders of FS Development Corp.) and will continue to operate under the Gemini management team, led by chief executive officer Jason Meyenburg. The boards of directors of both FS Development Corp. and Gemini have approved the proposed transaction. Completion of the transaction, which is expected by the first quarter of 2021, is subject to approval of FS Development Corp.’s shareholders and the satisfaction or waiver of certain other customary closing conditions.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Subsequent events (unaudited)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Company’s interim financial statements as of September 30, 2020 and for the nine months then ended, it evaluated subsequent events through December 7, 2020, the date on which those interim financial statements were issued.</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December 2020, the Company granted under the 2017 Plan 306,222 stock options to an employee with an exercise price of $1.66 per share and a grant date fair value per share of $1.12. The stock option award vests in accordance with terms typically granted under the 2017 Plan. The Company will record equity-based compensation expense of $0.3 million related to the grant over the vesting term.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15,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Representative Services LLC, as the Stockholders’ Representative,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spacing w:after="0" w:line="25"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3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62"/>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Directors of Parent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Appraisal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[INTENTIONALLY OMITTED]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CONSIDERATION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Company Securities; Convertible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Fractional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Licenses and Permits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FDA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5715"/>
                    </a:xfrm>
                    <a:prstGeom prst="rect">
                      <a:avLst/>
                    </a:prstGeom>
                    <a:noFill/>
                  </pic:spPr>
                </pic:pic>
              </a:graphicData>
            </a:graphic>
          </wp:anchor>
        </w:drawing>
      </w:r>
    </w:p>
    <w:p>
      <w:pPr>
        <w:sectPr>
          <w:pgSz w:w="11900" w:h="16864" w:orient="portrait"/>
          <w:cols w:equalWidth="0" w:num="1">
            <w:col w:w="9019"/>
          </w:cols>
          <w:pgMar w:left="1440" w:top="270" w:right="1440" w:bottom="0" w:gutter="0" w:footer="0" w:header="0"/>
        </w:sectPr>
      </w:pPr>
    </w:p>
    <w:bookmarkStart w:id="299" w:name="page300"/>
    <w:bookmarkEnd w:id="2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6"/>
        </w:trPr>
        <w:tc>
          <w:tcPr>
            <w:tcW w:w="900" w:type="dxa"/>
            <w:vAlign w:val="bottom"/>
            <w:tcBorders>
              <w:bottom w:val="single" w:sz="8" w:color="CCEEFF"/>
            </w:tcBorders>
          </w:tcPr>
          <w:p>
            <w:pPr>
              <w:spacing w:after="0"/>
              <w:rPr>
                <w:sz w:val="4"/>
                <w:szCs w:val="4"/>
                <w:color w:val="auto"/>
              </w:rPr>
            </w:pPr>
          </w:p>
        </w:tc>
        <w:tc>
          <w:tcPr>
            <w:tcW w:w="6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Fund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the Business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Exclusivity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Parent Support Agreements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Compliance with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280G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shd w:val="clear" w:color="auto" w:fill="CCEEFF"/>
          </w:tcPr>
          <w:p>
            <w:pPr>
              <w:spacing w:after="0"/>
              <w:rPr>
                <w:sz w:val="3"/>
                <w:szCs w:val="3"/>
                <w:color w:val="auto"/>
              </w:rPr>
            </w:pPr>
          </w:p>
        </w:tc>
        <w:tc>
          <w:tcPr>
            <w:tcW w:w="6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300" w:name="page301"/>
    <w:bookmarkEnd w:id="3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940" w:type="dxa"/>
            <w:vAlign w:val="bottom"/>
            <w:tcBorders>
              <w:bottom w:val="single" w:sz="8" w:color="CCEEFF"/>
            </w:tcBorders>
          </w:tcPr>
          <w:p>
            <w:pPr>
              <w:spacing w:after="0"/>
              <w:rPr>
                <w:sz w:val="4"/>
                <w:szCs w:val="4"/>
                <w:color w:val="auto"/>
              </w:rPr>
            </w:pPr>
          </w:p>
        </w:tc>
        <w:tc>
          <w:tcPr>
            <w:tcW w:w="6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Nasdaq 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Incentive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 of Parent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of Escrow Shares by Escrow Participants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11.4</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11.5</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11.6</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 of Indemnification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11.7</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DISPUTE RESOLUTION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 Exemplary Damages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14.7</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14.10</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14.16</w:t>
            </w:r>
          </w:p>
        </w:tc>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41"/>
        </w:trPr>
        <w:tc>
          <w:tcPr>
            <w:tcW w:w="940" w:type="dxa"/>
            <w:vAlign w:val="bottom"/>
            <w:shd w:val="clear" w:color="auto" w:fill="CCEEFF"/>
          </w:tcPr>
          <w:p>
            <w:pPr>
              <w:spacing w:after="0"/>
              <w:rPr>
                <w:sz w:val="3"/>
                <w:szCs w:val="3"/>
                <w:color w:val="auto"/>
              </w:rPr>
            </w:pPr>
          </w:p>
        </w:tc>
        <w:tc>
          <w:tcPr>
            <w:tcW w:w="6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93" w:gutter="0" w:footer="0" w:header="0"/>
        </w:sectPr>
      </w:pPr>
    </w:p>
    <w:bookmarkStart w:id="301" w:name="page302"/>
    <w:bookmarkEnd w:id="301"/>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B</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I</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J</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K</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L</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Exhibit M</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Equity Incentive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FIRPTA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200" w:lineRule="exact"/>
        <w:rPr>
          <w:sz w:val="20"/>
          <w:szCs w:val="20"/>
          <w:color w:val="auto"/>
        </w:rPr>
      </w:pPr>
    </w:p>
    <w:p>
      <w:pPr>
        <w:sectPr>
          <w:pgSz w:w="11900" w:h="16838" w:orient="portrait"/>
          <w:cols w:equalWidth="0" w:num="2">
            <w:col w:w="1180" w:space="520"/>
            <w:col w:w="7319"/>
          </w:cols>
          <w:pgMar w:left="1440" w:top="270" w:right="1440"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Disclosure Schedules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 Disclosure Schedules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2" w:name="page303"/>
    <w:bookmarkEnd w:id="3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AGREEMENT AND PLAN OF MERGER,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The Company is in the business of therapeutic drug development and commercialization and related activities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C. The Company Securityholders are listed on </w:t>
      </w:r>
      <w:r>
        <w:rPr>
          <w:rFonts w:ascii="Times New Roman" w:cs="Times New Roman" w:eastAsia="Times New Roman" w:hAnsi="Times New Roman"/>
          <w:sz w:val="18"/>
          <w:szCs w:val="18"/>
          <w:u w:val="single" w:color="auto"/>
          <w:color w:val="auto"/>
        </w:rPr>
        <w:t>the Capitalization 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5.5(a)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and own 100% of the issued and outstanding Company Securities;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wholly-owned subsidiary of Parent and Parent shall change its name to “Gemini Therapeutics, Inc.”;</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Specified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xml:space="preserve">”)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each of the Specified Company Securityholders has agreed to vote in favor of this Agreement and the Merger;</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 The Subscription Agreements entered into by the Specified Company Securityholders represent an aggregate portion of the Private Placement equal to $15,600,000;</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w:t>
      </w:r>
    </w:p>
    <w:p>
      <w:pPr>
        <w:spacing w:after="0" w:line="1" w:lineRule="exact"/>
        <w:rPr>
          <w:sz w:val="20"/>
          <w:szCs w:val="20"/>
          <w:color w:val="auto"/>
        </w:rPr>
      </w:pPr>
    </w:p>
    <w:p>
      <w:pPr>
        <w:jc w:val="both"/>
        <w:ind w:left="460" w:right="459" w:hanging="6"/>
        <w:spacing w:after="0" w:line="253" w:lineRule="auto"/>
        <w:tabs>
          <w:tab w:leader="none" w:pos="7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or proceeding, including any audit, claim or assessment for Taxes or otherwise, by or before any Authority.</w:t>
      </w:r>
    </w:p>
    <w:p>
      <w:pPr>
        <w:spacing w:after="0" w:line="8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means the Voting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Registration Rights Agreement, the Escrow Agreement, the Company Support Agreements, the Subscription Agreements, the Parent Support Agreements, and the Lockup Agreement.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xml:space="preserve">” means an amount equal to (a)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Private Placement,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Unpaid Parent Liabilities.</w:t>
      </w:r>
    </w:p>
    <w:p>
      <w:pPr>
        <w:spacing w:after="0" w:line="1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Schedule 4.1(j)</w:t>
      </w:r>
      <w:r>
        <w:rPr>
          <w:rFonts w:ascii="Times New Roman" w:cs="Times New Roman" w:eastAsia="Times New Roman" w:hAnsi="Times New Roman"/>
          <w:sz w:val="18"/>
          <w:szCs w:val="18"/>
          <w:color w:val="auto"/>
        </w:rPr>
        <w:t>, as updated as contemplated herein.</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Conversion Ratio</w:t>
      </w:r>
      <w:r>
        <w:rPr>
          <w:rFonts w:ascii="Times New Roman" w:cs="Times New Roman" w:eastAsia="Times New Roman" w:hAnsi="Times New Roman"/>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 Shares</w:t>
      </w:r>
      <w:r>
        <w:rPr>
          <w:rFonts w:ascii="Times New Roman" w:cs="Times New Roman" w:eastAsia="Times New Roman" w:hAnsi="Times New Roman"/>
          <w:sz w:val="18"/>
          <w:szCs w:val="18"/>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Company Series A Preferred Stock and Company Series B Preferred Stock.</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$0.001 per share.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Equity Incentive Plans.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outstanding shares of Company Capital Stock that are unvested or subject to a risk of forfeiture or repurchase option in favor of the Company.</w:t>
      </w:r>
    </w:p>
    <w:p>
      <w:pPr>
        <w:spacing w:after="0" w:line="9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 Warrant.</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 immediately prior to the Effective Time, each of which is listed on the Capitalization Schedule delivered prior to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5" w:name="page306"/>
    <w:bookmarkEnd w:id="3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131"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8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72"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auto"/>
        </w:rPr>
        <w:t>Controlled Person</w:t>
      </w:r>
      <w:r>
        <w:rPr>
          <w:rFonts w:ascii="Times New Roman" w:cs="Times New Roman" w:eastAsia="Times New Roman" w:hAnsi="Times New Roman"/>
          <w:sz w:val="18"/>
          <w:szCs w:val="18"/>
          <w:color w:val="auto"/>
        </w:rPr>
        <w:t>”) shall be deemed Controlled by any other Person (the “</w:t>
      </w:r>
      <w:r>
        <w:rPr>
          <w:rFonts w:ascii="Times New Roman" w:cs="Times New Roman" w:eastAsia="Times New Roman" w:hAnsi="Times New Roman"/>
          <w:sz w:val="18"/>
          <w:szCs w:val="18"/>
          <w:u w:val="single" w:color="auto"/>
          <w:color w:val="auto"/>
        </w:rPr>
        <w:t>50% Owner</w:t>
      </w:r>
      <w:r>
        <w:rPr>
          <w:rFonts w:ascii="Times New Roman" w:cs="Times New Roman" w:eastAsia="Times New Roman" w:hAnsi="Times New Roman"/>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7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75"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means the Company’s 2015 Employee, Director and Consultant Stock Option Plan and the Company’s 2017 Stock Option and Grant Plan.</w:t>
      </w:r>
    </w:p>
    <w:p>
      <w:pPr>
        <w:spacing w:after="0" w:line="67"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3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8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w:t>
      </w:r>
      <w:r>
        <w:rPr>
          <w:rFonts w:ascii="Times New Roman" w:cs="Times New Roman" w:eastAsia="Times New Roman" w:hAnsi="Times New Roman"/>
          <w:sz w:val="18"/>
          <w:szCs w:val="18"/>
          <w:color w:val="auto"/>
        </w:rPr>
        <w:t>” means each Person who holds Company Common Stock or Company Preferred Stock, in each case, as of immediately prior to the Effective Time.</w:t>
      </w:r>
    </w:p>
    <w:p>
      <w:pPr>
        <w:spacing w:after="0" w:line="79" w:lineRule="exact"/>
        <w:rPr>
          <w:sz w:val="20"/>
          <w:szCs w:val="20"/>
          <w:color w:val="auto"/>
        </w:rPr>
      </w:pPr>
    </w:p>
    <w:p>
      <w:pPr>
        <w:jc w:val="both"/>
        <w:ind w:left="460" w:right="459" w:firstLine="86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 Company Securities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p>
    <w:p>
      <w:pPr>
        <w:ind w:left="460" w:right="479" w:hanging="6"/>
        <w:spacing w:after="0" w:line="260" w:lineRule="auto"/>
        <w:tabs>
          <w:tab w:leader="none" w:pos="72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Company Preferred Stock (on an as converted to Company Common Stock basis) that are issued and outstanding immediately prior to the Effective Time.</w:t>
      </w:r>
    </w:p>
    <w:p>
      <w:pPr>
        <w:spacing w:after="0" w:line="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Shares</w:t>
      </w:r>
      <w:r>
        <w:rPr>
          <w:rFonts w:ascii="Times New Roman" w:cs="Times New Roman" w:eastAsia="Times New Roman" w:hAnsi="Times New Roman"/>
          <w:sz w:val="18"/>
          <w:szCs w:val="18"/>
          <w:color w:val="auto"/>
        </w:rPr>
        <w:t>” means 2,150,000 Parent Class A Shares to be held in escrow for indemnification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purposes.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8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02"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13, 2020.</w:t>
      </w:r>
    </w:p>
    <w:p>
      <w:pPr>
        <w:spacing w:after="0" w:line="158"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w:t>
      </w:r>
    </w:p>
    <w:p>
      <w:pPr>
        <w:spacing w:after="0" w:line="5" w:lineRule="exact"/>
        <w:rPr>
          <w:sz w:val="20"/>
          <w:szCs w:val="20"/>
          <w:color w:val="auto"/>
        </w:rPr>
      </w:pPr>
    </w:p>
    <w:p>
      <w:pPr>
        <w:ind w:left="680" w:hanging="226"/>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leases required to be accounted for as capital leases under U.S. GAAP,</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of Jason Meyenburg and Gregg Beloff.</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Known by Parent</w:t>
      </w:r>
      <w:r>
        <w:rPr>
          <w:rFonts w:ascii="Times New Roman" w:cs="Times New Roman" w:eastAsia="Times New Roman" w:hAnsi="Times New Roman"/>
          <w:sz w:val="18"/>
          <w:szCs w:val="18"/>
          <w:color w:val="auto"/>
        </w:rPr>
        <w:t>” or similar terms (whether or not capitalized) means the actual knowledge of Jim Tananbaum and Dennis Ryan.</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together with all fixtures and improvements erected on the premises leased thereby.</w:t>
      </w:r>
    </w:p>
    <w:p>
      <w:pPr>
        <w:spacing w:after="0" w:line="9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each case substantially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Sections 10.2(b)</w:t>
      </w:r>
      <w:r>
        <w:rPr>
          <w:rFonts w:ascii="Times New Roman" w:cs="Times New Roman" w:eastAsia="Times New Roman" w:hAnsi="Times New Roman"/>
          <w:sz w:val="18"/>
          <w:szCs w:val="18"/>
          <w:color w:val="auto"/>
        </w:rPr>
        <w:t>); (h) 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rule or consent of or by 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Authority.</w:t>
      </w:r>
    </w:p>
    <w:p>
      <w:pPr>
        <w:spacing w:after="0" w:line="139"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Certificate of Incorporation</w:t>
      </w:r>
      <w:r>
        <w:rPr>
          <w:rFonts w:ascii="Times New Roman" w:cs="Times New Roman" w:eastAsia="Times New Roman" w:hAnsi="Times New Roman"/>
          <w:sz w:val="18"/>
          <w:szCs w:val="18"/>
          <w:color w:val="auto"/>
        </w:rPr>
        <w:t>” means the Amended and Restated Certificate of Incorporation of the Company, as filed on August 11, 2020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the Class A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the Class B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Parent Class A Shares and Parent Class B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95"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2" w:lineRule="exact"/>
        <w:rPr>
          <w:sz w:val="20"/>
          <w:szCs w:val="20"/>
          <w:color w:val="auto"/>
        </w:rPr>
      </w:pPr>
    </w:p>
    <w:p>
      <w:pPr>
        <w:jc w:val="both"/>
        <w:ind w:left="460" w:right="459" w:firstLine="86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Securityholder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5.15(a)(vi)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each entity of which at least fifty percent (50%) of the capital stock or other equity or voting securities are Controlled or owned, directly or indirectly, by the Company.</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means Silicon Valley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 Loan</w:t>
      </w:r>
      <w:r>
        <w:rPr>
          <w:rFonts w:ascii="Times New Roman" w:cs="Times New Roman" w:eastAsia="Times New Roman" w:hAnsi="Times New Roman"/>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0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13"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2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to occur at or immediately prior to the Closing, including the Merger.</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means the Parent Liabilities that remain unpaid as of immediately prior to the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2" w:name="page313"/>
    <w:bookmarkEnd w:id="3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158"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has the meaning set forth in the definition of Additional Agreements.</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of the Parent Class A Shares for the ten (10) Trading Days ending on the Trading Day immediately preceding the Closing Date.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6" w:lineRule="auto"/>
        <w:tabs>
          <w:tab w:leader="none" w:pos="156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3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4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3" w:name="page314"/>
    <w:bookmarkEnd w:id="3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9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5.25(d)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69" w:lineRule="auto"/>
        <w:tabs>
          <w:tab w:leader="none" w:pos="1594"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7"/>
          <w:szCs w:val="17"/>
          <w:u w:val="single" w:color="auto"/>
          <w:color w:val="auto"/>
        </w:rPr>
        <w:t>Securities Filing</w:t>
      </w:r>
      <w:r>
        <w:rPr>
          <w:rFonts w:ascii="Times New Roman" w:cs="Times New Roman" w:eastAsia="Times New Roman" w:hAnsi="Times New Roman"/>
          <w:sz w:val="17"/>
          <w:szCs w:val="17"/>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Opinion</w:t>
      </w:r>
      <w:r>
        <w:rPr>
          <w:rFonts w:ascii="Times New Roman" w:cs="Times New Roman" w:eastAsia="Times New Roman" w:hAnsi="Times New Roman"/>
          <w:sz w:val="17"/>
          <w:szCs w:val="17"/>
          <w:color w:val="auto"/>
        </w:rPr>
        <w:t>”), (i) the Company shall use its reasonable best efforts to deliver to Goodwin Procter LLP (“</w:t>
      </w:r>
      <w:r>
        <w:rPr>
          <w:rFonts w:ascii="Times New Roman" w:cs="Times New Roman" w:eastAsia="Times New Roman" w:hAnsi="Times New Roman"/>
          <w:sz w:val="17"/>
          <w:szCs w:val="17"/>
          <w:u w:val="single" w:color="auto"/>
          <w:color w:val="auto"/>
        </w:rPr>
        <w:t>Goodwin</w:t>
      </w:r>
      <w:r>
        <w:rPr>
          <w:rFonts w:ascii="Times New Roman" w:cs="Times New Roman" w:eastAsia="Times New Roman" w:hAnsi="Times New Roman"/>
          <w:sz w:val="17"/>
          <w:szCs w:val="17"/>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Business Day after the satisfaction or waiver (to the extent permitted by applicable law) of the conditions set forth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4" w:name="page315"/>
    <w:bookmarkEnd w:id="3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Board of Directors of Parent</w:t>
      </w:r>
      <w:r>
        <w:rPr>
          <w:rFonts w:ascii="Times New Roman" w:cs="Times New Roman" w:eastAsia="Times New Roman" w:hAnsi="Times New Roman"/>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Conversion of Company Securities; Convertible Notes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firstLine="858"/>
        <w:spacing w:after="0" w:line="253" w:lineRule="auto"/>
        <w:tabs>
          <w:tab w:leader="none" w:pos="1568"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Company Capital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at the Effective Time, by virtue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Merger and without any action 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Company Options. </w:t>
      </w:r>
      <w:r>
        <w:rPr>
          <w:rFonts w:ascii="Times New Roman" w:cs="Times New Roman" w:eastAsia="Times New Roman" w:hAnsi="Times New Roman"/>
          <w:sz w:val="18"/>
          <w:szCs w:val="18"/>
          <w:color w:val="auto"/>
        </w:rPr>
        <w:t>The Company shall terminate the Equity Incentive Plans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Effective Time, contingent 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w:t>
      </w:r>
    </w:p>
    <w:p>
      <w:pPr>
        <w:jc w:val="both"/>
        <w:ind w:left="460" w:right="459" w:hanging="6"/>
        <w:spacing w:after="0" w:line="251" w:lineRule="auto"/>
        <w:tabs>
          <w:tab w:leader="none" w:pos="77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109" w:lineRule="exact"/>
        <w:rPr>
          <w:rFonts w:ascii="Times New Roman" w:cs="Times New Roman" w:eastAsia="Times New Roman" w:hAnsi="Times New Roman"/>
          <w:sz w:val="18"/>
          <w:szCs w:val="18"/>
          <w:color w:val="auto"/>
        </w:rPr>
      </w:pPr>
    </w:p>
    <w:p>
      <w:pPr>
        <w:ind w:left="460" w:right="459" w:firstLine="858"/>
        <w:spacing w:after="0" w:line="284" w:lineRule="auto"/>
        <w:tabs>
          <w:tab w:leader="none" w:pos="156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the Company Warrant</w:t>
      </w:r>
      <w:r>
        <w:rPr>
          <w:rFonts w:ascii="Times New Roman" w:cs="Times New Roman" w:eastAsia="Times New Roman" w:hAnsi="Times New Roman"/>
          <w:sz w:val="18"/>
          <w:szCs w:val="18"/>
          <w:color w:val="auto"/>
        </w:rPr>
        <w:t>. At the Effective Time, the Company Warrant will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its terms.</w:t>
      </w:r>
    </w:p>
    <w:p>
      <w:pPr>
        <w:spacing w:after="0" w:line="90" w:lineRule="exact"/>
        <w:rPr>
          <w:rFonts w:ascii="Times New Roman" w:cs="Times New Roman" w:eastAsia="Times New Roman" w:hAnsi="Times New Roman"/>
          <w:sz w:val="18"/>
          <w:szCs w:val="18"/>
          <w:color w:val="auto"/>
        </w:rPr>
      </w:pPr>
    </w:p>
    <w:p>
      <w:pPr>
        <w:jc w:val="both"/>
        <w:ind w:left="460" w:right="459" w:firstLine="858"/>
        <w:spacing w:after="0" w:line="267" w:lineRule="auto"/>
        <w:tabs>
          <w:tab w:leader="none" w:pos="1592"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Convertible Notes. </w:t>
      </w:r>
      <w:r>
        <w:rPr>
          <w:rFonts w:ascii="Times New Roman" w:cs="Times New Roman" w:eastAsia="Times New Roman" w:hAnsi="Times New Roman"/>
          <w:sz w:val="18"/>
          <w:szCs w:val="18"/>
          <w:color w:val="auto"/>
        </w:rPr>
        <w:t>Prior to the Closing, each Convertible Note will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Company Series B Preferred Stock in accordance with the terms thereof, in each case, as set forth on Capitalization Schedule delivered prior to Closing.</w:t>
      </w:r>
    </w:p>
    <w:p>
      <w:pPr>
        <w:spacing w:after="0" w:line="105"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2"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Merger Sub</w:t>
      </w:r>
      <w:r>
        <w:rPr>
          <w:rFonts w:ascii="Times New Roman" w:cs="Times New Roman" w:eastAsia="Times New Roman" w:hAnsi="Times New Roman"/>
          <w:sz w:val="18"/>
          <w:szCs w:val="18"/>
          <w:color w:val="auto"/>
        </w:rPr>
        <w:t>. Each share of Merger Sub that is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858"/>
        <w:spacing w:after="0" w:line="267" w:lineRule="auto"/>
        <w:tabs>
          <w:tab w:leader="none" w:pos="15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Shares of Company Common Stock Owned by the Company</w:t>
      </w:r>
      <w:r>
        <w:rPr>
          <w:rFonts w:ascii="Times New Roman" w:cs="Times New Roman" w:eastAsia="Times New Roman" w:hAnsi="Times New Roman"/>
          <w:sz w:val="18"/>
          <w:szCs w:val="18"/>
          <w:color w:val="auto"/>
        </w:rPr>
        <w:t>. At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shares of Company Common Stock that are owned by the Company as treasury shares immediately prior to the Effective Time shall be canceled and extinguished without any conversion thereof.</w:t>
      </w:r>
    </w:p>
    <w:p>
      <w:pPr>
        <w:spacing w:after="0" w:line="10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Certificates</w:t>
      </w:r>
      <w:r>
        <w:rPr>
          <w:rFonts w:ascii="Times New Roman" w:cs="Times New Roman" w:eastAsia="Times New Roman" w:hAnsi="Times New Roman"/>
          <w:sz w:val="18"/>
          <w:szCs w:val="18"/>
          <w:color w:val="auto"/>
        </w:rPr>
        <w:t>. All Closing Payment Shares issued upon the surrender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cancellation of the Company Common Stock, in 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0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Lost or Destroyed Certificates</w:t>
      </w:r>
      <w:r>
        <w:rPr>
          <w:rFonts w:ascii="Times New Roman" w:cs="Times New Roman" w:eastAsia="Times New Roman" w:hAnsi="Times New Roman"/>
          <w:sz w:val="18"/>
          <w:szCs w:val="18"/>
          <w:color w:val="auto"/>
        </w:rPr>
        <w:t>. In the event any certificates representing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shall have been lost, 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9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Shares</w:t>
      </w:r>
      <w:r>
        <w:rPr>
          <w:rFonts w:ascii="Times New Roman" w:cs="Times New Roman" w:eastAsia="Times New Roman" w:hAnsi="Times New Roman"/>
          <w:sz w:val="18"/>
          <w:szCs w:val="18"/>
          <w:color w:val="auto"/>
        </w:rPr>
        <w:t>. Notwithstanding anything to the contrary in the other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Parent shall withhold from the 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5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Schedule</w:t>
      </w:r>
      <w:r>
        <w:rPr>
          <w:rFonts w:ascii="Times New Roman" w:cs="Times New Roman" w:eastAsia="Times New Roman" w:hAnsi="Times New Roman"/>
          <w:sz w:val="18"/>
          <w:szCs w:val="18"/>
          <w:color w:val="auto"/>
        </w:rPr>
        <w:t>. No later than three (3) Business Days prior to the Closing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deliver to Parent a final 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(vii) such Company Securityholder’s Pro Rata Portion, if any. Nothing contained in this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7.1(a)(xvi)</w:t>
      </w:r>
      <w:r>
        <w:rPr>
          <w:rFonts w:ascii="Times New Roman" w:cs="Times New Roman" w:eastAsia="Times New Roman" w:hAnsi="Times New Roman"/>
          <w:sz w:val="18"/>
          <w:szCs w:val="18"/>
          <w:color w:val="auto"/>
        </w:rPr>
        <w:t>; or (y) alter or amend the total aggregate number of Closing Payment Shares issuable or reserved for issuance to the Company Securityholders; or (z) alter or amend the definition of Closing Consideration Conversion Ratio.</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9" w:name="page320"/>
    <w:bookmarkEnd w:id="3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8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balance sheet of the Company as of June 30, 2020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2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 specifically disclosed, reflected or fully reserved against on the Balance Sheet;</w:t>
      </w:r>
    </w:p>
    <w:p>
      <w:pPr>
        <w:spacing w:after="0" w:line="27"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date of the Balance Sheet;</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5.9(b)</w:t>
      </w:r>
      <w:r>
        <w:rPr>
          <w:rFonts w:ascii="Times New Roman" w:cs="Times New Roman" w:eastAsia="Times New Roman" w:hAnsi="Times New Roman"/>
          <w:sz w:val="18"/>
          <w:szCs w:val="18"/>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0" w:name="page321"/>
    <w:bookmarkEnd w:id="3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 5.13(b),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56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lists all of the following Contracts (collectively, such Contracts that are listed or should be listed on </w:t>
      </w: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as of the date of this Agreement, the Company is a party or by which any of its assets is bound and which are currently in effect:</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181"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72"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4" w:lineRule="auto"/>
        <w:tabs>
          <w:tab w:leader="none" w:pos="232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2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8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 to which the Company is a party;</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5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6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1" w:name="page322"/>
    <w:bookmarkEnd w:id="3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generally commercially available software (including open source software) or hosted services,</w:t>
      </w:r>
    </w:p>
    <w:p>
      <w:pPr>
        <w:spacing w:after="0" w:line="27" w:lineRule="exact"/>
        <w:rPr>
          <w:sz w:val="20"/>
          <w:szCs w:val="20"/>
          <w:color w:val="auto"/>
        </w:rPr>
      </w:pPr>
    </w:p>
    <w:p>
      <w:pPr>
        <w:jc w:val="both"/>
        <w:ind w:left="880" w:right="459" w:firstLine="6"/>
        <w:spacing w:after="0" w:line="255" w:lineRule="auto"/>
        <w:tabs>
          <w:tab w:leader="none" w:pos="116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880" w:right="459" w:firstLine="1086"/>
        <w:spacing w:after="0" w:line="282" w:lineRule="auto"/>
        <w:tabs>
          <w:tab w:leader="none" w:pos="2321"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limiting the freedom of the Company to compete in any line of business or industry, with any Person or in any geographic area;</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400"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86"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08"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18"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307"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39"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76"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2"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16"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1" w:lineRule="auto"/>
        <w:tabs>
          <w:tab w:leader="none" w:pos="2387"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12" w:lineRule="exact"/>
        <w:rPr>
          <w:rFonts w:ascii="Times New Roman" w:cs="Times New Roman" w:eastAsia="Times New Roman" w:hAnsi="Times New Roman"/>
          <w:sz w:val="18"/>
          <w:szCs w:val="18"/>
          <w:color w:val="auto"/>
        </w:rPr>
      </w:pPr>
    </w:p>
    <w:p>
      <w:pPr>
        <w:ind w:left="2500" w:hanging="534"/>
        <w:spacing w:after="0"/>
        <w:tabs>
          <w:tab w:leader="none" w:pos="2500"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w:t>
      </w:r>
    </w:p>
    <w:p>
      <w:pPr>
        <w:spacing w:after="0" w:line="125" w:lineRule="exact"/>
        <w:rPr>
          <w:rFonts w:ascii="Times New Roman" w:cs="Times New Roman" w:eastAsia="Times New Roman" w:hAnsi="Times New Roman"/>
          <w:sz w:val="18"/>
          <w:szCs w:val="18"/>
          <w:color w:val="auto"/>
        </w:rPr>
      </w:pPr>
    </w:p>
    <w:p>
      <w:pPr>
        <w:ind w:left="2460" w:hanging="494"/>
        <w:spacing w:after="0"/>
        <w:tabs>
          <w:tab w:leader="none" w:pos="2460" w:val="left"/>
        </w:tabs>
        <w:numPr>
          <w:ilvl w:val="3"/>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39"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8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2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0"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Such Permits are valid and in full force and effect, and none of the Permits will, assuming the related Company Consent has been obtained or waived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2" w:name="page323"/>
    <w:bookmarkEnd w:id="3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7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1" w:lineRule="auto"/>
        <w:tabs>
          <w:tab w:leader="none" w:pos="16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 (2) 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1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Company has a valid right to use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that are used (but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3" w:name="page324"/>
    <w:bookmarkEnd w:id="3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12" w:lineRule="exact"/>
        <w:rPr>
          <w:sz w:val="20"/>
          <w:szCs w:val="20"/>
          <w:color w:val="auto"/>
        </w:rPr>
      </w:pPr>
    </w:p>
    <w:p>
      <w:pPr>
        <w:jc w:val="both"/>
        <w:ind w:left="460" w:right="459" w:firstLine="858"/>
        <w:spacing w:after="0" w:line="253" w:lineRule="auto"/>
        <w:tabs>
          <w:tab w:leader="none" w:pos="16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registered Intellectual Property Rights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5.18(d)</w:t>
      </w:r>
      <w:r>
        <w:rPr>
          <w:rFonts w:ascii="Times New Roman" w:cs="Times New Roman" w:eastAsia="Times New Roman" w:hAnsi="Times New Roman"/>
          <w:sz w:val="18"/>
          <w:szCs w:val="18"/>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4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26" w:lineRule="exact"/>
        <w:rPr>
          <w:rFonts w:ascii="Times New Roman" w:cs="Times New Roman" w:eastAsia="Times New Roman" w:hAnsi="Times New Roman"/>
          <w:sz w:val="18"/>
          <w:szCs w:val="18"/>
          <w:color w:val="auto"/>
        </w:rPr>
      </w:pPr>
    </w:p>
    <w:p>
      <w:pPr>
        <w:jc w:val="both"/>
        <w:ind w:left="460" w:right="479" w:firstLine="858"/>
        <w:spacing w:after="0" w:line="254" w:lineRule="auto"/>
        <w:tabs>
          <w:tab w:leader="none" w:pos="159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5.18(g</w:t>
      </w:r>
      <w:r>
        <w:rPr>
          <w:rFonts w:ascii="Times New Roman" w:cs="Times New Roman" w:eastAsia="Times New Roman" w:hAnsi="Times New Roman"/>
          <w:sz w:val="18"/>
          <w:szCs w:val="18"/>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5.18(g)</w:t>
      </w:r>
      <w:r>
        <w:rPr>
          <w:rFonts w:ascii="Times New Roman" w:cs="Times New Roman" w:eastAsia="Times New Roman" w:hAnsi="Times New Roman"/>
          <w:sz w:val="18"/>
          <w:szCs w:val="18"/>
          <w:color w:val="auto"/>
        </w:rPr>
        <w:t>, has licensed to the Company rights to use such Intellectual Property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4" w:name="page325"/>
    <w:bookmarkEnd w:id="3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6" w:lineRule="auto"/>
        <w:tabs>
          <w:tab w:leader="none" w:pos="162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3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42"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Schedule 5.15(a)(vi)</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7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2018, in compliance in all material respects with all applicable healthcare Laws, including (i) 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7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w:t>
      </w:r>
    </w:p>
    <w:p>
      <w:pPr>
        <w:spacing w:after="0" w:line="3"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2"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9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manufactured or distributed by the Company is</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66" w:lineRule="auto"/>
        <w:tabs>
          <w:tab w:leader="none" w:pos="159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the Company is not indebted to any of its Affiliates and no Affiliates are indebted to the Company.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6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5.21(a)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6" w:name="page327"/>
    <w:bookmarkEnd w:id="3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1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08"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 contemplated hereby.</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4" w:lineRule="auto"/>
        <w:tabs>
          <w:tab w:leader="none" w:pos="156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07"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6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7" w:name="page328"/>
    <w:bookmarkEnd w:id="3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6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12"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8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7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3"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8" w:name="page329"/>
    <w:bookmarkEnd w:id="3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7" w:lineRule="auto"/>
        <w:tabs>
          <w:tab w:leader="none" w:pos="157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8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1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9" w:name="page330"/>
    <w:bookmarkEnd w:id="3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08" w:lineRule="exact"/>
        <w:rPr>
          <w:sz w:val="20"/>
          <w:szCs w:val="20"/>
          <w:color w:val="auto"/>
        </w:rPr>
      </w:pPr>
    </w:p>
    <w:p>
      <w:pPr>
        <w:jc w:val="both"/>
        <w:ind w:left="460" w:right="459" w:firstLine="858"/>
        <w:spacing w:after="0" w:line="258" w:lineRule="auto"/>
        <w:tabs>
          <w:tab w:leader="none" w:pos="157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 “reportable transaction” within the meaning of United States Treasury regulations Section 1.6011-4(b).</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5.29</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involving the Company with respect to the Money Laundering Laws is pending or, to the Knowledge of the Company, threatened.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are set forth on </w:t>
      </w:r>
      <w:r>
        <w:rPr>
          <w:rFonts w:ascii="Times New Roman" w:cs="Times New Roman" w:eastAsia="Times New Roman" w:hAnsi="Times New Roman"/>
          <w:sz w:val="18"/>
          <w:szCs w:val="18"/>
          <w:u w:val="single" w:color="auto"/>
          <w:color w:val="auto"/>
        </w:rPr>
        <w:t>Schedule 5.31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0" w:name="page331"/>
    <w:bookmarkEnd w:id="3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xml:space="preserve"> was entered into on a basis other than on arm’s length.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1" w:name="page332"/>
    <w:bookmarkEnd w:id="3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Closing Payment Shares, when issued in accordance with this Agreement, will be duly authorized and validly issued, and will be fully paid and nonassessable.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22" w:lineRule="exact"/>
        <w:rPr>
          <w:rFonts w:ascii="Times New Roman" w:cs="Times New Roman" w:eastAsia="Times New Roman" w:hAnsi="Times New Roman"/>
          <w:sz w:val="18"/>
          <w:szCs w:val="18"/>
          <w:color w:val="auto"/>
        </w:rPr>
      </w:pPr>
    </w:p>
    <w:p>
      <w:pPr>
        <w:jc w:val="both"/>
        <w:ind w:left="460" w:right="479" w:firstLine="858"/>
        <w:spacing w:after="0" w:line="253" w:lineRule="auto"/>
        <w:tabs>
          <w:tab w:leader="none" w:pos="159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2" w:name="page333"/>
    <w:bookmarkEnd w:id="3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Class A Shares are listed on Nasdaq, with trading ticker “FSDC.”</w:t>
      </w:r>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6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expressly for inclusion or incorporation by reference in the SEC Statement or Other Filing.</w:t>
      </w:r>
    </w:p>
    <w:p>
      <w:pPr>
        <w:spacing w:after="0" w:line="9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w:t>
      </w:r>
    </w:p>
    <w:p>
      <w:pPr>
        <w:spacing w:after="0" w:line="5" w:lineRule="exact"/>
        <w:rPr>
          <w:sz w:val="20"/>
          <w:szCs w:val="20"/>
          <w:color w:val="auto"/>
        </w:rPr>
      </w:pPr>
    </w:p>
    <w:p>
      <w:pPr>
        <w:ind w:left="460" w:right="479" w:hanging="6"/>
        <w:spacing w:after="0" w:line="260" w:lineRule="auto"/>
        <w:tabs>
          <w:tab w:leader="none" w:pos="67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business or prospects of Parent and (ii) subject Parent to suit or penalty in any private or governmental Action.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3" w:name="page334"/>
    <w:bookmarkEnd w:id="3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Parent does not have any Indebtedness or other liabilities.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76" w:lineRule="auto"/>
        <w:tabs>
          <w:tab w:leader="none" w:pos="1569"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Parent has duly and timely filed all income and other material Tax Returns which are required to be filed by or with respect to it, and has paid all income and other material Taxes which have become due;</w:t>
      </w:r>
    </w:p>
    <w:p>
      <w:pPr>
        <w:jc w:val="both"/>
        <w:ind w:left="460" w:right="459" w:hanging="6"/>
        <w:spacing w:after="0" w:line="250" w:lineRule="auto"/>
        <w:tabs>
          <w:tab w:leader="none" w:pos="74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7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5"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4" w:name="page335"/>
    <w:bookmarkEnd w:id="3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21" w:lineRule="exact"/>
        <w:rPr>
          <w:sz w:val="20"/>
          <w:szCs w:val="20"/>
          <w:color w:val="auto"/>
        </w:rPr>
      </w:pPr>
    </w:p>
    <w:p>
      <w:pPr>
        <w:jc w:val="both"/>
        <w:ind w:left="460" w:right="459" w:firstLine="858"/>
        <w:spacing w:after="0" w:line="272" w:lineRule="auto"/>
        <w:tabs>
          <w:tab w:leader="none" w:pos="1569"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2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exceed that reserve as adjusted for the passage of time through the Closing Date in accordance with the past custom and practice of Parent in filing its Tax Return.</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3"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engaged in a “reportable transaction” within the meaning of United States Treasury regulations Section 1.6011-4(b).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158" w:lineRule="exact"/>
        <w:rPr>
          <w:sz w:val="20"/>
          <w:szCs w:val="20"/>
          <w:color w:val="auto"/>
        </w:rPr>
      </w:pPr>
    </w:p>
    <w:p>
      <w:pPr>
        <w:jc w:val="both"/>
        <w:ind w:left="460" w:right="459" w:firstLine="858"/>
        <w:spacing w:after="0" w:line="254" w:lineRule="auto"/>
        <w:tabs>
          <w:tab w:leader="none" w:pos="158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20"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3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5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1" w:lineRule="auto"/>
        <w:tabs>
          <w:tab w:leader="none" w:pos="233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12" w:lineRule="exact"/>
        <w:rPr>
          <w:rFonts w:ascii="Times New Roman" w:cs="Times New Roman" w:eastAsia="Times New Roman" w:hAnsi="Times New Roman"/>
          <w:sz w:val="18"/>
          <w:szCs w:val="18"/>
          <w:color w:val="auto"/>
        </w:rPr>
      </w:pPr>
    </w:p>
    <w:p>
      <w:pPr>
        <w:ind w:left="4060" w:right="479" w:hanging="2094"/>
        <w:spacing w:after="0" w:line="485" w:lineRule="auto"/>
        <w:tabs>
          <w:tab w:leader="none" w:pos="227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$200,000 (individually or in the aggregate); 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5" w:name="page336"/>
    <w:bookmarkEnd w:id="3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66" w:lineRule="auto"/>
        <w:tabs>
          <w:tab w:leader="none" w:pos="22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55" w:lineRule="auto"/>
        <w:tabs>
          <w:tab w:leader="none" w:pos="2272"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21" w:lineRule="exact"/>
        <w:rPr>
          <w:rFonts w:ascii="Times New Roman" w:cs="Times New Roman" w:eastAsia="Times New Roman" w:hAnsi="Times New Roman"/>
          <w:sz w:val="18"/>
          <w:szCs w:val="18"/>
          <w:color w:val="auto"/>
        </w:rPr>
      </w:pPr>
    </w:p>
    <w:p>
      <w:pPr>
        <w:jc w:val="both"/>
        <w:ind w:left="880" w:right="459" w:firstLine="1086"/>
        <w:spacing w:after="0" w:line="257" w:lineRule="auto"/>
        <w:tabs>
          <w:tab w:leader="none" w:pos="234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spacing w:after="0" w:line="1" w:lineRule="exact"/>
        <w:rPr>
          <w:rFonts w:ascii="Times New Roman" w:cs="Times New Roman" w:eastAsia="Times New Roman" w:hAnsi="Times New Roman"/>
          <w:sz w:val="18"/>
          <w:szCs w:val="18"/>
          <w:color w:val="auto"/>
        </w:rPr>
      </w:pPr>
    </w:p>
    <w:p>
      <w:pPr>
        <w:jc w:val="both"/>
        <w:ind w:left="880" w:right="479" w:firstLine="6"/>
        <w:spacing w:after="0" w:line="255" w:lineRule="auto"/>
        <w:tabs>
          <w:tab w:leader="none" w:pos="116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04" w:lineRule="exact"/>
        <w:rPr>
          <w:rFonts w:ascii="Times New Roman" w:cs="Times New Roman" w:eastAsia="Times New Roman" w:hAnsi="Times New Roman"/>
          <w:sz w:val="18"/>
          <w:szCs w:val="18"/>
          <w:color w:val="auto"/>
        </w:rPr>
      </w:pPr>
    </w:p>
    <w:p>
      <w:pPr>
        <w:ind w:left="2380" w:hanging="414"/>
        <w:spacing w:after="0"/>
        <w:tabs>
          <w:tab w:leader="none" w:pos="238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or incur any Lien, except for Permitted Liens, on the Company’s or Parent’s, as</w:t>
      </w:r>
    </w:p>
    <w:p>
      <w:pPr>
        <w:spacing w:after="0" w:line="38"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applicable, assets;</w:t>
      </w:r>
    </w:p>
    <w:p>
      <w:pPr>
        <w:spacing w:after="0" w:line="139" w:lineRule="exact"/>
        <w:rPr>
          <w:rFonts w:ascii="Times New Roman" w:cs="Times New Roman" w:eastAsia="Times New Roman" w:hAnsi="Times New Roman"/>
          <w:sz w:val="17"/>
          <w:szCs w:val="17"/>
          <w:color w:val="auto"/>
        </w:rPr>
      </w:pPr>
    </w:p>
    <w:p>
      <w:pPr>
        <w:jc w:val="both"/>
        <w:ind w:left="880" w:right="459" w:firstLine="1086"/>
        <w:spacing w:after="0" w:line="266" w:lineRule="auto"/>
        <w:tabs>
          <w:tab w:leader="none" w:pos="226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2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8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42"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or fail to continue to make timely contributions to each benefit plan in accordance with the terms thereof;</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9"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 value of its assets;</w:t>
      </w:r>
    </w:p>
    <w:p>
      <w:pPr>
        <w:spacing w:after="0" w:line="94"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157"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37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or (C) with respect to Parent, as otherwise contemplated by this Agreement or any Additional Agreement);</w:t>
      </w:r>
    </w:p>
    <w:p>
      <w:pPr>
        <w:spacing w:after="0" w:line="102"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42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45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or distribute or advance any assets or property to any of its Affiliates, other than the payment of salary and benefits in the ordinary course;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6" w:name="page337"/>
    <w:bookmarkEnd w:id="3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53" w:lineRule="auto"/>
        <w:tabs>
          <w:tab w:leader="none" w:pos="237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case of the Company, other than as required by a Plan, as set forth on </w:t>
      </w:r>
      <w:r>
        <w:rPr>
          <w:rFonts w:ascii="Times New Roman" w:cs="Times New Roman" w:eastAsia="Times New Roman" w:hAnsi="Times New Roman"/>
          <w:sz w:val="18"/>
          <w:szCs w:val="18"/>
          <w:u w:val="single" w:color="auto"/>
          <w:color w:val="auto"/>
        </w:rPr>
        <w:t>Schedule 7.1(a)(xix)</w:t>
      </w:r>
      <w:r>
        <w:rPr>
          <w:rFonts w:ascii="Times New Roman" w:cs="Times New Roman" w:eastAsia="Times New Roman" w:hAnsi="Times New Roman"/>
          <w:sz w:val="18"/>
          <w:szCs w:val="18"/>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22"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enter into any Affiliate Transactions;</w:t>
      </w:r>
    </w:p>
    <w:p>
      <w:pPr>
        <w:spacing w:after="0" w:line="157"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in all material respects to all applicable Law, including the Exchange Act, and Orders; or</w:t>
      </w:r>
    </w:p>
    <w:p>
      <w:pPr>
        <w:spacing w:after="0" w:line="80" w:lineRule="exact"/>
        <w:rPr>
          <w:rFonts w:ascii="Times New Roman" w:cs="Times New Roman" w:eastAsia="Times New Roman" w:hAnsi="Times New Roman"/>
          <w:sz w:val="18"/>
          <w:szCs w:val="18"/>
          <w:color w:val="auto"/>
        </w:rPr>
      </w:pPr>
    </w:p>
    <w:p>
      <w:pPr>
        <w:ind w:left="2420" w:hanging="454"/>
        <w:spacing w:after="0"/>
        <w:tabs>
          <w:tab w:leader="none" w:pos="24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do any of the foregoing.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7" w:name="page338"/>
    <w:bookmarkEnd w:id="3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Parent and the Company shall promptly notify the other party of:</w:t>
      </w:r>
    </w:p>
    <w:p>
      <w:pPr>
        <w:spacing w:after="0" w:line="158" w:lineRule="exact"/>
        <w:rPr>
          <w:sz w:val="20"/>
          <w:szCs w:val="20"/>
          <w:color w:val="auto"/>
        </w:rPr>
      </w:pPr>
    </w:p>
    <w:p>
      <w:pPr>
        <w:jc w:val="both"/>
        <w:ind w:left="460" w:right="459" w:firstLine="858"/>
        <w:spacing w:after="0" w:line="258" w:lineRule="auto"/>
        <w:tabs>
          <w:tab w:leader="none" w:pos="158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0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 contemplated by this Agreement or the Additional Agreements;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Change;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not to be satisfied.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81"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permit the Company and its counsel to review and comment on the Proxy Statement and Form S-4 and any exhibits, amendments or supplements thereto (or other related documents);</w:t>
      </w:r>
    </w:p>
    <w:p>
      <w:pPr>
        <w:jc w:val="both"/>
        <w:ind w:left="460" w:right="459" w:hanging="6"/>
        <w:spacing w:after="0" w:line="251" w:lineRule="auto"/>
        <w:tabs>
          <w:tab w:leader="none" w:pos="73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8" w:name="page339"/>
    <w:bookmarkEnd w:id="3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20" w:lineRule="exact"/>
        <w:rPr>
          <w:sz w:val="20"/>
          <w:szCs w:val="20"/>
          <w:color w:val="auto"/>
        </w:rPr>
      </w:pPr>
    </w:p>
    <w:p>
      <w:pPr>
        <w:jc w:val="both"/>
        <w:ind w:left="460" w:right="459" w:firstLine="858"/>
        <w:spacing w:after="0" w:line="255" w:lineRule="auto"/>
        <w:tabs>
          <w:tab w:leader="none" w:pos="1588"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(such effective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608"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23" w:lineRule="exact"/>
        <w:rPr>
          <w:rFonts w:ascii="Times New Roman" w:cs="Times New Roman" w:eastAsia="Times New Roman" w:hAnsi="Times New Roman"/>
          <w:sz w:val="18"/>
          <w:szCs w:val="18"/>
          <w:color w:val="auto"/>
        </w:rPr>
      </w:pPr>
    </w:p>
    <w:p>
      <w:pPr>
        <w:jc w:val="both"/>
        <w:ind w:left="460" w:right="479" w:firstLine="858"/>
        <w:spacing w:after="0" w:line="257" w:lineRule="auto"/>
        <w:tabs>
          <w:tab w:leader="none" w:pos="159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Stockholder Approval; (ii) adoption and approval of 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5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at a price per share determined in accordance with the Parent Certificate of Incorporation, all in accordance with applicable Law and any applicable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9" w:name="page340"/>
    <w:bookmarkEnd w:id="3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08" w:lineRule="exact"/>
        <w:rPr>
          <w:sz w:val="20"/>
          <w:szCs w:val="20"/>
          <w:color w:val="auto"/>
        </w:rPr>
      </w:pPr>
    </w:p>
    <w:p>
      <w:pPr>
        <w:ind w:left="460" w:right="479" w:firstLine="858"/>
        <w:spacing w:after="0" w:line="282" w:lineRule="auto"/>
        <w:tabs>
          <w:tab w:leader="none" w:pos="15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right="479" w:hanging="6"/>
        <w:spacing w:after="0" w:line="260" w:lineRule="auto"/>
        <w:tabs>
          <w:tab w:leader="none" w:pos="73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underwriting commissions and the expenses to third parties to which they are owed, and (c) the remaining monies in the Trust Account to Parent after the Closing.</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Private Placement, Parent Support Agreements</w:t>
      </w:r>
      <w:r>
        <w:rPr>
          <w:rFonts w:ascii="Times New Roman" w:cs="Times New Roman" w:eastAsia="Times New Roman" w:hAnsi="Times New Roman"/>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w:t>
      </w:r>
      <w:r>
        <w:rPr>
          <w:rFonts w:ascii="Times New Roman" w:cs="Times New Roman" w:eastAsia="Times New Roman" w:hAnsi="Times New Roman"/>
          <w:sz w:val="18"/>
          <w:szCs w:val="18"/>
          <w:color w:val="auto"/>
        </w:rPr>
        <w:t>. From the date hereof through and including the Closing Date:</w:t>
      </w:r>
    </w:p>
    <w:p>
      <w:pPr>
        <w:spacing w:after="0" w:line="158" w:lineRule="exact"/>
        <w:rPr>
          <w:sz w:val="20"/>
          <w:szCs w:val="20"/>
          <w:color w:val="auto"/>
        </w:rPr>
      </w:pPr>
    </w:p>
    <w:p>
      <w:pPr>
        <w:jc w:val="both"/>
        <w:ind w:left="460" w:right="459" w:firstLine="858"/>
        <w:spacing w:after="0" w:line="255" w:lineRule="auto"/>
        <w:tabs>
          <w:tab w:leader="none" w:pos="158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8" w:lineRule="auto"/>
        <w:tabs>
          <w:tab w:leader="none" w:pos="157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two (2) Business Days following the Effective Date (the “</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0" w:name="page341"/>
    <w:bookmarkEnd w:id="3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58"/>
        <w:spacing w:after="0" w:line="266" w:lineRule="auto"/>
        <w:tabs>
          <w:tab w:leader="none" w:pos="157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8"/>
          <w:szCs w:val="18"/>
          <w:u w:val="single" w:color="auto"/>
          <w:color w:val="auto"/>
        </w:rPr>
        <w:t>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Waiver</w:t>
      </w:r>
      <w:r>
        <w:rPr>
          <w:rFonts w:ascii="Times New Roman" w:cs="Times New Roman" w:eastAsia="Times New Roman" w:hAnsi="Times New Roman"/>
          <w:sz w:val="18"/>
          <w:szCs w:val="18"/>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2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1" w:name="page342"/>
    <w:bookmarkEnd w:id="3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 (iii) and (iv) above, that materials may be redacted</w:t>
      </w:r>
    </w:p>
    <w:p>
      <w:pPr>
        <w:spacing w:after="0" w:line="3" w:lineRule="exact"/>
        <w:rPr>
          <w:sz w:val="20"/>
          <w:szCs w:val="20"/>
          <w:color w:val="auto"/>
        </w:rPr>
      </w:pPr>
    </w:p>
    <w:p>
      <w:pPr>
        <w:jc w:val="both"/>
        <w:ind w:left="460" w:right="479" w:hanging="6"/>
        <w:spacing w:after="0" w:line="255" w:lineRule="auto"/>
        <w:tabs>
          <w:tab w:leader="none" w:pos="76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61" w:lineRule="auto"/>
        <w:tabs>
          <w:tab w:leader="none" w:pos="160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0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2" w:name="page343"/>
    <w:bookmarkEnd w:id="3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6" w:lineRule="auto"/>
        <w:tabs>
          <w:tab w:leader="none" w:pos="159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Merger are subject to the satisfaction of all the following conditions:</w:t>
      </w:r>
    </w:p>
    <w:p>
      <w:pPr>
        <w:spacing w:after="0" w:line="139" w:lineRule="exact"/>
        <w:rPr>
          <w:sz w:val="20"/>
          <w:szCs w:val="20"/>
          <w:color w:val="auto"/>
        </w:rPr>
      </w:pPr>
    </w:p>
    <w:p>
      <w:pPr>
        <w:ind w:left="460" w:right="479" w:firstLine="858"/>
        <w:spacing w:after="0" w:line="282" w:lineRule="auto"/>
        <w:tabs>
          <w:tab w:leader="none" w:pos="159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shall restrain or prohibit or impose any condition on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or approval required to be obtained from any Authority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10.1(b)</w:t>
      </w:r>
      <w:r>
        <w:rPr>
          <w:rFonts w:ascii="Times New Roman" w:cs="Times New Roman" w:eastAsia="Times New Roman" w:hAnsi="Times New Roman"/>
          <w:sz w:val="18"/>
          <w:szCs w:val="18"/>
          <w:color w:val="auto"/>
        </w:rPr>
        <w:t xml:space="preserve"> shall have been obtained.</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Action brought by any governmental Authority to enjoin or otherwise restrict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have redeemed the Parent Class A Shares in an amount that would cause Parent to have net tangible assets of less than $5,000,001 upon consummation of the Merger.</w:t>
      </w:r>
    </w:p>
    <w:p>
      <w:pPr>
        <w:spacing w:after="0" w:line="94"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duly approved at the Parent Stockholder Meeting;</w:t>
      </w:r>
    </w:p>
    <w:p>
      <w:pPr>
        <w:spacing w:after="0" w:line="144"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3" w:name="page344"/>
    <w:bookmarkEnd w:id="3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or the waiver in Parent’s sole and absolute discretion, of all the following further conditions:</w:t>
      </w:r>
    </w:p>
    <w:p>
      <w:pPr>
        <w:spacing w:after="0" w:line="108" w:lineRule="exact"/>
        <w:rPr>
          <w:sz w:val="20"/>
          <w:szCs w:val="20"/>
          <w:color w:val="auto"/>
        </w:rPr>
      </w:pPr>
    </w:p>
    <w:p>
      <w:pPr>
        <w:jc w:val="both"/>
        <w:ind w:left="460" w:right="479" w:firstLine="858"/>
        <w:spacing w:after="0" w:line="266" w:lineRule="auto"/>
        <w:tabs>
          <w:tab w:leader="none" w:pos="159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1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3"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Registration Rights Agreement.</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and Sponsor a copy of the Escrow Agreement, duly executed by the Company.</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Voting Agreement.</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since the date hereof that is continuing.</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1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588"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20" w:hanging="302"/>
        <w:spacing w:after="0"/>
        <w:tabs>
          <w:tab w:leader="none" w:pos="16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each Company Consent set forth on Schedule 10.2(m).</w:t>
      </w:r>
    </w:p>
    <w:p>
      <w:pPr>
        <w:spacing w:after="0" w:line="14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evidence of termination of the Equity Incentive Plans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8"/>
          <w:szCs w:val="18"/>
          <w:u w:val="single" w:color="auto"/>
          <w:color w:val="auto"/>
        </w:rPr>
        <w:t>Schedule 10.2(q)</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is subject to the satisfaction, or the waiver in the Company’s sole and absolute discretion, of all of the following further conditions:</w:t>
      </w:r>
    </w:p>
    <w:p>
      <w:pPr>
        <w:spacing w:after="0" w:line="95" w:lineRule="exact"/>
        <w:rPr>
          <w:sz w:val="20"/>
          <w:szCs w:val="20"/>
          <w:color w:val="auto"/>
        </w:rPr>
      </w:pPr>
    </w:p>
    <w:p>
      <w:pPr>
        <w:jc w:val="both"/>
        <w:ind w:left="460" w:right="459" w:firstLine="858"/>
        <w:spacing w:after="0" w:line="261" w:lineRule="auto"/>
        <w:tabs>
          <w:tab w:leader="none" w:pos="161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06"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shall have been filed with, and declared effective by, the Delaware Secretary of State.</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1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Registration Rights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Escrow Agreement.</w:t>
      </w:r>
    </w:p>
    <w:p>
      <w:pPr>
        <w:spacing w:after="0" w:line="144" w:lineRule="exact"/>
        <w:rPr>
          <w:rFonts w:ascii="Times New Roman" w:cs="Times New Roman" w:eastAsia="Times New Roman" w:hAnsi="Times New Roman"/>
          <w:sz w:val="18"/>
          <w:szCs w:val="18"/>
          <w:color w:val="auto"/>
        </w:rPr>
      </w:pPr>
    </w:p>
    <w:p>
      <w:pPr>
        <w:ind w:left="1620" w:hanging="302"/>
        <w:spacing w:after="0"/>
        <w:tabs>
          <w:tab w:leader="none" w:pos="16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Sponsor shall have executed and delivered to Parent a copy of the Voting</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4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shall be equal to or greater than $170,000,000.</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5" w:name="page346"/>
    <w:bookmarkEnd w:id="3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Parent</w:t>
      </w:r>
      <w:r>
        <w:rPr>
          <w:rFonts w:ascii="Times New Roman" w:cs="Times New Roman" w:eastAsia="Times New Roman" w:hAnsi="Times New Roman"/>
          <w:sz w:val="18"/>
          <w:szCs w:val="18"/>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connection with the transactions contemplated by this Agreement, shall in no event exceed an amount equal to (i) the Escrow Share Value,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w:t>
      </w:r>
    </w:p>
    <w:p>
      <w:pPr>
        <w:spacing w:after="0" w:line="1" w:lineRule="exact"/>
        <w:rPr>
          <w:sz w:val="20"/>
          <w:szCs w:val="20"/>
          <w:color w:val="auto"/>
        </w:rPr>
      </w:pPr>
    </w:p>
    <w:p>
      <w:pPr>
        <w:jc w:val="both"/>
        <w:ind w:left="460" w:right="459" w:hanging="6"/>
        <w:spacing w:after="0" w:line="252" w:lineRule="auto"/>
        <w:tabs>
          <w:tab w:leader="none" w:pos="72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Shares (the “</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Parent shall not be entitled to indemnification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unless and until the aggregate amount of Losses incurred by Parent equals at least $1,612,500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 following shall apply with respect to all claims by an Indemnified Party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3" w:lineRule="auto"/>
        <w:tabs>
          <w:tab w:leader="none" w:pos="1653"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give the Stockholders’ Representative prompt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to defend such claim or increases the amount of such liability.</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3"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w:t>
      </w:r>
    </w:p>
    <w:p>
      <w:pPr>
        <w:spacing w:after="0" w:line="5"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27"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legal counsel reasonably satisfactory to the Indemnified Party to conduct the defense of such Third-Party Claim.</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w:t>
      </w:r>
    </w:p>
    <w:p>
      <w:pPr>
        <w:spacing w:after="0" w:line="6"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69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6" w:name="page347"/>
    <w:bookmarkEnd w:id="3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fees and expenses of such separate counsel of the Indemnified Party shall be borne by the Indemnifying Parties,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2" w:lineRule="auto"/>
        <w:tabs>
          <w:tab w:leader="none" w:pos="161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elects to assume the defense of any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2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Escrow of Escrow Shares by Escrow Participants</w:t>
      </w:r>
      <w:r>
        <w:rPr>
          <w:rFonts w:ascii="Times New Roman" w:cs="Times New Roman" w:eastAsia="Times New Roman" w:hAnsi="Times New Roman"/>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pursuant to the Escrow Agreement. For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Escrow Shares are valued at the greater of: (a) $10.00 per share and (b) the VWAP (the “</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79" w:firstLine="858"/>
        <w:spacing w:after="0" w:line="255" w:lineRule="auto"/>
        <w:tabs>
          <w:tab w:leader="none" w:pos="1582"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0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times provided for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7" w:name="page348"/>
    <w:bookmarkEnd w:id="3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08" w:lineRule="exact"/>
        <w:rPr>
          <w:sz w:val="20"/>
          <w:szCs w:val="20"/>
          <w:color w:val="auto"/>
        </w:rPr>
      </w:pPr>
    </w:p>
    <w:p>
      <w:pPr>
        <w:jc w:val="both"/>
        <w:ind w:left="460" w:right="459" w:firstLine="858"/>
        <w:spacing w:after="0" w:line="261" w:lineRule="auto"/>
        <w:tabs>
          <w:tab w:leader="none" w:pos="162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five (5) Business Days, following expiration of the Survival Period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the Escrow Shares,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 of Indemnification Rights</w:t>
      </w:r>
      <w:r>
        <w:rPr>
          <w:rFonts w:ascii="Times New Roman" w:cs="Times New Roman" w:eastAsia="Times New Roman" w:hAnsi="Times New Roman"/>
          <w:sz w:val="18"/>
          <w:szCs w:val="18"/>
          <w:color w:val="auto"/>
        </w:rPr>
        <w:t>. The representations and warranties of the Company shall survive until twelve (12) months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following the Closing. The covenants of the Company contained in this Agreement to be performed prior to the Closing shall expire and be of no further force or effect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indemnification to which any Indemnified Party is entitled from the Indemnifying Parties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8" w:name="page349"/>
    <w:bookmarkEnd w:id="3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19"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at his discretion and at the expense of the party who will bear the cost of the arbitration, employ experts to assist him in his determinations.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7"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2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 the case of the Stockholders’ Representative, solely on behalf of the Company Securityholders) shall indemnify the Arbitrator and any experts employed by the Arbitrator and hold them harmless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9" w:name="page350"/>
    <w:bookmarkEnd w:id="3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against any claim or demand arising out of any arbitration under this Agreement or any agreement contemplated hereby, unless resulting from the gross negligence or willful misconduct of the person indemnified.</w:t>
      </w:r>
    </w:p>
    <w:p>
      <w:pPr>
        <w:spacing w:after="0" w:line="108" w:lineRule="exact"/>
        <w:rPr>
          <w:sz w:val="20"/>
          <w:szCs w:val="20"/>
          <w:color w:val="auto"/>
        </w:rPr>
      </w:pPr>
    </w:p>
    <w:p>
      <w:pPr>
        <w:jc w:val="both"/>
        <w:ind w:left="460" w:right="459" w:firstLine="858"/>
        <w:spacing w:after="0" w:line="255" w:lineRule="auto"/>
        <w:tabs>
          <w:tab w:leader="none" w:pos="154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 of Jury Trial; Exemplary Damages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56" w:lineRule="auto"/>
        <w:tabs>
          <w:tab w:leader="none" w:pos="160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8"/>
          <w:szCs w:val="18"/>
          <w:u w:val="single" w:color="auto"/>
          <w:color w:val="auto"/>
        </w:rPr>
        <w:t>Section 13.2(a)(ii)</w:t>
      </w:r>
      <w:r>
        <w:rPr>
          <w:rFonts w:ascii="Times New Roman" w:cs="Times New Roman" w:eastAsia="Times New Roman" w:hAnsi="Times New Roman"/>
          <w:sz w:val="18"/>
          <w:szCs w:val="18"/>
          <w:color w:val="auto"/>
        </w:rPr>
        <w:t xml:space="preserve"> at any time (A) prior to the Company Stockholder Written Consent Deadline or (B) after such evidence has been delivered to Parent).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0" w:name="page351"/>
    <w:bookmarkEnd w:id="3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8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XII,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survive any termination hereof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w:t>
      </w:r>
    </w:p>
    <w:p>
      <w:pPr>
        <w:spacing w:after="0" w:line="1" w:lineRule="exact"/>
        <w:rPr>
          <w:sz w:val="20"/>
          <w:szCs w:val="20"/>
          <w:color w:val="auto"/>
        </w:rPr>
      </w:pPr>
    </w:p>
    <w:p>
      <w:pPr>
        <w:jc w:val="both"/>
        <w:ind w:left="460" w:right="459" w:hanging="6"/>
        <w:spacing w:after="0" w:line="252" w:lineRule="auto"/>
        <w:tabs>
          <w:tab w:leader="none" w:pos="74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Stockholders’ Representative, or to the Company Securityholders after Closing,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1" w:name="page352"/>
    <w:bookmarkEnd w:id="3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2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2" w:name="page353"/>
    <w:bookmarkEnd w:id="3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8"/>
          <w:szCs w:val="18"/>
          <w:u w:val="single" w:color="auto"/>
          <w:color w:val="auto"/>
        </w:rPr>
        <w:t>Schedule 14.5</w:t>
      </w:r>
      <w:r>
        <w:rPr>
          <w:rFonts w:ascii="Times New Roman" w:cs="Times New Roman" w:eastAsia="Times New Roman" w:hAnsi="Times New Roman"/>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13,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3" w:name="page354"/>
    <w:bookmarkEnd w:id="3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4" w:name="page355"/>
    <w:bookmarkEnd w:id="3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which shall be enforceable by the Stockholders’ Representative in its entirety against the Company Securityholders.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7"/>
          <w:szCs w:val="17"/>
          <w:color w:val="auto"/>
        </w:rPr>
        <w:t xml:space="preserve">14.16 </w:t>
      </w:r>
      <w:r>
        <w:rPr>
          <w:rFonts w:ascii="Times New Roman" w:cs="Times New Roman" w:eastAsia="Times New Roman" w:hAnsi="Times New Roman"/>
          <w:sz w:val="17"/>
          <w:szCs w:val="17"/>
          <w:u w:val="single" w:color="auto"/>
          <w:color w:val="auto"/>
        </w:rPr>
        <w:t>No Other Representations; No Reliance</w:t>
      </w:r>
      <w:r>
        <w:rPr>
          <w:rFonts w:ascii="Times New Roman" w:cs="Times New Roman" w:eastAsia="Times New Roman" w:hAnsi="Times New Roman"/>
          <w:sz w:val="17"/>
          <w:szCs w:val="17"/>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5" w:name="page356"/>
    <w:bookmarkEnd w:id="3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8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solely in its capacity as the Stockholders’ Representative</w:t>
      </w:r>
    </w:p>
    <w:p>
      <w:pPr>
        <w:spacing w:after="0" w:line="180"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Sam Riffe</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6" w:name="page357"/>
    <w:bookmarkEnd w:id="3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SUPPORT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15, 2020,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set forth on Schedule I attached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Parent and each Stockholder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Stockholder is the record and beneficial owner of the number and type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under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and as a material 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Parent and the other Parent Parties would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and agreed to consummate the transactions contemplated by the Merger Agreement without each Stockholder entering into this Agreement and agreeing to be bound by the agreements, covenants and obligations contained in this Agreement.</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ind w:left="1060" w:hanging="174"/>
        <w:spacing w:after="0"/>
        <w:tabs>
          <w:tab w:leader="none" w:pos="10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Consent and Related Matters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08" w:lineRule="exact"/>
        <w:rPr>
          <w:rFonts w:ascii="Times New Roman" w:cs="Times New Roman" w:eastAsia="Times New Roman" w:hAnsi="Times New Roman"/>
          <w:sz w:val="18"/>
          <w:szCs w:val="18"/>
          <w:color w:val="auto"/>
        </w:rPr>
      </w:pPr>
    </w:p>
    <w:p>
      <w:pPr>
        <w:ind w:left="1320" w:right="479" w:firstLine="646"/>
        <w:spacing w:after="0" w:line="282" w:lineRule="auto"/>
        <w:tabs>
          <w:tab w:leader="none" w:pos="2188"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and the transactions contemplated thereby, including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7" w:name="page358"/>
    <w:bookmarkEnd w:id="3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firstLine="646"/>
        <w:spacing w:after="0" w:line="258" w:lineRule="auto"/>
        <w:tabs>
          <w:tab w:leader="none" w:pos="224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15" w:lineRule="exact"/>
        <w:rPr>
          <w:rFonts w:ascii="Times New Roman" w:cs="Times New Roman" w:eastAsia="Times New Roman" w:hAnsi="Times New Roman"/>
          <w:sz w:val="18"/>
          <w:szCs w:val="18"/>
          <w:color w:val="auto"/>
        </w:rPr>
      </w:pPr>
    </w:p>
    <w:p>
      <w:pPr>
        <w:jc w:val="both"/>
        <w:ind w:left="1320" w:right="479" w:firstLine="646"/>
        <w:spacing w:after="0" w:line="261" w:lineRule="auto"/>
        <w:tabs>
          <w:tab w:leader="none" w:pos="236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12" w:lineRule="exact"/>
        <w:rPr>
          <w:rFonts w:ascii="Times New Roman" w:cs="Times New Roman" w:eastAsia="Times New Roman" w:hAnsi="Times New Roman"/>
          <w:sz w:val="18"/>
          <w:szCs w:val="18"/>
          <w:color w:val="auto"/>
        </w:rPr>
      </w:pPr>
    </w:p>
    <w:p>
      <w:pPr>
        <w:jc w:val="both"/>
        <w:ind w:left="1320" w:right="459" w:firstLine="646"/>
        <w:spacing w:after="0" w:line="258" w:lineRule="auto"/>
        <w:tabs>
          <w:tab w:leader="none" w:pos="227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those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8" w:name="page359"/>
    <w:bookmarkEnd w:id="3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060" w:hanging="174"/>
        <w:spacing w:after="0"/>
        <w:tabs>
          <w:tab w:leader="none" w:pos="10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indemnification provisions that are contemplated to survive the agreement marked with an asterisk (*)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Stockholder shall deliver to Parent a duly executed copy of that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4"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Registration Rights Agreement, by and among Parent, the Company and the Specified Company Securityholders party thereto, in substantially the form attached as Exhibit F to the Merger Agreement and</w:t>
      </w:r>
    </w:p>
    <w:p>
      <w:pPr>
        <w:ind w:left="460" w:right="459" w:hanging="6"/>
        <w:spacing w:after="0" w:line="260" w:lineRule="auto"/>
        <w:tabs>
          <w:tab w:leader="none" w:pos="73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Voting Agreement, by and among Parent, the Company and the Specified Company Securityholders party thereto, in substantially the form attached as Exhibit D to the Merger Agreement.</w:t>
      </w:r>
    </w:p>
    <w:p>
      <w:pPr>
        <w:spacing w:after="0" w:line="113" w:lineRule="exact"/>
        <w:rPr>
          <w:rFonts w:ascii="Times New Roman" w:cs="Times New Roman" w:eastAsia="Times New Roman" w:hAnsi="Times New Roman"/>
          <w:sz w:val="18"/>
          <w:szCs w:val="18"/>
          <w:color w:val="auto"/>
        </w:rPr>
      </w:pPr>
    </w:p>
    <w:p>
      <w:pPr>
        <w:ind w:left="1080" w:hanging="194"/>
        <w:spacing w:after="0"/>
        <w:tabs>
          <w:tab w:leader="none" w:pos="108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w:t>
      </w:r>
      <w:r>
        <w:rPr>
          <w:rFonts w:ascii="Times New Roman" w:cs="Times New Roman" w:eastAsia="Times New Roman" w:hAnsi="Times New Roman"/>
          <w:sz w:val="18"/>
          <w:szCs w:val="18"/>
          <w:color w:val="auto"/>
        </w:rPr>
        <w:t>. Each Stockholder represents and warrants to Parent as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39"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0"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9"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4"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3"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9" w:name="page360"/>
    <w:bookmarkEnd w:id="3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21" w:lineRule="exact"/>
        <w:rPr>
          <w:sz w:val="20"/>
          <w:szCs w:val="20"/>
          <w:color w:val="auto"/>
        </w:rPr>
      </w:pPr>
    </w:p>
    <w:p>
      <w:pPr>
        <w:jc w:val="both"/>
        <w:ind w:left="460" w:right="459" w:firstLine="858"/>
        <w:spacing w:after="0" w:line="252" w:lineRule="auto"/>
        <w:tabs>
          <w:tab w:leader="none" w:pos="1590"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5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trust, proxy or other Contract with respect to the voting or Transfer of any of the Subject Company Shares.</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79"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4"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8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purchase right, or other Contract that would (either alone or in connection with one or more events or developments (including the satisfaction or waiver of any conditions precedent)) require such Stockholder to Transfer the Subject Company Shares or (ii) 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0" w:name="page361"/>
    <w:bookmarkEnd w:id="3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12" w:lineRule="exact"/>
        <w:rPr>
          <w:sz w:val="20"/>
          <w:szCs w:val="20"/>
          <w:color w:val="auto"/>
        </w:rPr>
      </w:pPr>
    </w:p>
    <w:p>
      <w:pPr>
        <w:jc w:val="both"/>
        <w:ind w:left="460" w:right="459" w:firstLine="426"/>
        <w:spacing w:after="0" w:line="258" w:lineRule="auto"/>
        <w:tabs>
          <w:tab w:leader="none" w:pos="107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 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a Stockholder, to the address specified by such Stockholder in writing.</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Attention:</w:t>
      </w: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Mitchell S. Bloom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mbloom@goodwinlaw.com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despinoza@goodwinlaw.com</w:t>
      </w:r>
    </w:p>
    <w:p>
      <w:pPr>
        <w:spacing w:after="0" w:line="137" w:lineRule="exact"/>
        <w:rPr>
          <w:sz w:val="20"/>
          <w:szCs w:val="20"/>
          <w:color w:val="auto"/>
        </w:rPr>
      </w:pPr>
    </w:p>
    <w:p>
      <w:pPr>
        <w:sectPr>
          <w:pgSz w:w="11900" w:h="16838" w:orient="portrait"/>
          <w:cols w:equalWidth="0" w:num="2">
            <w:col w:w="2040" w:space="300"/>
            <w:col w:w="6679"/>
          </w:cols>
          <w:pgMar w:left="1440" w:top="270" w:right="1440" w:bottom="1440" w:gutter="0" w:footer="0" w:header="0"/>
          <w:type w:val="continuous"/>
        </w:sect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1" w:name="page362"/>
    <w:bookmarkEnd w:id="3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61" w:lineRule="auto"/>
        <w:tabs>
          <w:tab w:leader="none" w:pos="109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21"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19"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1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15"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8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2" w:name="page363"/>
    <w:bookmarkEnd w:id="3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and delivered this Company Support Agreement as of the date first above written.</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8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51435</wp:posOffset>
            </wp:positionV>
            <wp:extent cx="23145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3" w:name="page364"/>
    <w:bookmarkEnd w:id="3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4" w:name="page365"/>
    <w:bookmarkEnd w:id="3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5" w:name="page366"/>
    <w:bookmarkEnd w:id="3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By: Atlas Venture Associates X, LLC</w:t>
      </w:r>
    </w:p>
    <w:p>
      <w:pPr>
        <w:spacing w:after="0" w:line="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6" w:name="page367"/>
    <w:bookmarkEnd w:id="3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7" w:name="page368"/>
    <w:bookmarkEnd w:id="3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under</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Convertible</w:t>
            </w:r>
          </w:p>
        </w:tc>
      </w:t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r>
      <w:tr>
        <w:trPr>
          <w:trHeight w:val="46"/>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11,653,137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976,931</w:t>
            </w: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1,587,559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133,112</w:t>
            </w:r>
          </w:p>
        </w:tc>
        <w:tc>
          <w:tcPr>
            <w:tcW w:w="1040" w:type="dxa"/>
            <w:vAlign w:val="bottom"/>
          </w:tcPr>
          <w:p>
            <w:pPr>
              <w:spacing w:after="0"/>
              <w:rPr>
                <w:sz w:val="21"/>
                <w:szCs w:val="21"/>
                <w:color w:val="auto"/>
              </w:rPr>
            </w:pPr>
          </w:p>
        </w:tc>
      </w:tr>
      <w:tr>
        <w:trPr>
          <w:trHeight w:val="41"/>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3,700,139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5,180,196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8" w:name="page369"/>
    <w:bookmarkEnd w:id="3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8" w:lineRule="exact"/>
        <w:rPr>
          <w:sz w:val="20"/>
          <w:szCs w:val="20"/>
          <w:color w:val="auto"/>
        </w:rPr>
      </w:pPr>
    </w:p>
    <w:p>
      <w:pPr>
        <w:jc w:val="both"/>
        <w:ind w:left="880" w:right="459" w:hanging="426"/>
        <w:spacing w:after="0" w:line="266" w:lineRule="auto"/>
        <w:tabs>
          <w:tab w:leader="none" w:pos="95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08"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9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26, 2019, by and among the Company and the Investors.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9" w:name="page370"/>
    <w:bookmarkEnd w:id="3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0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07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2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48" w:val="left"/>
        </w:tabs>
        <w:numPr>
          <w:ilvl w:val="2"/>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0" w:name="page371"/>
    <w:bookmarkEnd w:id="3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which is then in effect and has the effect of making consummation of the transactions contemplated hereby illegal or otherwise restraining or prohibiting consummation of the transactions contemplated hereby;</w:t>
      </w:r>
    </w:p>
    <w:p>
      <w:pPr>
        <w:spacing w:after="0" w:line="108" w:lineRule="exact"/>
        <w:rPr>
          <w:sz w:val="20"/>
          <w:szCs w:val="20"/>
          <w:color w:val="auto"/>
        </w:rPr>
      </w:pPr>
    </w:p>
    <w:p>
      <w:pPr>
        <w:jc w:val="both"/>
        <w:ind w:left="1320" w:right="459" w:firstLine="1078"/>
        <w:spacing w:after="0" w:line="266" w:lineRule="auto"/>
        <w:tabs>
          <w:tab w:leader="none" w:pos="2669"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64"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94" w:lineRule="exact"/>
        <w:rPr>
          <w:rFonts w:ascii="Times New Roman" w:cs="Times New Roman" w:eastAsia="Times New Roman" w:hAnsi="Times New Roman"/>
          <w:sz w:val="18"/>
          <w:szCs w:val="18"/>
          <w:color w:val="auto"/>
        </w:rPr>
      </w:pPr>
    </w:p>
    <w:p>
      <w:pPr>
        <w:ind w:left="2700" w:hanging="302"/>
        <w:spacing w:after="0"/>
        <w:tabs>
          <w:tab w:leader="none" w:pos="2700"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12"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9"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0"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19"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67"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56"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94" w:lineRule="exact"/>
        <w:rPr>
          <w:rFonts w:ascii="Times New Roman" w:cs="Times New Roman" w:eastAsia="Times New Roman" w:hAnsi="Times New Roman"/>
          <w:sz w:val="18"/>
          <w:szCs w:val="18"/>
          <w:color w:val="auto"/>
        </w:rPr>
      </w:pPr>
    </w:p>
    <w:p>
      <w:pPr>
        <w:jc w:val="both"/>
        <w:ind w:left="1320" w:right="479" w:firstLine="1078"/>
        <w:spacing w:after="0" w:line="266" w:lineRule="auto"/>
        <w:tabs>
          <w:tab w:leader="none" w:pos="2753"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1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1" w:name="page372"/>
    <w:bookmarkEnd w:id="3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6" w:lineRule="auto"/>
        <w:tabs>
          <w:tab w:leader="none" w:pos="159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57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7"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2" w:name="page373"/>
    <w:bookmarkEnd w:id="3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0" w:lineRule="exact"/>
        <w:rPr>
          <w:sz w:val="20"/>
          <w:szCs w:val="20"/>
          <w:color w:val="auto"/>
        </w:rPr>
      </w:pPr>
    </w:p>
    <w:p>
      <w:pPr>
        <w:jc w:val="both"/>
        <w:ind w:left="460" w:right="459" w:firstLine="858"/>
        <w:spacing w:after="0" w:line="258" w:lineRule="auto"/>
        <w:tabs>
          <w:tab w:leader="none" w:pos="1544"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3"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80"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decree, injunction, ruling or order of any governmental entity or arbitrator outstanding against FSD.</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1"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8"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8"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71"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3" w:name="page374"/>
    <w:bookmarkEnd w:id="3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1"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21"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4" w:name="page375"/>
    <w:bookmarkEnd w:id="3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57"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8"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4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7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2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3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5" w:name="page376"/>
    <w:bookmarkEnd w:id="3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58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60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6" w:name="page377"/>
    <w:bookmarkEnd w:id="3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sz w:val="20"/>
          <w:szCs w:val="20"/>
          <w:color w:val="auto"/>
        </w:rPr>
      </w:pPr>
    </w:p>
    <w:p>
      <w:pPr>
        <w:jc w:val="both"/>
        <w:ind w:left="460" w:right="459" w:firstLine="858"/>
        <w:spacing w:after="0" w:line="251" w:lineRule="auto"/>
        <w:tabs>
          <w:tab w:leader="none" w:pos="162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7" w:name="page378"/>
    <w:bookmarkEnd w:id="3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0" w:lineRule="exact"/>
        <w:rPr>
          <w:sz w:val="20"/>
          <w:szCs w:val="20"/>
          <w:color w:val="auto"/>
        </w:rPr>
      </w:pPr>
    </w:p>
    <w:p>
      <w:pPr>
        <w:jc w:val="both"/>
        <w:ind w:left="460" w:right="459" w:firstLine="858"/>
        <w:spacing w:after="0" w:line="252" w:lineRule="auto"/>
        <w:tabs>
          <w:tab w:leader="none" w:pos="156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0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07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Waiver.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8" w:name="page379"/>
    <w:bookmarkEnd w:id="3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6" w:lineRule="exact"/>
        <w:rPr>
          <w:sz w:val="20"/>
          <w:szCs w:val="20"/>
          <w:color w:val="auto"/>
        </w:rPr>
      </w:pPr>
    </w:p>
    <w:p>
      <w:pPr>
        <w:ind w:left="1160" w:hanging="274"/>
        <w:spacing w:after="0"/>
        <w:tabs>
          <w:tab w:leader="none" w:pos="11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8"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21"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4"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08"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9" w:name="page380"/>
    <w:bookmarkEnd w:id="3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8" w:lineRule="auto"/>
        <w:tabs>
          <w:tab w:leader="none" w:pos="159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1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858"/>
        <w:spacing w:after="0" w:line="261" w:lineRule="auto"/>
        <w:tabs>
          <w:tab w:leader="none" w:pos="163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0" w:name="page381"/>
    <w:bookmarkEnd w:id="3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Times New Roman" w:cs="Times New Roman" w:eastAsia="Times New Roman" w:hAnsi="Times New Roman"/>
          <w:sz w:val="18"/>
          <w:szCs w:val="18"/>
          <w:u w:val="single" w:color="auto"/>
          <w:color w:val="auto"/>
        </w:rPr>
        <w:t>joel.rubinstein@whitecase.com</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426"/>
        <w:spacing w:after="0" w:line="252" w:lineRule="auto"/>
        <w:tabs>
          <w:tab w:leader="none" w:pos="118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2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1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1" w:name="page382"/>
    <w:bookmarkEnd w:id="3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ectPr>
          <w:pgSz w:w="11900" w:h="16838" w:orient="portrait"/>
          <w:cols w:equalWidth="0" w:num="1">
            <w:col w:w="9019"/>
          </w:cols>
          <w:pgMar w:left="1440" w:top="270" w:right="1440" w:bottom="1440" w:gutter="0" w:footer="0" w:header="0"/>
        </w:sect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Investor: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_______________________________</w:t>
      </w:r>
    </w:p>
    <w:p>
      <w:pPr>
        <w:spacing w:after="0" w:line="198"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Name in which Shares are to be registered (if different):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EIN: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subscribed for: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Aggregate Subscription Amount: $</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Address-Street (if different):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$10</w:t>
      </w:r>
    </w:p>
    <w:p>
      <w:pPr>
        <w:spacing w:after="0" w:line="200"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spacing w:after="0" w:line="3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2" w:name="page383"/>
    <w:bookmarkEnd w:id="3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3" w:name="page384"/>
    <w:bookmarkEnd w:id="3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16" w:lineRule="exact"/>
        <w:rPr>
          <w:sz w:val="20"/>
          <w:szCs w:val="20"/>
          <w:color w:val="auto"/>
        </w:rPr>
      </w:pPr>
    </w:p>
    <w:p>
      <w:pPr>
        <w:ind w:left="880" w:right="4419" w:hanging="426"/>
        <w:spacing w:after="0" w:line="395" w:lineRule="auto"/>
        <w:tabs>
          <w:tab w:leader="none" w:pos="880"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100" w:hanging="214"/>
        <w:spacing w:after="0"/>
        <w:tabs>
          <w:tab w:leader="none" w:pos="1100" w:val="left"/>
        </w:tabs>
        <w:numPr>
          <w:ilvl w:val="1"/>
          <w:numId w:val="3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25" w:lineRule="exact"/>
        <w:rPr>
          <w:rFonts w:ascii="MS PGothic" w:cs="MS PGothic" w:eastAsia="MS PGothic" w:hAnsi="MS PGothic"/>
          <w:sz w:val="18"/>
          <w:szCs w:val="18"/>
          <w:color w:val="auto"/>
        </w:rPr>
      </w:pPr>
    </w:p>
    <w:p>
      <w:pPr>
        <w:ind w:left="880" w:right="3979" w:hanging="426"/>
        <w:spacing w:after="0" w:line="360" w:lineRule="auto"/>
        <w:tabs>
          <w:tab w:leader="none" w:pos="8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66" w:lineRule="exact"/>
        <w:rPr>
          <w:sz w:val="20"/>
          <w:szCs w:val="20"/>
          <w:color w:val="auto"/>
        </w:rPr>
      </w:pPr>
    </w:p>
    <w:p>
      <w:pPr>
        <w:jc w:val="both"/>
        <w:ind w:left="1320" w:right="459" w:hanging="434"/>
        <w:spacing w:after="0" w:line="228" w:lineRule="exact"/>
        <w:tabs>
          <w:tab w:leader="none" w:pos="1306" w:val="left"/>
        </w:tabs>
        <w:numPr>
          <w:ilvl w:val="0"/>
          <w:numId w:val="3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1"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17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880" w:right="459" w:firstLine="6"/>
        <w:spacing w:after="0" w:line="282" w:lineRule="auto"/>
        <w:tabs>
          <w:tab w:leader="none" w:pos="1109"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MS PGothic" w:cs="MS PGothic" w:eastAsia="MS PGothic" w:hAnsi="MS PGothic"/>
          <w:sz w:val="18"/>
          <w:szCs w:val="18"/>
          <w:color w:val="auto"/>
        </w:rPr>
      </w:pPr>
    </w:p>
    <w:p>
      <w:pPr>
        <w:jc w:val="both"/>
        <w:ind w:left="880" w:right="459" w:firstLine="6"/>
        <w:spacing w:after="0" w:line="266" w:lineRule="auto"/>
        <w:tabs>
          <w:tab w:leader="none" w:pos="115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94" w:lineRule="exact"/>
        <w:rPr>
          <w:rFonts w:ascii="MS PGothic" w:cs="MS PGothic" w:eastAsia="MS PGothic" w:hAnsi="MS PGothic"/>
          <w:sz w:val="18"/>
          <w:szCs w:val="18"/>
          <w:color w:val="auto"/>
        </w:rPr>
      </w:pPr>
    </w:p>
    <w:p>
      <w:pPr>
        <w:jc w:val="both"/>
        <w:ind w:left="880" w:right="479" w:firstLine="6"/>
        <w:spacing w:after="0" w:line="266" w:lineRule="auto"/>
        <w:tabs>
          <w:tab w:leader="none" w:pos="1101"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08" w:lineRule="exact"/>
        <w:rPr>
          <w:rFonts w:ascii="MS PGothic" w:cs="MS PGothic" w:eastAsia="MS PGothic" w:hAnsi="MS PGothic"/>
          <w:sz w:val="18"/>
          <w:szCs w:val="18"/>
          <w:color w:val="auto"/>
        </w:rPr>
      </w:pPr>
    </w:p>
    <w:p>
      <w:pPr>
        <w:jc w:val="both"/>
        <w:ind w:left="880" w:right="459" w:firstLine="6"/>
        <w:spacing w:after="0" w:line="266" w:lineRule="auto"/>
        <w:tabs>
          <w:tab w:leader="none" w:pos="111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8" w:lineRule="exact"/>
        <w:rPr>
          <w:rFonts w:ascii="MS PGothic" w:cs="MS PGothic" w:eastAsia="MS PGothic" w:hAnsi="MS PGothic"/>
          <w:sz w:val="18"/>
          <w:szCs w:val="18"/>
          <w:color w:val="auto"/>
        </w:rPr>
      </w:pPr>
    </w:p>
    <w:p>
      <w:pPr>
        <w:ind w:left="880" w:right="479" w:firstLine="6"/>
        <w:spacing w:after="0" w:line="282" w:lineRule="auto"/>
        <w:tabs>
          <w:tab w:leader="none" w:pos="1116"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80" w:lineRule="exact"/>
        <w:rPr>
          <w:rFonts w:ascii="MS PGothic" w:cs="MS PGothic" w:eastAsia="MS PGothic" w:hAnsi="MS PGothic"/>
          <w:sz w:val="18"/>
          <w:szCs w:val="18"/>
          <w:color w:val="auto"/>
        </w:rPr>
      </w:pPr>
    </w:p>
    <w:p>
      <w:pPr>
        <w:ind w:left="880" w:right="479" w:firstLine="6"/>
        <w:spacing w:after="0" w:line="282" w:lineRule="auto"/>
        <w:tabs>
          <w:tab w:leader="none" w:pos="109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9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100" w:hanging="214"/>
        <w:spacing w:after="0"/>
        <w:tabs>
          <w:tab w:leader="none" w:pos="110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4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9" w:lineRule="exact"/>
        <w:rPr>
          <w:sz w:val="20"/>
          <w:szCs w:val="20"/>
          <w:color w:val="auto"/>
        </w:rPr>
      </w:pPr>
    </w:p>
    <w:p>
      <w:pPr>
        <w:jc w:val="both"/>
        <w:ind w:left="1320" w:right="459" w:hanging="434"/>
        <w:spacing w:after="0" w:line="228" w:lineRule="exact"/>
        <w:tabs>
          <w:tab w:leader="none" w:pos="1347" w:val="left"/>
        </w:tabs>
        <w:numPr>
          <w:ilvl w:val="0"/>
          <w:numId w:val="3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88"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18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4" w:name="page385"/>
    <w:bookmarkEnd w:id="3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8" w:lineRule="exact"/>
        <w:rPr>
          <w:sz w:val="20"/>
          <w:szCs w:val="20"/>
          <w:color w:val="auto"/>
        </w:rPr>
      </w:pPr>
    </w:p>
    <w:p>
      <w:pPr>
        <w:ind w:left="880" w:right="459" w:firstLine="6"/>
        <w:spacing w:after="0" w:line="282" w:lineRule="auto"/>
        <w:tabs>
          <w:tab w:leader="none" w:pos="1098"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MS PGothic" w:cs="MS PGothic" w:eastAsia="MS PGothic" w:hAnsi="MS PGothic"/>
          <w:sz w:val="18"/>
          <w:szCs w:val="18"/>
          <w:color w:val="auto"/>
        </w:rPr>
      </w:pPr>
    </w:p>
    <w:p>
      <w:pPr>
        <w:jc w:val="both"/>
        <w:ind w:left="880" w:right="459" w:firstLine="6"/>
        <w:spacing w:after="0" w:line="254" w:lineRule="auto"/>
        <w:tabs>
          <w:tab w:leader="none" w:pos="1088"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07" w:lineRule="exact"/>
        <w:rPr>
          <w:rFonts w:ascii="MS PGothic" w:cs="MS PGothic" w:eastAsia="MS PGothic" w:hAnsi="MS PGothic"/>
          <w:sz w:val="18"/>
          <w:szCs w:val="18"/>
          <w:color w:val="auto"/>
        </w:rPr>
      </w:pPr>
    </w:p>
    <w:p>
      <w:pPr>
        <w:jc w:val="both"/>
        <w:ind w:left="880" w:right="459" w:firstLine="6"/>
        <w:spacing w:after="0" w:line="266" w:lineRule="auto"/>
        <w:tabs>
          <w:tab w:leader="none" w:pos="1088"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5" w:name="page386"/>
    <w:bookmarkEnd w:id="3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PARENT SUPPORT AGREEMENT, dated as of October __,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each of the stockholders of Parent whose names appear on the signature pages of this Agreement (each, a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Capitalized terms used herein and not otherwise defined will have the meaning given such terms in the Merger Agreement (as defined below).</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WHEREAS,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and the Company to enter into the Merger Agreement, the Founders are executing and delivering this Agreement to Parent and the Company.</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95" w:lineRule="exact"/>
        <w:rPr>
          <w:sz w:val="20"/>
          <w:szCs w:val="20"/>
          <w:color w:val="auto"/>
        </w:rPr>
      </w:pPr>
    </w:p>
    <w:p>
      <w:pPr>
        <w:jc w:val="both"/>
        <w:ind w:left="460" w:right="459" w:firstLine="426"/>
        <w:spacing w:after="0" w:line="25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6" w:name="page387"/>
    <w:bookmarkEnd w:id="3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6" w:lineRule="auto"/>
        <w:tabs>
          <w:tab w:leader="none" w:pos="1112"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8"/>
          <w:szCs w:val="18"/>
          <w:u w:val="single" w:color="auto"/>
          <w:color w:val="auto"/>
        </w:rPr>
        <w:t>Maximum Liability Amount</w:t>
      </w:r>
      <w:r>
        <w:rPr>
          <w:rFonts w:ascii="Times New Roman" w:cs="Times New Roman" w:eastAsia="Times New Roman" w:hAnsi="Times New Roman"/>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Founder, severally and not jointly, represents and warrants to the Company as follows: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35"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of such Founder) or (iv) conflict with or result in a breach of or constitute a default under any provision of such Founder’s Organizational Documents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7"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5"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Founder has the power, authority and capacity to execute, deliver and perform this Agreement and that this Agreement has been duly authorized, executed and delivered by such Founder.</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99"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06"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1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7" w:name="page388"/>
    <w:bookmarkEnd w:id="3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26"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if to a Founder, to the address or facsimile number set forth for Founder on the signature page hereof.</w:t>
      </w:r>
    </w:p>
    <w:p>
      <w:pPr>
        <w:spacing w:after="0" w:line="94" w:lineRule="exact"/>
        <w:rPr>
          <w:sz w:val="20"/>
          <w:szCs w:val="20"/>
          <w:color w:val="auto"/>
        </w:rPr>
      </w:pPr>
    </w:p>
    <w:p>
      <w:pPr>
        <w:jc w:val="both"/>
        <w:ind w:left="460" w:right="479" w:firstLine="858"/>
        <w:spacing w:after="0" w:line="254" w:lineRule="auto"/>
        <w:tabs>
          <w:tab w:leader="none" w:pos="156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68"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8" w:name="page389"/>
    <w:bookmarkEnd w:id="3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16" w:lineRule="exact"/>
        <w:rPr>
          <w:sz w:val="20"/>
          <w:szCs w:val="20"/>
          <w:color w:val="auto"/>
        </w:rPr>
      </w:pPr>
    </w:p>
    <w:p>
      <w:pPr>
        <w:jc w:val="both"/>
        <w:ind w:left="460" w:right="459" w:firstLine="858"/>
        <w:spacing w:after="0" w:line="261" w:lineRule="auto"/>
        <w:tabs>
          <w:tab w:leader="none" w:pos="159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5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5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the Company, Sponsor or any Founder until such time as the Merger Agreement is executed.</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9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9" w:name="page390"/>
    <w:bookmarkEnd w:id="3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0" w:name="page391"/>
    <w:bookmarkEnd w:id="3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FOUNDERS: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Robert Carey</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Daniel Dubin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Deepa Pakianathan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1" w:name="page392"/>
    <w:bookmarkEnd w:id="3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FOUNDERS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4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Parent Class B</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12"/>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Founder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6"/>
        </w:trPr>
        <w:tc>
          <w:tcPr>
            <w:tcW w:w="5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Holdings, LLC</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1"/>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2" w:name="page393"/>
    <w:bookmarkEnd w:id="3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VOTING AGREEMENT dated as of [•],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FS Development Holdings, LLC, a Delaware limited liability company (“</w:t>
      </w:r>
      <w:r>
        <w:rPr>
          <w:rFonts w:ascii="Times New Roman" w:cs="Times New Roman" w:eastAsia="Times New Roman" w:hAnsi="Times New Roman"/>
          <w:sz w:val="18"/>
          <w:szCs w:val="18"/>
          <w:u w:val="single" w:color="auto"/>
          <w:color w:val="auto"/>
        </w:rPr>
        <w:t>FS Sponsor</w:t>
      </w:r>
      <w:r>
        <w:rPr>
          <w:rFonts w:ascii="Times New Roman" w:cs="Times New Roman" w:eastAsia="Times New Roman" w:hAnsi="Times New Roman"/>
          <w:sz w:val="18"/>
          <w:szCs w:val="18"/>
          <w:color w:val="auto"/>
        </w:rPr>
        <w:t>”), Gemini Therapeutics, Inc., a Delaware corporation formerly known as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individuals and entities executing a counterpart signature page to this Agreement (each, a “</w:t>
      </w:r>
      <w:r>
        <w:rPr>
          <w:rFonts w:ascii="Times New Roman" w:cs="Times New Roman" w:eastAsia="Times New Roman" w:hAnsi="Times New Roman"/>
          <w:sz w:val="18"/>
          <w:szCs w:val="18"/>
          <w:u w:val="single" w:color="auto"/>
          <w:color w:val="auto"/>
        </w:rPr>
        <w:t>Voting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dated as of October [•],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all capitalized terms used, but not otherwise defined herein, shall have the meanings ascribed to such terms in the Merger Agreement;</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is a condition to the closing of the Merger and the other transactions contemplated by the Merger Agreement.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58" w:lineRule="exact"/>
        <w:rPr>
          <w:sz w:val="20"/>
          <w:szCs w:val="20"/>
          <w:color w:val="auto"/>
        </w:rPr>
      </w:pPr>
    </w:p>
    <w:p>
      <w:pPr>
        <w:jc w:val="both"/>
        <w:ind w:left="460" w:right="479" w:firstLine="426"/>
        <w:spacing w:after="0" w:line="262" w:lineRule="auto"/>
        <w:tabs>
          <w:tab w:leader="none" w:pos="108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During the Term (as defined below), each Voting Party agrees to vote all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that it owns from time to time and may vote in the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this Agreement, whether at a regular or special meeting of stockholders or by written consent.</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full seven (7) member Board will be comprised of Jason Meyenberg, Jim Tananbaum, Carl Gordon and four (4) other members of the Gemini board of directors.</w:t>
      </w:r>
    </w:p>
    <w:p>
      <w:pPr>
        <w:spacing w:after="0" w:line="94"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2.2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3" w:name="page394"/>
    <w:bookmarkEnd w:id="3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12"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2.3 Provisions relating to authority to appoint four (4) of the Gemini directors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be determined by Gemini’s current board of directors at its sole discretion.</w:t>
      </w:r>
    </w:p>
    <w:p>
      <w:pPr>
        <w:spacing w:after="0" w:line="94"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02"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23" w:lineRule="exact"/>
        <w:rPr>
          <w:sz w:val="20"/>
          <w:szCs w:val="20"/>
          <w:color w:val="auto"/>
        </w:rPr>
      </w:pPr>
    </w:p>
    <w:p>
      <w:pPr>
        <w:jc w:val="both"/>
        <w:ind w:left="460" w:right="479" w:firstLine="426"/>
        <w:spacing w:after="0" w:line="262"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in Interest of the Voting Parties and the Company</w:t>
      </w:r>
      <w:r>
        <w:rPr>
          <w:rFonts w:ascii="Times New Roman" w:cs="Times New Roman" w:eastAsia="Times New Roman" w:hAnsi="Times New Roman"/>
          <w:sz w:val="18"/>
          <w:szCs w:val="18"/>
          <w:color w:val="auto"/>
        </w:rPr>
        <w:t>. The provisions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binding upon the successors in 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Proxy</w:t>
      </w:r>
      <w:r>
        <w:rPr>
          <w:rFonts w:ascii="Times New Roman" w:cs="Times New Roman" w:eastAsia="Times New Roman" w:hAnsi="Times New Roman"/>
          <w:sz w:val="18"/>
          <w:szCs w:val="18"/>
          <w:color w:val="auto"/>
        </w:rPr>
        <w:t>. The parties agree that this Agreement does not constitute the granting of a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party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9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Enforcement</w:t>
      </w:r>
      <w:r>
        <w:rPr>
          <w:rFonts w:ascii="Times New Roman" w:cs="Times New Roman" w:eastAsia="Times New Roman" w:hAnsi="Times New Roman"/>
          <w:sz w:val="18"/>
          <w:szCs w:val="18"/>
          <w:color w:val="auto"/>
        </w:rPr>
        <w:t>. It is agreed and understood that (a) monetary damages would not 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compensate an injured party for the breach of this Agreement by any party hereto, (b) this Agreement shall be specifically enforceable and (c) any breach of this Agreement shall be the proper subject of a temporary or permanent injunction or restraining order.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Manner of Voting</w:t>
      </w:r>
      <w:r>
        <w:rPr>
          <w:rFonts w:ascii="Times New Roman" w:cs="Times New Roman" w:eastAsia="Times New Roman" w:hAnsi="Times New Roman"/>
          <w:sz w:val="18"/>
          <w:szCs w:val="18"/>
          <w:color w:val="auto"/>
        </w:rPr>
        <w:t>. The voting of the Voting Shares pursuant to this Agreement may be effected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by proxy, by written consent or in any other manner permitted by applicable law.</w:t>
      </w:r>
    </w:p>
    <w:p>
      <w:pPr>
        <w:spacing w:after="0" w:line="8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on the last day of the Term.</w:t>
      </w:r>
    </w:p>
    <w:p>
      <w:pPr>
        <w:spacing w:after="0" w:line="144"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Except as otherwise provided herein, any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the observance thereof may be waived (either generally or in a particular instance and either retroactively or prospectively) only with the written consent of the Company, FS Sponsor and [•].</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0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Splits, Stock Dividends, etc</w:t>
      </w:r>
      <w:r>
        <w:rPr>
          <w:rFonts w:ascii="Times New Roman" w:cs="Times New Roman" w:eastAsia="Times New Roman" w:hAnsi="Times New Roman"/>
          <w:sz w:val="18"/>
          <w:szCs w:val="18"/>
          <w:color w:val="auto"/>
        </w:rPr>
        <w:t>. In the event of any stock split, stock dividend, recapitalization,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or the like, any securities issued with respect to Voting Shares held by the Voting Parties shall become Voting Shares for purposes of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4" w:name="page395"/>
    <w:bookmarkEnd w:id="3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68" w:lineRule="auto"/>
        <w:tabs>
          <w:tab w:leader="none" w:pos="122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any provision of the Agreement shall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the validity, legality and enforceability of the remaining provisions shall not in any way be affected or impaired thereby.</w:t>
      </w:r>
    </w:p>
    <w:p>
      <w:pPr>
        <w:spacing w:after="0" w:line="103"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16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legal relations between the parties arising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by and interpreted in accordance with the laws of the State of Delaware without reference to its conflicts of law provisions.</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16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Electronic Execution or Delivery</w:t>
      </w:r>
      <w:r>
        <w:rPr>
          <w:rFonts w:ascii="Times New Roman" w:cs="Times New Roman" w:eastAsia="Times New Roman" w:hAnsi="Times New Roman"/>
          <w:sz w:val="18"/>
          <w:szCs w:val="18"/>
          <w:color w:val="auto"/>
        </w:rPr>
        <w:t>. This Agreement may be executed in two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98"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17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in this Agreement,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inure to the benefit of, and be binding upon, the successors and assigns of the parties hereto.</w:t>
      </w:r>
    </w:p>
    <w:p>
      <w:pPr>
        <w:spacing w:after="0" w:line="87"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18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full and entire understanding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supersedes any prior 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5" w:name="page396"/>
    <w:bookmarkEnd w:id="3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this Voting Agreement is hereby executed effective as of the date first set forth above.</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1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corporation f/k/a FS Development Corp.</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6" w:name="page397"/>
    <w:bookmarkEnd w:id="3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7" w:name="page398"/>
    <w:bookmarkEnd w:id="3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8" w:name="page399"/>
    <w:bookmarkEnd w:id="3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ESCROW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FS Development Holdings, LLC, a Delaware limited liability company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of the Company Securityholders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solely in its capacity as the representative, agent and attorney-in-fact of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Continental Stock Transfer &amp; Trust Company, a New York corporation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FSG Merger Sub Inc., a Delaware corporation and a wholly-owned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Stockholder Representative entered into an Agreement and Plan of Merger, dated October [•], 2020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0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4.1(i) of the Merger Agreement, Parent is required to deposit 2,150,000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Class A Shares, par value $0.0001 per share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covenants hereinafter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as follows:</w:t>
      </w:r>
    </w:p>
    <w:p>
      <w:pPr>
        <w:spacing w:after="0" w:line="87" w:lineRule="exact"/>
        <w:rPr>
          <w:sz w:val="20"/>
          <w:szCs w:val="20"/>
          <w:color w:val="auto"/>
        </w:rPr>
      </w:pPr>
    </w:p>
    <w:p>
      <w:pPr>
        <w:ind w:left="1060" w:hanging="174"/>
        <w:spacing w:after="0"/>
        <w:tabs>
          <w:tab w:leader="none" w:pos="10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Defined Terms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8"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04"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9"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20" w:right="459" w:firstLine="1078"/>
        <w:spacing w:after="0" w:line="258" w:lineRule="auto"/>
        <w:tabs>
          <w:tab w:leader="none" w:pos="2628"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102"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3"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paid with respect to the Escrow Shares (collectively, the “</w:t>
      </w:r>
      <w:r>
        <w:rPr>
          <w:rFonts w:ascii="Times New Roman" w:cs="Times New Roman" w:eastAsia="Times New Roman" w:hAnsi="Times New Roman"/>
          <w:sz w:val="18"/>
          <w:szCs w:val="18"/>
          <w:u w:val="single" w:color="auto"/>
          <w:color w:val="auto"/>
        </w:rPr>
        <w:t>Escrowed Dividends</w:t>
      </w:r>
      <w:r>
        <w:rPr>
          <w:rFonts w:ascii="Times New Roman" w:cs="Times New Roman" w:eastAsia="Times New Roman" w:hAnsi="Times New Roman"/>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9" w:name="page400"/>
    <w:bookmarkEnd w:id="3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firstLine="1078"/>
        <w:spacing w:after="0" w:line="258" w:lineRule="auto"/>
        <w:tabs>
          <w:tab w:leader="none" w:pos="2809"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shall be appropriately adjusted on a pro rata basis.</w:t>
      </w:r>
    </w:p>
    <w:p>
      <w:pPr>
        <w:spacing w:after="0" w:line="111"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Disposition and Termination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8"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7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Escrow Agent has been able to satisfy any applicable security procedures as may be required hereunder and as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3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11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1"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resignation shall not take effect until a successor escrow agent has been appointed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the parties hereto have jointly failed to appoint a successor escrow agent prior to the expiration of thirty (30) days following receipt of the notice of resignation, the Escrow Agent may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0" w:name="page401"/>
    <w:bookmarkEnd w:id="4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27" w:lineRule="exact"/>
        <w:rPr>
          <w:sz w:val="20"/>
          <w:szCs w:val="20"/>
          <w:color w:val="auto"/>
        </w:rPr>
      </w:pPr>
    </w:p>
    <w:p>
      <w:pPr>
        <w:jc w:val="both"/>
        <w:ind w:left="460" w:right="479" w:firstLine="858"/>
        <w:spacing w:after="0" w:line="266" w:lineRule="auto"/>
        <w:tabs>
          <w:tab w:leader="none" w:pos="159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04"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9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and Reimbursement. </w:t>
      </w:r>
      <w:r>
        <w:rPr>
          <w:rFonts w:ascii="Times New Roman" w:cs="Times New Roman" w:eastAsia="Times New Roman" w:hAnsi="Times New Roman"/>
          <w:sz w:val="18"/>
          <w:szCs w:val="18"/>
          <w:color w:val="auto"/>
        </w:rPr>
        <w:t>The Escrow Agent shall be entitled to compensation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under this Agreement as Escrow Agent and for reimbursement for its reasonable and documented out-of-pocket costs and expenses, in the amounts and payable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such compensation, expenses, disbursements and advances shall not be paid from the Escrow Shares. The obligations of Parent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resignation, replacement or removal of the Escrow Agent or the termination of this Agreement.</w:t>
      </w:r>
    </w:p>
    <w:p>
      <w:pPr>
        <w:spacing w:after="0" w:line="103"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9"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termination of this Agreement or the resignation, replacement or removal of the Escrow Agent for any reason.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1" w:name="page402"/>
    <w:bookmarkEnd w:id="4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060" w:hanging="174"/>
        <w:spacing w:after="0"/>
        <w:tabs>
          <w:tab w:leader="none" w:pos="10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Disclosure/Taxpayer Identification Numbers/Tax Reporting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2"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w:t>
      </w:r>
      <w:r>
        <w:rPr>
          <w:rFonts w:ascii="Times New Roman" w:cs="Times New Roman" w:eastAsia="Times New Roman" w:hAnsi="Times New Roman"/>
          <w:sz w:val="18"/>
          <w:szCs w:val="18"/>
          <w:color w:val="auto"/>
        </w:rPr>
        <w:t>. Section 326 of the Uniting and Strengthening America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Tools Required to Intercept and Obstruct Terrorism Act of 2001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8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5"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49"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072"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communications hereunder shall be deemed to have been duly given and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 writing and if (i) served by personal delivery upon the party for whom it is intended, (ii) delivered by registered or certified mail, return receipt requested, or by Federal Express or similar overnight courier, or</w:t>
      </w:r>
    </w:p>
    <w:p>
      <w:pPr>
        <w:jc w:val="both"/>
        <w:ind w:left="460" w:right="459" w:hanging="6"/>
        <w:spacing w:after="0" w:line="255" w:lineRule="auto"/>
        <w:tabs>
          <w:tab w:leader="none" w:pos="78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Sponsor:</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Stockholder Representative:</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Escrow Agent: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Continental Stock Transfer and Trust</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One State Street —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No: (212) 616-7615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George Dalton</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2" w:name="page403"/>
    <w:bookmarkEnd w:id="4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54" w:lineRule="auto"/>
        <w:tabs>
          <w:tab w:leader="none" w:pos="120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Notwithstanding anything to the contrary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setting forth, claiming, containing, objecting to, or in any way related to the transfer or distribution, including but not limited to any transfer instructions that may otherwise be set forth in a written instruction permitted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as further evidenced by a confirmed transmittal to that number.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6"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2"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9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Court Orders. </w:t>
      </w:r>
      <w:r>
        <w:rPr>
          <w:rFonts w:ascii="Times New Roman" w:cs="Times New Roman" w:eastAsia="Times New Roman" w:hAnsi="Times New Roman"/>
          <w:sz w:val="18"/>
          <w:szCs w:val="18"/>
          <w:color w:val="auto"/>
        </w:rPr>
        <w:t>In the event that any escrow property shall be attached, garnished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levied upon by any court order, or the 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Except for changes to transfer instructions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waived, altered, 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3" w:name="page404"/>
    <w:bookmarkEnd w:id="4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 left blank]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4" w:name="page405"/>
    <w:bookmarkEnd w:id="4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executed this Agreement as of the date set forth above.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solely in its capacity as the representative of the Company Securityholders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CONTINENTAL STOCK TRANSFER AND TRUST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Escrow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5" w:name="page406"/>
    <w:bookmarkEnd w:id="4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Schedule l</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Person(s) Designated by Sponsor to give Escrow Shares Transfer Instructions</w:t>
      </w:r>
    </w:p>
    <w:p>
      <w:pPr>
        <w:spacing w:after="0" w:line="209" w:lineRule="exact"/>
        <w:rPr>
          <w:sz w:val="20"/>
          <w:szCs w:val="20"/>
          <w:color w:val="auto"/>
        </w:rPr>
      </w:pPr>
    </w:p>
    <w:p>
      <w:pPr>
        <w:jc w:val="both"/>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be completed by Sponsor]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6" w:name="page407"/>
    <w:bookmarkEnd w:id="4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Person(s) Designated by Stockholder Representative to give Escrow Shares Transfer Instructions</w:t>
      </w:r>
    </w:p>
    <w:p>
      <w:pPr>
        <w:spacing w:after="0" w:line="221" w:lineRule="exact"/>
        <w:rPr>
          <w:sz w:val="20"/>
          <w:szCs w:val="20"/>
          <w:color w:val="auto"/>
        </w:rPr>
      </w:pPr>
    </w:p>
    <w:p>
      <w:pPr>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#1</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#2</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#3</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#4</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7" w:name="page408"/>
    <w:bookmarkEnd w:id="4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8" w:name="page409"/>
    <w:bookmarkEnd w:id="4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 2020, by and among FS Development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parties listed as Investors on Schedule I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 and Gemini Therapeutics, Inc., a Delaware company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WHEREAS, the Company, FSG Merger Sub, Inc., a Delaware corporation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pursuant to which, among other things: (a) Merger Sub will merge with and into Gemini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Gemini surviving the Merger as a wholly-owned subsidiary of Company;</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Investors listed as Company Investors on Schedule I hereto (collectively, the “</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are parties to that certain Registration Rights Agreement, dated August 11, 2020 (the “</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0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WHEREAS, the Company Investors and Gemini Investors listed on Schedule I hereto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subscribed to purchase shares of Common Stock in the Private Placement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in connection with the consummation of the Merger; and</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DEFINITIONS. The following capitalized terms used herein have the following meanings: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Addendum Agreement</w:t>
      </w:r>
      <w:r>
        <w:rPr>
          <w:rFonts w:ascii="Times New Roman" w:cs="Times New Roman" w:eastAsia="Times New Roman" w:hAnsi="Times New Roman"/>
          <w:sz w:val="18"/>
          <w:szCs w:val="18"/>
          <w:color w:val="auto"/>
        </w:rPr>
        <w:t>” is defined in Section 7.2.</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Bylaws</w:t>
      </w:r>
      <w:r>
        <w:rPr>
          <w:rFonts w:ascii="Times New Roman" w:cs="Times New Roman" w:eastAsia="Times New Roman" w:hAnsi="Times New Roman"/>
          <w:sz w:val="18"/>
          <w:szCs w:val="18"/>
          <w:color w:val="auto"/>
        </w:rPr>
        <w:t>” means the bylaws of the Company, as amended, modified, supplemented or restated and in effect from time to time.</w:t>
      </w:r>
    </w:p>
    <w:p>
      <w:pPr>
        <w:spacing w:after="0" w:line="7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is defined in Section 3.1.3.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9" w:name="page410"/>
    <w:bookmarkEnd w:id="4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S-1</w:t>
      </w:r>
      <w:r>
        <w:rPr>
          <w:rFonts w:ascii="Times New Roman" w:cs="Times New Roman" w:eastAsia="Times New Roman" w:hAnsi="Times New Roman"/>
          <w:sz w:val="18"/>
          <w:szCs w:val="18"/>
          <w:color w:val="auto"/>
        </w:rPr>
        <w:t>” means a Registration Statement on Form S-1.</w:t>
      </w:r>
    </w:p>
    <w:p>
      <w:pPr>
        <w:spacing w:after="0" w:line="158"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means a Registration Statement on Form S-3 or any similar short-form registration that may be available at such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 Investors</w:t>
      </w:r>
      <w:r>
        <w:rPr>
          <w:rFonts w:ascii="Times New Roman" w:cs="Times New Roman" w:eastAsia="Times New Roman" w:hAnsi="Times New Roman"/>
          <w:sz w:val="18"/>
          <w:szCs w:val="18"/>
          <w:color w:val="auto"/>
        </w:rPr>
        <w:t>” is defined in the recitals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Investor” and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2.2.4.</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w:t>
      </w:r>
    </w:p>
    <w:p>
      <w:pPr>
        <w:ind w:left="780" w:hanging="326"/>
        <w:spacing w:after="0"/>
        <w:tabs>
          <w:tab w:leader="none" w:pos="7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issued to any Investor with respect to such securities referred to in clauses</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67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1" w:lineRule="exact"/>
        <w:rPr>
          <w:rFonts w:ascii="Times New Roman" w:cs="Times New Roman" w:eastAsia="Times New Roman" w:hAnsi="Times New Roman"/>
          <w:sz w:val="18"/>
          <w:szCs w:val="18"/>
          <w:color w:val="auto"/>
        </w:rPr>
      </w:pPr>
    </w:p>
    <w:p>
      <w:pPr>
        <w:jc w:val="both"/>
        <w:ind w:left="46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0" w:name="page411"/>
    <w:bookmarkEnd w:id="4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Requesting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Subsequent Shelf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(i) sell, offer to sell, contract or agree to sell, hypothecate, pledge, grant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make any short sale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Takedown</w:t>
      </w:r>
      <w:r>
        <w:rPr>
          <w:rFonts w:ascii="Times New Roman" w:cs="Times New Roman" w:eastAsia="Times New Roman" w:hAnsi="Times New Roman"/>
          <w:sz w:val="18"/>
          <w:szCs w:val="18"/>
          <w:color w:val="auto"/>
        </w:rPr>
        <w:t>” shall mean an underwritten public offering of Registrable Securities pursuant to the Resale Shelf Registration Statement, as amended or supplemented.</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Demand Registration</w:t>
      </w:r>
      <w:r>
        <w:rPr>
          <w:rFonts w:ascii="Times New Roman" w:cs="Times New Roman" w:eastAsia="Times New Roman" w:hAnsi="Times New Roman"/>
          <w:sz w:val="18"/>
          <w:szCs w:val="18"/>
          <w:color w:val="auto"/>
        </w:rPr>
        <w:t>” shall mean an underwritten public offering of Registrable Securities pursuant to a Demand Registration, as amended or supplemented.</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REGISTRATION RIGHTS.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The Company shall prepare and file or cause to be prepared and filed with the Commission as soon as practicable after the Closing Date (as such term is defined in the Merger Agreement), but in any event no later than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days after the Closing Date (the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331"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680" w:right="459" w:hanging="226"/>
        <w:spacing w:after="0" w:line="256" w:lineRule="auto"/>
        <w:tabs>
          <w:tab w:leader="none" w:pos="716" w:val="left"/>
        </w:tabs>
        <w:numPr>
          <w:ilvl w:val="0"/>
          <w:numId w:val="38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track the date that the shares issued in the PIPE must be registered pursuant to the PIPE subscription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1" w:name="page412"/>
    <w:bookmarkEnd w:id="4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Amendments and Supplements; Subsequent Shelf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Times New Roman" w:cs="Times New Roman" w:eastAsia="Times New Roman" w:hAnsi="Times New Roman"/>
          <w:sz w:val="18"/>
          <w:szCs w:val="18"/>
          <w:u w:val="single" w:color="auto"/>
          <w:color w:val="auto"/>
        </w:rPr>
        <w:t>Subsequent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20"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2.1.4 Notwithstanding the registration obligations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6"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06" w:lineRule="exact"/>
        <w:rPr>
          <w:sz w:val="20"/>
          <w:szCs w:val="20"/>
          <w:color w:val="auto"/>
        </w:rPr>
      </w:pPr>
    </w:p>
    <w:p>
      <w:pPr>
        <w:jc w:val="both"/>
        <w:ind w:left="460" w:right="459" w:firstLine="1074"/>
        <w:spacing w:after="0" w:line="251" w:lineRule="auto"/>
        <w:tabs>
          <w:tab w:leader="none" w:pos="181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receive a request from the holders of Registrable Securities with an estimated market value of at least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requesting holder(s) shall be referred to herein as the “</w:t>
      </w:r>
      <w:r>
        <w:rPr>
          <w:rFonts w:ascii="Times New Roman" w:cs="Times New Roman" w:eastAsia="Times New Roman" w:hAnsi="Times New Roman"/>
          <w:sz w:val="18"/>
          <w:szCs w:val="18"/>
          <w:b w:val="1"/>
          <w:bCs w:val="1"/>
          <w:u w:val="single" w:color="auto"/>
          <w:color w:val="auto"/>
        </w:rPr>
        <w:t>Requesting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that the Company effect the Underwritten Takedown of all or any portion of the Requesting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20" w:lineRule="exact"/>
        <w:rPr>
          <w:rFonts w:ascii="Times New Roman" w:cs="Times New Roman" w:eastAsia="Times New Roman" w:hAnsi="Times New Roman"/>
          <w:sz w:val="18"/>
          <w:szCs w:val="18"/>
          <w:color w:val="auto"/>
        </w:rPr>
      </w:pPr>
    </w:p>
    <w:p>
      <w:pPr>
        <w:ind w:left="460" w:right="479" w:firstLine="1290"/>
        <w:spacing w:after="0" w:line="261" w:lineRule="auto"/>
        <w:tabs>
          <w:tab w:leader="none" w:pos="1976"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all Registrable Securities for which the Requesting Holder has requested such offering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660" w:hanging="206"/>
        <w:spacing w:after="0"/>
        <w:tabs>
          <w:tab w:leader="none" w:pos="660" w:val="left"/>
        </w:tabs>
        <w:numPr>
          <w:ilvl w:val="0"/>
          <w:numId w:val="3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 xml:space="preserve">Note to Draft: </w:t>
      </w:r>
      <w:r>
        <w:rPr>
          <w:rFonts w:ascii="Times New Roman" w:cs="Times New Roman" w:eastAsia="Times New Roman" w:hAnsi="Times New Roman"/>
          <w:sz w:val="16"/>
          <w:szCs w:val="16"/>
          <w:color w:val="auto"/>
        </w:rPr>
        <w:t>Amount TBD based on post-Closing market cap and pro forma capitalization table.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2" w:name="page413"/>
    <w:bookmarkEnd w:id="4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6" w:lineRule="auto"/>
        <w:tabs>
          <w:tab w:leader="none" w:pos="2041"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all other Registrable Securities that any holders of Registrable Securities (all such holders, together with the Requesting Holder, the “</w:t>
      </w:r>
      <w:r>
        <w:rPr>
          <w:rFonts w:ascii="Times New Roman" w:cs="Times New Roman" w:eastAsia="Times New Roman" w:hAnsi="Times New Roman"/>
          <w:sz w:val="18"/>
          <w:szCs w:val="18"/>
          <w:b w:val="1"/>
          <w:bCs w:val="1"/>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have requested the Company to offer by request received by the Company within seven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19" w:lineRule="exact"/>
        <w:rPr>
          <w:rFonts w:ascii="Times New Roman" w:cs="Times New Roman" w:eastAsia="Times New Roman" w:hAnsi="Times New Roman"/>
          <w:sz w:val="18"/>
          <w:szCs w:val="18"/>
          <w:color w:val="auto"/>
        </w:rPr>
      </w:pPr>
    </w:p>
    <w:p>
      <w:pPr>
        <w:jc w:val="both"/>
        <w:ind w:left="460" w:right="459" w:firstLine="1074"/>
        <w:spacing w:after="0" w:line="266" w:lineRule="auto"/>
        <w:tabs>
          <w:tab w:leader="none" w:pos="1797"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expiration of the seven-Business Day-period referred to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will notify all Selling Holders of the identities of the other Selling Holders and the number of shares of Registrable Securities requested to be included therein.</w:t>
      </w:r>
    </w:p>
    <w:p>
      <w:pPr>
        <w:spacing w:after="0" w:line="108" w:lineRule="exact"/>
        <w:rPr>
          <w:rFonts w:ascii="Times New Roman" w:cs="Times New Roman" w:eastAsia="Times New Roman" w:hAnsi="Times New Roman"/>
          <w:sz w:val="18"/>
          <w:szCs w:val="18"/>
          <w:color w:val="auto"/>
        </w:rPr>
      </w:pPr>
    </w:p>
    <w:p>
      <w:pPr>
        <w:jc w:val="both"/>
        <w:ind w:left="460" w:right="459" w:firstLine="1074"/>
        <w:spacing w:after="0" w:line="244" w:lineRule="auto"/>
        <w:tabs>
          <w:tab w:leader="none" w:pos="179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only be required to effectuate: (i) one Underwritten Takedown within any six-month period; (ii) no more than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Underwritten Takedowns in respect of all Registrable Securities held by the Company Investors after giving effect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and (iii) no more than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Underwritten Takedowns in respect of all Registrable Securities held by Gemini Investors after giving effect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jc w:val="both"/>
        <w:ind w:left="460" w:right="459" w:firstLine="1074"/>
        <w:spacing w:after="0" w:line="254" w:lineRule="auto"/>
        <w:tabs>
          <w:tab w:leader="none" w:pos="182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2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2.1.7 Registrations effected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49"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after the expiration of a lock-up to which such shares are subject, if any, (i) Company Investors who hold a majority in interest of the Registrable Securities held by all Company Investors or (ii) Company Investors who hold [•]</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the provisos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(c) more than [•]</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Underwritten Demand Registrations in respect 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3</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4</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5</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TBD based on post-Closing pro forma capitalization.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3" w:name="page414"/>
    <w:bookmarkEnd w:id="4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all Registrable Securities held by the Company Investors, each of which will also count as an Underwritten Takedown of the Company Investors under </w:t>
      </w:r>
      <w:r>
        <w:rPr>
          <w:rFonts w:ascii="Times New Roman" w:cs="Times New Roman" w:eastAsia="Times New Roman" w:hAnsi="Times New Roman"/>
          <w:sz w:val="18"/>
          <w:szCs w:val="18"/>
          <w:u w:val="single" w:color="auto"/>
          <w:color w:val="auto"/>
        </w:rPr>
        <w:t>Section 2.1.5(c)(ii)</w:t>
      </w:r>
      <w:r>
        <w:rPr>
          <w:rFonts w:ascii="Times New Roman" w:cs="Times New Roman" w:eastAsia="Times New Roman" w:hAnsi="Times New Roman"/>
          <w:sz w:val="18"/>
          <w:szCs w:val="18"/>
          <w:color w:val="auto"/>
        </w:rPr>
        <w:t>; or (d) more than [•]</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Underwritten Demand Registrations in respect of all Registrable Securities held by Gemini Investors, each of which will also count as an Underwritten Takedown of Gemini Investors under </w:t>
      </w:r>
      <w:r>
        <w:rPr>
          <w:rFonts w:ascii="Times New Roman" w:cs="Times New Roman" w:eastAsia="Times New Roman" w:hAnsi="Times New Roman"/>
          <w:sz w:val="18"/>
          <w:szCs w:val="18"/>
          <w:u w:val="single" w:color="auto"/>
          <w:color w:val="auto"/>
        </w:rPr>
        <w:t>Section 2.1.5(c)(iii)</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2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115"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2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7</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8</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Amount TBD based on post-Closing market cap and pro forma capitalization table.</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4" w:name="page415"/>
    <w:bookmarkEnd w:id="4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w:t>
      </w:r>
    </w:p>
    <w:p>
      <w:pPr>
        <w:spacing w:after="0" w:line="5" w:lineRule="exact"/>
        <w:rPr>
          <w:sz w:val="20"/>
          <w:szCs w:val="20"/>
          <w:color w:val="auto"/>
        </w:rPr>
      </w:pPr>
    </w:p>
    <w:p>
      <w:pPr>
        <w:jc w:val="both"/>
        <w:ind w:left="460" w:right="459" w:hanging="6"/>
        <w:spacing w:after="0" w:line="250" w:lineRule="auto"/>
        <w:tabs>
          <w:tab w:leader="none" w:pos="74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The rights provided under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shall not be available to any Investor at such time as (i) there is an effective Resale Shelf Registration Statement available for the resale of the Registerable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exceeds the Maximum Number of Shares, then the Company shall include in any such registration:</w:t>
      </w:r>
    </w:p>
    <w:p>
      <w:pPr>
        <w:spacing w:after="0" w:line="108" w:lineRule="exact"/>
        <w:rPr>
          <w:sz w:val="20"/>
          <w:szCs w:val="20"/>
          <w:color w:val="auto"/>
        </w:rPr>
      </w:pPr>
    </w:p>
    <w:p>
      <w:pPr>
        <w:jc w:val="both"/>
        <w:ind w:left="460" w:right="459" w:firstLine="1074"/>
        <w:spacing w:after="0" w:line="254" w:lineRule="auto"/>
        <w:tabs>
          <w:tab w:leader="none" w:pos="179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20" w:lineRule="exact"/>
        <w:rPr>
          <w:rFonts w:ascii="Times New Roman" w:cs="Times New Roman" w:eastAsia="Times New Roman" w:hAnsi="Times New Roman"/>
          <w:sz w:val="18"/>
          <w:szCs w:val="18"/>
          <w:color w:val="auto"/>
        </w:rPr>
      </w:pPr>
    </w:p>
    <w:p>
      <w:pPr>
        <w:jc w:val="both"/>
        <w:ind w:left="460" w:right="459" w:firstLine="1074"/>
        <w:spacing w:after="0" w:line="253" w:lineRule="auto"/>
        <w:tabs>
          <w:tab w:leader="none" w:pos="180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5" w:name="page416"/>
    <w:bookmarkEnd w:id="4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REGISTRATION PROCEDURES.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xml:space="preserve">. Whenever the Company is required to effect the registration of any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99"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xml:space="preserve">. The Company shall use its reasonable best efforts to, as expeditiously as possible after receipt of a request for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Times New Roman" w:cs="Times New Roman" w:eastAsia="Times New Roman" w:hAnsi="Times New Roman"/>
          <w:sz w:val="18"/>
          <w:szCs w:val="18"/>
          <w:b w:val="1"/>
          <w:bCs w:val="1"/>
          <w:u w:val="single" w:color="auto"/>
          <w:color w:val="auto"/>
        </w:rPr>
        <w:t>Company Board</w:t>
      </w:r>
      <w:r>
        <w:rPr>
          <w:rFonts w:ascii="Times New Roman" w:cs="Times New Roman" w:eastAsia="Times New Roman" w:hAnsi="Times New Roman"/>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w:t>
      </w:r>
    </w:p>
    <w:p>
      <w:pPr>
        <w:spacing w:after="0" w:line="1" w:lineRule="exact"/>
        <w:rPr>
          <w:sz w:val="20"/>
          <w:szCs w:val="20"/>
          <w:color w:val="auto"/>
        </w:rPr>
      </w:pPr>
    </w:p>
    <w:p>
      <w:pPr>
        <w:ind w:left="460" w:right="479" w:hanging="6"/>
        <w:spacing w:after="0" w:line="260" w:lineRule="auto"/>
        <w:tabs>
          <w:tab w:leader="none" w:pos="83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calendar days, or more than one hundred twenty (120) total calendar days in any 365-day period.</w:t>
      </w:r>
    </w:p>
    <w:p>
      <w:pPr>
        <w:spacing w:after="0" w:line="11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Until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59" w:hanging="6"/>
        <w:spacing w:after="0" w:line="252" w:lineRule="auto"/>
        <w:tabs>
          <w:tab w:leader="none" w:pos="75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6" w:name="page417"/>
    <w:bookmarkEnd w:id="4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21"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07"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12"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21"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113"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7" w:name="page418"/>
    <w:bookmarkEnd w:id="4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12"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xml:space="preserve">.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Underwritten Takedown pursuant to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any Piggy-Back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any registration on Form S-3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 INDEMNIFICATION AND CONTRIBUTION.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8" w:name="page419"/>
    <w:bookmarkEnd w:id="4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9" w:name="page420"/>
    <w:bookmarkEnd w:id="4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4.4.1 If the indemnification provided for in the foregoing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11"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 xml:space="preserve">4.4.2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the immediately preceding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 UNDERWRITING AND DISTRIBUTION.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 LOCK-UP AGREEMENTS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Investor Lock-Up</w:t>
      </w:r>
      <w:r>
        <w:rPr>
          <w:rFonts w:ascii="Times New Roman" w:cs="Times New Roman" w:eastAsia="Times New Roman" w:hAnsi="Times New Roman"/>
          <w:sz w:val="18"/>
          <w:szCs w:val="18"/>
          <w:color w:val="auto"/>
        </w:rPr>
        <w:t>.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0" w:name="page421"/>
    <w:bookmarkEnd w:id="4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MISCELLANEOUS.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Registration Rights and Arrangements</w:t>
      </w:r>
      <w:r>
        <w:rPr>
          <w:rFonts w:ascii="Times New Roman" w:cs="Times New Roman" w:eastAsia="Times New Roman" w:hAnsi="Times New Roman"/>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8"/>
          <w:szCs w:val="18"/>
          <w:b w:val="1"/>
          <w:bCs w:val="1"/>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transferor shall have delivered to the Company no later than thirty (30) days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79" w:hanging="6"/>
        <w:spacing w:after="0" w:line="251" w:lineRule="auto"/>
        <w:tabs>
          <w:tab w:leader="none" w:pos="75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survive such termination.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1" w:name="page422"/>
    <w:bookmarkEnd w:id="4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Attn:</w:t>
        <w:tab/>
        <w:t>Mitchell S. Bloom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Company:</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3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to an Investor, to the address set forth under such Investor’s signature to this Agreement or to such Investor’s address as found in the Company’s books and records.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2" w:name="page423"/>
    <w:bookmarkEnd w:id="4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1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3" w:name="page424"/>
    <w:bookmarkEnd w:id="4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FS DEVELOPMENT CORP.</w:t>
      </w:r>
    </w:p>
    <w:p>
      <w:pPr>
        <w:spacing w:after="0" w:line="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20148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4" w:name="page425"/>
    <w:bookmarkEnd w:id="4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222885</wp:posOffset>
            </wp:positionV>
            <wp:extent cx="230568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Address: [__________]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5" w:name="page426"/>
    <w:bookmarkEnd w:id="4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Addendum Agreement (“</w:t>
      </w:r>
      <w:r>
        <w:rPr>
          <w:rFonts w:ascii="Times New Roman" w:cs="Times New Roman" w:eastAsia="Times New Roman" w:hAnsi="Times New Roman"/>
          <w:sz w:val="18"/>
          <w:szCs w:val="18"/>
          <w:u w:val="single" w:color="auto"/>
          <w:color w:val="auto"/>
        </w:rPr>
        <w:t>Addendum Agreement</w:t>
      </w:r>
      <w:r>
        <w:rPr>
          <w:rFonts w:ascii="Times New Roman" w:cs="Times New Roman" w:eastAsia="Times New Roman" w:hAnsi="Times New Roman"/>
          <w:sz w:val="18"/>
          <w:szCs w:val="18"/>
          <w:color w:val="auto"/>
        </w:rPr>
        <w:t>”) is executed on __________________, 20___, by</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u w:val="single" w:color="auto"/>
          <w:color w:val="auto"/>
        </w:rPr>
        <w:t>New Holder</w:t>
      </w:r>
      <w:r>
        <w:rPr>
          <w:rFonts w:ascii="Times New Roman" w:cs="Times New Roman" w:eastAsia="Times New Roman" w:hAnsi="Times New Roman"/>
          <w:sz w:val="18"/>
          <w:szCs w:val="18"/>
          <w:color w:val="auto"/>
        </w:rPr>
        <w:t>”) pursuant to the terms of that certain Registration Rights Agreement dated as of [•],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19" w:lineRule="exact"/>
        <w:rPr>
          <w:sz w:val="20"/>
          <w:szCs w:val="20"/>
          <w:color w:val="auto"/>
        </w:rPr>
      </w:pPr>
    </w:p>
    <w:p>
      <w:pPr>
        <w:jc w:val="both"/>
        <w:ind w:left="460" w:right="459" w:firstLine="426"/>
        <w:spacing w:after="0" w:line="261" w:lineRule="auto"/>
        <w:tabs>
          <w:tab w:leader="none" w:pos="107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New Holder acknowledges that New Holder is acquiring certain shares of common stock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07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New Holder at the address or facsimile number listed below New Holder’s signature below.</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ACCEPTED AND AGREED:</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FS DEVELOPMENT CORP.</w:t>
            </w:r>
          </w:p>
        </w:tc>
        <w:tc>
          <w:tcPr>
            <w:tcW w:w="0" w:type="dxa"/>
            <w:vAlign w:val="bottom"/>
          </w:tcPr>
          <w:p>
            <w:pPr>
              <w:spacing w:after="0"/>
              <w:rPr>
                <w:sz w:val="1"/>
                <w:szCs w:val="1"/>
                <w:color w:val="auto"/>
              </w:rPr>
            </w:pPr>
          </w:p>
        </w:tc>
      </w:tr>
      <w:tr>
        <w:trPr>
          <w:trHeight w:val="4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2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5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12"/>
        </w:trPr>
        <w:tc>
          <w:tcPr>
            <w:tcW w:w="12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Annex A-124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6" w:name="page427"/>
    <w:bookmarkEnd w:id="4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Atlas Venture Fund X,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Singapore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(A), 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OrbiMed Private Investments VI,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Wu Capital Investment LLC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7" w:name="page428"/>
    <w:bookmarkEnd w:id="4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601"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8" w:name="page429"/>
    <w:bookmarkEnd w:id="4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58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any authorized committee thereof; and</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94"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26"/>
        <w:spacing w:after="0" w:line="254" w:lineRule="auto"/>
        <w:tabs>
          <w:tab w:leader="none" w:pos="107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48" w:lineRule="exact"/>
        <w:rPr>
          <w:sz w:val="20"/>
          <w:szCs w:val="20"/>
          <w:color w:val="auto"/>
        </w:rPr>
      </w:pPr>
    </w:p>
    <w:p>
      <w:pPr>
        <w:ind w:left="460" w:right="459" w:firstLine="426"/>
        <w:spacing w:after="0" w:line="282" w:lineRule="auto"/>
        <w:tabs>
          <w:tab w:leader="none" w:pos="1072"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08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72"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9" w:name="page430"/>
    <w:bookmarkEnd w:id="4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072"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4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0" w:name="page431"/>
    <w:bookmarkEnd w:id="4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48" w:lineRule="exact"/>
        <w:rPr>
          <w:sz w:val="20"/>
          <w:szCs w:val="20"/>
          <w:color w:val="auto"/>
        </w:rPr>
      </w:pPr>
    </w:p>
    <w:p>
      <w:pPr>
        <w:jc w:val="both"/>
        <w:ind w:left="460" w:right="479" w:firstLine="426"/>
        <w:spacing w:after="0" w:line="257" w:lineRule="auto"/>
        <w:tabs>
          <w:tab w:leader="none" w:pos="1085"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31"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01"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4"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59" w:firstLine="426"/>
        <w:spacing w:after="0" w:line="266" w:lineRule="auto"/>
        <w:tabs>
          <w:tab w:leader="none" w:pos="1072"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060" w:hanging="174"/>
        <w:spacing w:after="0"/>
        <w:tabs>
          <w:tab w:leader="none" w:pos="10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2"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1" w:name="page432"/>
    <w:bookmarkEnd w:id="4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2" w:name="page433"/>
    <w:bookmarkEnd w:id="4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43180</wp:posOffset>
            </wp:positionV>
            <wp:extent cx="192024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3" w:name="page434"/>
    <w:bookmarkEnd w:id="4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140" w:hanging="254"/>
        <w:spacing w:after="0"/>
        <w:tabs>
          <w:tab w:leader="none" w:pos="11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15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47" w:lineRule="auto"/>
        <w:tabs>
          <w:tab w:leader="none" w:pos="115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4" w:name="page435"/>
    <w:bookmarkEnd w:id="4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0" w:lineRule="exact"/>
        <w:rPr>
          <w:sz w:val="20"/>
          <w:szCs w:val="20"/>
          <w:color w:val="auto"/>
        </w:rPr>
      </w:pPr>
    </w:p>
    <w:p>
      <w:pPr>
        <w:jc w:val="both"/>
        <w:ind w:left="880" w:right="459" w:firstLine="438"/>
        <w:spacing w:after="0" w:line="252" w:lineRule="auto"/>
        <w:tabs>
          <w:tab w:leader="none" w:pos="162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4" w:lineRule="exact"/>
        <w:rPr>
          <w:rFonts w:ascii="Times New Roman" w:cs="Times New Roman" w:eastAsia="Times New Roman" w:hAnsi="Times New Roman"/>
          <w:sz w:val="18"/>
          <w:szCs w:val="18"/>
          <w:color w:val="auto"/>
        </w:rPr>
      </w:pPr>
    </w:p>
    <w:p>
      <w:pPr>
        <w:jc w:val="both"/>
        <w:ind w:left="880" w:right="459" w:firstLine="438"/>
        <w:spacing w:after="0" w:line="261" w:lineRule="auto"/>
        <w:tabs>
          <w:tab w:leader="none" w:pos="163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8" w:lineRule="exact"/>
        <w:rPr>
          <w:rFonts w:ascii="Times New Roman" w:cs="Times New Roman" w:eastAsia="Times New Roman" w:hAnsi="Times New Roman"/>
          <w:sz w:val="18"/>
          <w:szCs w:val="18"/>
          <w:color w:val="auto"/>
        </w:rPr>
      </w:pPr>
    </w:p>
    <w:p>
      <w:pPr>
        <w:jc w:val="both"/>
        <w:ind w:left="880" w:right="459" w:firstLine="438"/>
        <w:spacing w:after="0" w:line="251" w:lineRule="auto"/>
        <w:tabs>
          <w:tab w:leader="none" w:pos="165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5" w:name="page436"/>
    <w:bookmarkEnd w:id="4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62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5" w:lineRule="auto"/>
        <w:tabs>
          <w:tab w:leader="none" w:pos="163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12" w:lineRule="exact"/>
        <w:rPr>
          <w:sz w:val="20"/>
          <w:szCs w:val="20"/>
          <w:color w:val="auto"/>
        </w:rPr>
      </w:pPr>
    </w:p>
    <w:p>
      <w:pPr>
        <w:jc w:val="both"/>
        <w:ind w:left="460" w:right="459" w:firstLine="426"/>
        <w:spacing w:after="0" w:line="247" w:lineRule="auto"/>
        <w:tabs>
          <w:tab w:leader="none" w:pos="115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5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6" w:name="page437"/>
    <w:bookmarkEnd w:id="4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140" w:hanging="254"/>
        <w:spacing w:after="0"/>
        <w:tabs>
          <w:tab w:leader="none" w:pos="11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8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87"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7" w:name="page438"/>
    <w:bookmarkEnd w:id="4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4" w:lineRule="auto"/>
        <w:tabs>
          <w:tab w:leader="none" w:pos="1142"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5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3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06"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1"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8" w:name="page439"/>
    <w:bookmarkEnd w:id="4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0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9" w:name="page440"/>
    <w:bookmarkEnd w:id="4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8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0" w:name="page441"/>
    <w:bookmarkEnd w:id="4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1" w:name="page442"/>
    <w:bookmarkEnd w:id="4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 time.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2" w:name="page443"/>
    <w:bookmarkEnd w:id="4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3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3" w:name="page444"/>
    <w:bookmarkEnd w:id="4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131" w:lineRule="exact"/>
        <w:rPr>
          <w:sz w:val="20"/>
          <w:szCs w:val="20"/>
          <w:color w:val="auto"/>
        </w:rPr>
      </w:pPr>
    </w:p>
    <w:p>
      <w:pPr>
        <w:jc w:val="both"/>
        <w:ind w:left="460" w:right="459" w:firstLine="426"/>
        <w:spacing w:after="0" w:line="253" w:lineRule="auto"/>
        <w:tabs>
          <w:tab w:leader="none" w:pos="113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81"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6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1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6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1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67"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6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8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07"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8" w:lineRule="auto"/>
        <w:tabs>
          <w:tab w:leader="none" w:pos="1137"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4" w:name="page445"/>
    <w:bookmarkEnd w:id="4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56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56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59" w:firstLine="438"/>
        <w:spacing w:after="0" w:line="266" w:lineRule="auto"/>
        <w:tabs>
          <w:tab w:leader="none" w:pos="156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634"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5" w:name="page446"/>
    <w:bookmarkEnd w:id="4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5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0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2"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38"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0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26"/>
        <w:spacing w:after="0" w:line="254" w:lineRule="auto"/>
        <w:tabs>
          <w:tab w:leader="none" w:pos="113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3" w:lineRule="auto"/>
        <w:tabs>
          <w:tab w:leader="none" w:pos="115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6" w:name="page447"/>
    <w:bookmarkEnd w:id="4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08" w:lineRule="exact"/>
        <w:rPr>
          <w:sz w:val="20"/>
          <w:szCs w:val="20"/>
          <w:color w:val="auto"/>
        </w:rPr>
      </w:pPr>
    </w:p>
    <w:p>
      <w:pPr>
        <w:jc w:val="both"/>
        <w:ind w:left="460" w:right="459" w:firstLine="426"/>
        <w:spacing w:after="0" w:line="253" w:lineRule="auto"/>
        <w:tabs>
          <w:tab w:leader="none" w:pos="117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2"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7" w:name="page448"/>
    <w:bookmarkEnd w:id="4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26"/>
        <w:spacing w:after="0" w:line="266" w:lineRule="auto"/>
        <w:tabs>
          <w:tab w:leader="none" w:pos="115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8" w:name="page449"/>
    <w:bookmarkEnd w:id="4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9" w:name="page450"/>
    <w:bookmarkEnd w:id="4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15"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0" w:name="page451"/>
    <w:bookmarkEnd w:id="4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SECTION 2. ADMINISTRATION OF PLAN; ADMINISTRATOR AUTHORITY TO SELECT GRANTEES AND DETERMINE AWARDS</w:t>
      </w:r>
    </w:p>
    <w:p>
      <w:pPr>
        <w:spacing w:after="0" w:line="94" w:lineRule="exact"/>
        <w:rPr>
          <w:sz w:val="20"/>
          <w:szCs w:val="20"/>
          <w:color w:val="auto"/>
        </w:rPr>
      </w:pPr>
    </w:p>
    <w:p>
      <w:pPr>
        <w:ind w:left="1140" w:hanging="254"/>
        <w:spacing w:after="0"/>
        <w:tabs>
          <w:tab w:leader="none" w:pos="11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7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640" w:hanging="322"/>
        <w:spacing w:after="0"/>
        <w:tabs>
          <w:tab w:leader="none" w:pos="164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35"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62"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8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19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4"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1" w:name="page452"/>
    <w:bookmarkEnd w:id="4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3. STOCK ISSUABLE UNDER THE PLAN; MERGERS; SUBSTITUTION</w:t>
      </w:r>
    </w:p>
    <w:p>
      <w:pPr>
        <w:spacing w:after="0" w:line="158" w:lineRule="exact"/>
        <w:rPr>
          <w:sz w:val="20"/>
          <w:szCs w:val="20"/>
          <w:color w:val="auto"/>
        </w:rPr>
      </w:pPr>
    </w:p>
    <w:p>
      <w:pPr>
        <w:jc w:val="both"/>
        <w:ind w:left="460" w:right="459" w:firstLine="426"/>
        <w:spacing w:after="0" w:line="252" w:lineRule="auto"/>
        <w:tabs>
          <w:tab w:leader="none" w:pos="113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14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2" w:name="page453"/>
    <w:bookmarkEnd w:id="4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13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 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5. STOCK OPTIONS</w:t>
      </w:r>
    </w:p>
    <w:p>
      <w:pPr>
        <w:spacing w:after="0" w:line="158" w:lineRule="exact"/>
        <w:rPr>
          <w:sz w:val="20"/>
          <w:szCs w:val="20"/>
          <w:color w:val="auto"/>
        </w:rPr>
      </w:pPr>
    </w:p>
    <w:p>
      <w:pPr>
        <w:ind w:left="460" w:right="479" w:firstLine="426"/>
        <w:spacing w:after="0" w:line="282" w:lineRule="auto"/>
        <w:tabs>
          <w:tab w:leader="none" w:pos="1163"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59" w:firstLine="426"/>
        <w:spacing w:after="0" w:line="261" w:lineRule="auto"/>
        <w:tabs>
          <w:tab w:leader="none" w:pos="1147"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3" w:name="page454"/>
    <w:bookmarkEnd w:id="4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79" w:firstLine="426"/>
        <w:spacing w:after="0" w:line="261" w:lineRule="auto"/>
        <w:tabs>
          <w:tab w:leader="none" w:pos="113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77"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7"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55"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71"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59" w:firstLine="426"/>
        <w:spacing w:after="0" w:line="256" w:lineRule="auto"/>
        <w:tabs>
          <w:tab w:leader="none" w:pos="111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4" w:name="page455"/>
    <w:bookmarkEnd w:id="4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6. STOCK APPRECIATION RIGHTS</w:t>
      </w:r>
    </w:p>
    <w:p>
      <w:pPr>
        <w:spacing w:after="0" w:line="158" w:lineRule="exact"/>
        <w:rPr>
          <w:sz w:val="20"/>
          <w:szCs w:val="20"/>
          <w:color w:val="auto"/>
        </w:rPr>
      </w:pPr>
    </w:p>
    <w:p>
      <w:pPr>
        <w:jc w:val="both"/>
        <w:ind w:left="460" w:right="459" w:firstLine="426"/>
        <w:spacing w:after="0" w:line="256" w:lineRule="auto"/>
        <w:tabs>
          <w:tab w:leader="none" w:pos="115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5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7. RESTRICTED STOCK AWARDS</w:t>
      </w:r>
    </w:p>
    <w:p>
      <w:pPr>
        <w:spacing w:after="0" w:line="144" w:lineRule="exact"/>
        <w:rPr>
          <w:sz w:val="20"/>
          <w:szCs w:val="20"/>
          <w:color w:val="auto"/>
        </w:rPr>
      </w:pPr>
    </w:p>
    <w:p>
      <w:pPr>
        <w:jc w:val="both"/>
        <w:ind w:left="460" w:right="459" w:firstLine="426"/>
        <w:spacing w:after="0" w:line="261" w:lineRule="auto"/>
        <w:tabs>
          <w:tab w:leader="none" w:pos="115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53" w:lineRule="auto"/>
        <w:tabs>
          <w:tab w:leader="none" w:pos="1147"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91"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204"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5" w:name="page456"/>
    <w:bookmarkEnd w:id="4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8. RESTRICTED STOCK UNITS</w:t>
      </w:r>
    </w:p>
    <w:p>
      <w:pPr>
        <w:spacing w:after="0" w:line="158" w:lineRule="exact"/>
        <w:rPr>
          <w:sz w:val="20"/>
          <w:szCs w:val="20"/>
          <w:color w:val="auto"/>
        </w:rPr>
      </w:pPr>
    </w:p>
    <w:p>
      <w:pPr>
        <w:jc w:val="both"/>
        <w:ind w:left="460" w:right="459" w:firstLine="426"/>
        <w:spacing w:after="0" w:line="253" w:lineRule="auto"/>
        <w:tabs>
          <w:tab w:leader="none" w:pos="11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5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01"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9. 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10. 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11. DIVIDEND EQUIVALENT RIGHTS</w:t>
      </w:r>
    </w:p>
    <w:p>
      <w:pPr>
        <w:spacing w:after="0" w:line="158" w:lineRule="exact"/>
        <w:rPr>
          <w:sz w:val="20"/>
          <w:szCs w:val="20"/>
          <w:color w:val="auto"/>
        </w:rPr>
      </w:pPr>
    </w:p>
    <w:p>
      <w:pPr>
        <w:jc w:val="both"/>
        <w:ind w:left="460" w:right="459" w:firstLine="426"/>
        <w:spacing w:after="0" w:line="258" w:lineRule="auto"/>
        <w:tabs>
          <w:tab w:leader="none" w:pos="11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6" w:name="page457"/>
    <w:bookmarkEnd w:id="4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201"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163"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7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47"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1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7" w:name="page458"/>
    <w:bookmarkEnd w:id="4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1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8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67"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8" w:name="page459"/>
    <w:bookmarkEnd w:id="4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74"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2"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9" w:name="page460"/>
    <w:bookmarkEnd w:id="4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0" w:name="page461"/>
    <w:bookmarkEnd w:id="4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FIRPTA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Treasury Regulations Section 1.1445-2(c)(3) and Section 1.897-2(h)</w:t>
      </w:r>
    </w:p>
    <w:p>
      <w:pPr>
        <w:spacing w:after="0" w:line="13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95" w:lineRule="exact"/>
        <w:rPr>
          <w:sz w:val="20"/>
          <w:szCs w:val="20"/>
          <w:color w:val="auto"/>
        </w:rPr>
      </w:pPr>
    </w:p>
    <w:p>
      <w:pPr>
        <w:ind w:left="1060" w:hanging="174"/>
        <w:spacing w:after="0"/>
        <w:tabs>
          <w:tab w:leader="none" w:pos="10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and is treated as a corporation for U.S. federal income tax purposes.</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employer identification number is [•].</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address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0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89"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this certification may be disclosed to the Internal Revenue Service by Transferee and that any false statement contained herein could be punished by fine, imprisonment or both.</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Attached hereto is a notice, dated as of the date hereof, from the Company to the Internal Revenue Service to the effect that the Company has determined equity interests in the Company are not USRPIs.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1" w:name="page462"/>
    <w:bookmarkEnd w:id="4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[date]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GEMINI THERAPEUTICS, INC.,</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194564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2" w:name="page463"/>
    <w:bookmarkEnd w:id="4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CERTIFIED MAIL</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RECEIPT REQUESTED]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 Center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 Box 409101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Ogden, UT 84409</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 Notice Required Under Treasury Regulations Section 1.897-2(h)(2)</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Sir/Madam:</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notice is provided pursuant to the requirements of Treasury Regulations Section 1.897-2(h)(2).</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information relates to the corporation providing the notice:</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300 One Kendall Square, 3</w:t>
      </w:r>
      <w:r>
        <w:rPr>
          <w:rFonts w:ascii="Times New Roman" w:cs="Times New Roman" w:eastAsia="Times New Roman" w:hAnsi="Times New Roman"/>
          <w:sz w:val="9"/>
          <w:szCs w:val="9"/>
          <w:color w:val="auto"/>
        </w:rPr>
        <w:t>rd</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9019"/>
          </w:cols>
          <w:pgMar w:left="1440" w:top="270" w:right="1440" w:bottom="1440" w:gutter="0" w:footer="0" w:header="0"/>
          <w:type w:val="continuous"/>
        </w:sectPr>
      </w:pP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600 Montgomery Street, Suite 4500</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interests in question (equity interests in the Company) are not “U.S. real property interests,” as that term is defined in section 897(c)(1) of the Internal Revenue Code of 1986, as amended.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3" w:name="page464"/>
    <w:bookmarkEnd w:id="4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183451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4" w:name="page465"/>
    <w:bookmarkEnd w:id="4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October [•], 2020 and is between FS Development Corp., a Delaware corporation (“</w:t>
      </w:r>
      <w:r>
        <w:rPr>
          <w:rFonts w:ascii="Times New Roman" w:cs="Times New Roman" w:eastAsia="Times New Roman" w:hAnsi="Times New Roman"/>
          <w:sz w:val="18"/>
          <w:szCs w:val="18"/>
          <w:b w:val="1"/>
          <w:bCs w:val="1"/>
          <w:u w:val="single" w:color="auto"/>
          <w:color w:val="auto"/>
        </w:rPr>
        <w:t>FSD</w:t>
      </w:r>
      <w:r>
        <w:rPr>
          <w:rFonts w:ascii="Times New Roman" w:cs="Times New Roman" w:eastAsia="Times New Roman" w:hAnsi="Times New Roman"/>
          <w:sz w:val="18"/>
          <w:szCs w:val="18"/>
          <w:color w:val="auto"/>
        </w:rPr>
        <w:t xml:space="preserve">”), and each of the stockholder parties identified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and the other persons who enter into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with FSD in order to become a “Stockholder Party” for purposes of this Agreement (collectively, the “</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Capitalized terms used but not defined herein shall have the meanings assigned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Agreement and Plan of Merger, dated as of October [•], 2020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FSG Merger Sub Inc., a Delaware corporation and a direct, wholly owned subsidiary of FSD, will merge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with Gemini surviving the Merger as a wholly owned subsidiary of FSD;</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owns the number and type of Equity Interest in Gemini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opposite of such Stockholder 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Equity Interests, the “</w:t>
      </w:r>
      <w:r>
        <w:rPr>
          <w:rFonts w:ascii="Times New Roman" w:cs="Times New Roman" w:eastAsia="Times New Roman" w:hAnsi="Times New Roman"/>
          <w:sz w:val="18"/>
          <w:szCs w:val="18"/>
          <w:b w:val="1"/>
          <w:bCs w:val="1"/>
          <w:u w:val="single" w:color="auto"/>
          <w:color w:val="auto"/>
        </w:rPr>
        <w:t>Gemini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Interests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will receive a certain number of shares of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$0.0001 par value per share, of FSD and/or options to purchase such shares of Class A common stock (the “</w:t>
      </w:r>
      <w:r>
        <w:rPr>
          <w:rFonts w:ascii="Times New Roman" w:cs="Times New Roman" w:eastAsia="Times New Roman" w:hAnsi="Times New Roman"/>
          <w:sz w:val="18"/>
          <w:szCs w:val="18"/>
          <w:b w:val="1"/>
          <w:bCs w:val="1"/>
          <w:u w:val="single" w:color="auto"/>
          <w:color w:val="auto"/>
        </w:rPr>
        <w:t>FSD Equity Interests</w:t>
      </w:r>
      <w:r>
        <w:rPr>
          <w:rFonts w:ascii="Times New Roman" w:cs="Times New Roman" w:eastAsia="Times New Roman" w:hAnsi="Times New Roman"/>
          <w:sz w:val="18"/>
          <w:szCs w:val="18"/>
          <w:color w:val="auto"/>
        </w:rPr>
        <w:t>”, together with the Gemini Equity Interests, and together with any of the foregoing acquired after the date hereof, the “</w:t>
      </w:r>
      <w:r>
        <w:rPr>
          <w:rFonts w:ascii="Times New Roman" w:cs="Times New Roman" w:eastAsia="Times New Roman" w:hAnsi="Times New Roman"/>
          <w:sz w:val="18"/>
          <w:szCs w:val="18"/>
          <w:b w:val="1"/>
          <w:bCs w:val="1"/>
          <w:u w:val="single" w:color="auto"/>
          <w:color w:val="auto"/>
        </w:rPr>
        <w:t>Covered Equity Interest</w:t>
      </w:r>
      <w:r>
        <w:rPr>
          <w:rFonts w:ascii="Times New Roman" w:cs="Times New Roman" w:eastAsia="Times New Roman" w:hAnsi="Times New Roman"/>
          <w:sz w:val="18"/>
          <w:szCs w:val="18"/>
          <w:color w:val="auto"/>
        </w:rPr>
        <w:t>”), pursuant to the terms of the Merger Agreement;</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Party under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and as a 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9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acknowledge and agree that FSD would not have entered into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consummate the transactions contemplated by the Merger Agreement without each Stockholder Party entering into this Agreement and agreeing to be bound by the agreements, covenants and obligations contained in this Agreement;</w:t>
      </w:r>
    </w:p>
    <w:p>
      <w:pPr>
        <w:spacing w:after="0" w:line="109"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FSD entering into the Merger Agreement, the parties hereto wish to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certain understandings between such parties with respect to restrictions on transfer of the Covered Equity Interest.</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hereto,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 when used herein with initial capital letters:</w:t>
      </w:r>
    </w:p>
    <w:p>
      <w:pPr>
        <w:spacing w:after="0" w:line="8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Lockup Agreement, as the same may be amended, supplemented, restated or otherwise modified from time to time in accordance with the terms hereof.</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5" w:name="page466"/>
    <w:bookmarkEnd w:id="4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59" w:hanging="434"/>
        <w:spacing w:after="0" w:line="251" w:lineRule="auto"/>
        <w:tabs>
          <w:tab w:leader="none" w:pos="137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3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6" w:name="page467"/>
    <w:bookmarkEnd w:id="4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 PARTIES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Stockholder Representations and Warranties</w:t>
      </w:r>
      <w:r>
        <w:rPr>
          <w:rFonts w:ascii="Times New Roman" w:cs="Times New Roman" w:eastAsia="Times New Roman" w:hAnsi="Times New Roman"/>
          <w:sz w:val="18"/>
          <w:szCs w:val="18"/>
          <w:color w:val="auto"/>
        </w:rPr>
        <w:t>. Each Stockholder Party represents and warrants to</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 as follows:</w:t>
      </w:r>
    </w:p>
    <w:p>
      <w:pPr>
        <w:spacing w:after="0" w:line="139" w:lineRule="exact"/>
        <w:rPr>
          <w:sz w:val="20"/>
          <w:szCs w:val="20"/>
          <w:color w:val="auto"/>
        </w:rPr>
      </w:pPr>
    </w:p>
    <w:p>
      <w:pPr>
        <w:jc w:val="both"/>
        <w:ind w:left="1320" w:right="459" w:hanging="434"/>
        <w:spacing w:after="0" w:line="258" w:lineRule="auto"/>
        <w:tabs>
          <w:tab w:leader="none" w:pos="1398"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3"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is the record and beneficial owner of the Gemini Equity Interests set forth opposite such Stockholder Party’s name on Exhibit A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the obligations of each Stockholder Party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FSD’s address is: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6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7" w:name="page468"/>
    <w:bookmarkEnd w:id="4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such address as such Stockholder Party shall furnish to FSD in writing.</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79" w:hanging="434"/>
        <w:spacing w:after="0" w:line="258" w:lineRule="auto"/>
        <w:tabs>
          <w:tab w:leader="none" w:pos="140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9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2"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resolutions passed, exercise their votes and do and perform and cause to be done such further acts and things necessary, proper or advisable in order to give full effect to this Agreement and every provision hereof.</w:t>
      </w:r>
    </w:p>
    <w:p>
      <w:pPr>
        <w:spacing w:after="0" w:line="103"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may not be assigned without the express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hereto, and any attempted assignment, without such consents, will be null and void. This Agreement will inure to the benefit of and be binding on the parties hereto and their respective successors and permitted assigns.</w:t>
      </w:r>
    </w:p>
    <w:p>
      <w:pPr>
        <w:spacing w:after="0" w:line="9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Except with respect to any Non-Recourse Party, this Agreement does not create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claims or benefits inuring to any person that is not a party hereto nor create or establish any third party beneficiary hereto.</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ARISING HEREUNDER SHALL BE GOVERNED BY AND INTERPRETED IN ACCORDANCE WITH THE LAWS OF THE STATE OF DELAWARE WITHOUT REFERENCE TO ITS CONFLICTS OF LAW PROVISIONS.</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 All Actions arising out of or relating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8" w:name="page469"/>
    <w:bookmarkEnd w:id="4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Table of Contents, Headings and Captions</w:t>
      </w:r>
      <w:r>
        <w:rPr>
          <w:rFonts w:ascii="Times New Roman" w:cs="Times New Roman" w:eastAsia="Times New Roman" w:hAnsi="Times New Roman"/>
          <w:sz w:val="18"/>
          <w:szCs w:val="18"/>
          <w:color w:val="auto"/>
        </w:rPr>
        <w:t>. The table of contents, headings, subheadings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contained in this Agreement are included for convenience of reference only, and in no way define, limit or describe the scope of this Agreement or the intent of any provision hereof.</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shall be deemed an original, but all of which taken together shall constitute one agreement (or amendment, as applicable).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Agreement shall be valid and enforceable as of the date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revoked by any party hereto.</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9" w:name="page470"/>
    <w:bookmarkEnd w:id="4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Lockup Agreement on the day and year first above written.</w:t>
      </w:r>
    </w:p>
    <w:p>
      <w:pPr>
        <w:spacing w:after="0" w:line="1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0" w:name="page471"/>
    <w:bookmarkEnd w:id="4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1" w:name="page472"/>
    <w:bookmarkEnd w:id="4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2" w:name="page473"/>
    <w:bookmarkEnd w:id="4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LIGHSTONE SINGAPORE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3" w:name="page474"/>
    <w:bookmarkEnd w:id="4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4" w:name="page475"/>
    <w:bookmarkEnd w:id="4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ATLAS VENTURE FUND X,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5" w:name="page476"/>
    <w:bookmarkEnd w:id="4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WU CAPITAL</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6" w:name="page477"/>
    <w:bookmarkEnd w:id="4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7" w:name="page478"/>
    <w:bookmarkEnd w:id="4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8" w:name="page479"/>
    <w:bookmarkEnd w:id="4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9" w:name="page480"/>
    <w:bookmarkEnd w:id="4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0" w:name="page481"/>
    <w:bookmarkEnd w:id="4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PARTIES</w:t>
      </w:r>
      <w:r>
        <w:rPr>
          <w:rFonts w:ascii="Times New Roman" w:cs="Times New Roman" w:eastAsia="Times New Roman" w:hAnsi="Times New Roman"/>
          <w:sz w:val="20"/>
          <w:szCs w:val="20"/>
          <w:b w:val="1"/>
          <w:bCs w:val="1"/>
          <w:color w:val="auto"/>
          <w:vertAlign w:val="superscript"/>
        </w:rPr>
        <w:t>[10]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Options</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11,653,137</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976,931</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1,587,559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133,112</w:t>
            </w: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Lighstone Singapore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3,700,139</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5,180,196</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Wu Capital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James McLaughlin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Steve Squinto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396,803</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3,285,939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Suresh Katti</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Strapps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880" w:hanging="426"/>
        <w:spacing w:after="0"/>
        <w:tabs>
          <w:tab w:leader="none" w:pos="880" w:val="left"/>
        </w:tabs>
        <w:numPr>
          <w:ilvl w:val="0"/>
          <w:numId w:val="4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be confirmed whether any other members of Gemini management owns shares of Gemini.</w:t>
      </w:r>
    </w:p>
    <w:p>
      <w:pPr>
        <w:sectPr>
          <w:pgSz w:w="11900" w:h="16838" w:orient="portrait"/>
          <w:cols w:equalWidth="0" w:num="1">
            <w:col w:w="9019"/>
          </w:cols>
          <w:pgMar w:left="1440" w:top="269"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481" w:name="page482"/>
    <w:bookmarkEnd w:id="4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TO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Capitalized terms used but not otherwise defined herein shall have the meanings ascribed to such terms in the Lockup Agreement.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of FSD and each undersigned holder of shares of FSD (each, a “</w:t>
      </w:r>
      <w:r>
        <w:rPr>
          <w:rFonts w:ascii="Times New Roman" w:cs="Times New Roman" w:eastAsia="Times New Roman" w:hAnsi="Times New Roman"/>
          <w:sz w:val="18"/>
          <w:szCs w:val="18"/>
          <w:u w:val="single" w:color="auto"/>
          <w:color w:val="auto"/>
        </w:rPr>
        <w:t>New Stockholder Party</w:t>
      </w:r>
      <w:r>
        <w:rPr>
          <w:rFonts w:ascii="Times New Roman" w:cs="Times New Roman" w:eastAsia="Times New Roman" w:hAnsi="Times New Roman"/>
          <w:sz w:val="18"/>
          <w:szCs w:val="18"/>
          <w:color w:val="auto"/>
        </w:rPr>
        <w:t>”) agrees that this Joinder to the Lockup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9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2" w:name="page483"/>
    <w:bookmarkEnd w:id="4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undersigned have duly executed this joinder as of the date first set forth above.</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STOCKHOLDER PARTY]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7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3" w:name="page484"/>
    <w:bookmarkEnd w:id="4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251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Gemini Therapeutics, Inc., a corporation organized and existing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the following information relating to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FSG Merger Sub, Inc., a corporation organized and existing under the laws of Delaware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as the surviving corporation of the Merger:</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the constituent corporations to the Merger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are as follows:</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r>
      <w:tr>
        <w:trPr>
          <w:trHeight w:val="46"/>
        </w:trPr>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Gemini Therapeutics, Inc.</w:t>
            </w:r>
          </w:p>
        </w:tc>
        <w:tc>
          <w:tcPr>
            <w:tcW w:w="1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FSG Merger Sub, Inc.</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October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FS Development Corp., 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name of the surviving corporation, upon the effectiveness of the Merger, shall be Gemini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w:t>
      </w:r>
    </w:p>
    <w:p>
      <w:pPr>
        <w:spacing w:after="0" w:line="74"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of the Company, as in effect prior to the filing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Merger, shall be amended as of the filing of this Certificate of Merger so as to contain the provisions, and only the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and, as so amended, shall be the Certificate of Incorporation of the surviving corporation.</w:t>
      </w:r>
    </w:p>
    <w:p>
      <w:pPr>
        <w:spacing w:after="0" w:line="10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Merger and the Merger shall become effective immediately upon the filing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Certificate of Merger with the Secretary of State of the State of Delaware.</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 executed Agreement is on file at the principal place of business of the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principal place of business of the surviving corporation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9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A copy of the Agreement will be furnished by the surviving corporation on request,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to any stockholder of either of the Constituent Corporations.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BLANK INTENTIONALLY]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4" w:name="page485"/>
    <w:bookmarkEnd w:id="4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surviving corporation has caused this certificate to be signed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the _____ day of _____, 2020.</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Delaware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5" w:name="page486"/>
    <w:bookmarkEnd w:id="4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6" w:name="page487"/>
    <w:bookmarkEnd w:id="4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 class</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83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10"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91"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7" w:name="page488"/>
    <w:bookmarkEnd w:id="4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858"/>
        <w:spacing w:after="0" w:line="282" w:lineRule="auto"/>
        <w:tabs>
          <w:tab w:leader="none" w:pos="180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Undesignated Preferred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98"/>
        <w:spacing w:after="0" w:line="254" w:lineRule="auto"/>
        <w:tabs>
          <w:tab w:leader="none" w:pos="1369"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78"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ind w:left="460" w:right="459" w:firstLine="426"/>
        <w:spacing w:after="0" w:line="282" w:lineRule="auto"/>
        <w:tabs>
          <w:tab w:leader="none" w:pos="133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351"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8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553"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8" w:name="page489"/>
    <w:bookmarkEnd w:id="4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31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472"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62" w:lineRule="exact"/>
        <w:rPr>
          <w:sz w:val="20"/>
          <w:szCs w:val="20"/>
          <w:color w:val="auto"/>
        </w:rPr>
      </w:pPr>
    </w:p>
    <w:p>
      <w:pPr>
        <w:jc w:val="both"/>
        <w:ind w:left="460" w:right="479" w:firstLine="426"/>
        <w:spacing w:after="0" w:line="257" w:lineRule="auto"/>
        <w:tabs>
          <w:tab w:leader="none" w:pos="1351"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31"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9" w:name="page490"/>
    <w:bookmarkEnd w:id="4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08" w:lineRule="exact"/>
        <w:rPr>
          <w:sz w:val="20"/>
          <w:szCs w:val="20"/>
          <w:color w:val="auto"/>
        </w:rPr>
      </w:pPr>
    </w:p>
    <w:p>
      <w:pPr>
        <w:jc w:val="both"/>
        <w:ind w:left="460" w:right="459" w:firstLine="426"/>
        <w:spacing w:after="0" w:line="258" w:lineRule="auto"/>
        <w:tabs>
          <w:tab w:leader="none" w:pos="1361"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79" w:firstLine="426"/>
        <w:spacing w:after="0" w:line="266" w:lineRule="auto"/>
        <w:tabs>
          <w:tab w:leader="none" w:pos="1297"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1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300" w:hanging="414"/>
        <w:spacing w:after="0"/>
        <w:tabs>
          <w:tab w:leader="none" w:pos="13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1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0" w:name="page491"/>
    <w:bookmarkEnd w:id="4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51435</wp:posOffset>
            </wp:positionV>
            <wp:extent cx="24860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Name: James Meyenburg</w:t>
      </w:r>
    </w:p>
    <w:p>
      <w:pPr>
        <w:spacing w:after="0" w:line="7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1" w:name="page492"/>
    <w:bookmarkEnd w:id="4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1. Annual Meeting.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Notice of Stockholder Business and Nominations.</w:t>
      </w:r>
    </w:p>
    <w:p>
      <w:pPr>
        <w:spacing w:after="0" w:line="144" w:lineRule="exact"/>
        <w:rPr>
          <w:sz w:val="20"/>
          <w:szCs w:val="20"/>
          <w:color w:val="auto"/>
        </w:rPr>
      </w:pPr>
    </w:p>
    <w:p>
      <w:pPr>
        <w:ind w:left="1320" w:hanging="434"/>
        <w:spacing w:after="0"/>
        <w:tabs>
          <w:tab w:leader="none" w:pos="13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314"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77"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42" w:lineRule="auto"/>
        <w:tabs>
          <w:tab w:leader="none" w:pos="779"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2" w:name="page493"/>
    <w:bookmarkEnd w:id="4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1" w:lineRule="auto"/>
        <w:rPr>
          <w:sz w:val="20"/>
          <w:szCs w:val="20"/>
          <w:color w:val="auto"/>
        </w:rPr>
      </w:pPr>
      <w:r>
        <w:rPr>
          <w:rFonts w:ascii="Times New Roman" w:cs="Times New Roman" w:eastAsia="Times New Roman" w:hAnsi="Times New Roman"/>
          <w:sz w:val="18"/>
          <w:szCs w:val="18"/>
          <w:color w:val="auto"/>
        </w:rPr>
        <w:t>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3" w:lineRule="exact"/>
        <w:rPr>
          <w:sz w:val="20"/>
          <w:szCs w:val="20"/>
          <w:color w:val="auto"/>
        </w:rPr>
      </w:pPr>
    </w:p>
    <w:p>
      <w:pPr>
        <w:jc w:val="both"/>
        <w:ind w:left="1760" w:right="459" w:firstLine="422"/>
        <w:spacing w:after="0" w:line="252" w:lineRule="auto"/>
        <w:tabs>
          <w:tab w:leader="none" w:pos="2893"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0" w:lineRule="exact"/>
        <w:rPr>
          <w:rFonts w:ascii="Times New Roman" w:cs="Times New Roman" w:eastAsia="Times New Roman" w:hAnsi="Times New Roman"/>
          <w:sz w:val="18"/>
          <w:szCs w:val="18"/>
          <w:color w:val="auto"/>
        </w:rPr>
      </w:pPr>
    </w:p>
    <w:p>
      <w:pPr>
        <w:jc w:val="both"/>
        <w:ind w:left="1760" w:right="459" w:firstLine="422"/>
        <w:spacing w:after="0" w:line="258" w:lineRule="auto"/>
        <w:tabs>
          <w:tab w:leader="none" w:pos="3002"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2" w:lineRule="exact"/>
        <w:rPr>
          <w:rFonts w:ascii="Times New Roman" w:cs="Times New Roman" w:eastAsia="Times New Roman" w:hAnsi="Times New Roman"/>
          <w:sz w:val="18"/>
          <w:szCs w:val="18"/>
          <w:color w:val="auto"/>
        </w:rPr>
      </w:pPr>
    </w:p>
    <w:p>
      <w:pPr>
        <w:jc w:val="both"/>
        <w:ind w:left="1760" w:right="459" w:firstLine="422"/>
        <w:spacing w:after="0" w:line="251" w:lineRule="auto"/>
        <w:tabs>
          <w:tab w:leader="none" w:pos="281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3" w:name="page494"/>
    <w:bookmarkEnd w:id="4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jc w:val="both"/>
        <w:ind w:left="1760" w:right="459" w:hanging="10"/>
        <w:spacing w:after="0" w:line="253" w:lineRule="auto"/>
        <w:tabs>
          <w:tab w:leader="none" w:pos="210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1" w:lineRule="exact"/>
        <w:rPr>
          <w:rFonts w:ascii="Times New Roman" w:cs="Times New Roman" w:eastAsia="Times New Roman" w:hAnsi="Times New Roman"/>
          <w:sz w:val="18"/>
          <w:szCs w:val="18"/>
          <w:color w:val="auto"/>
        </w:rPr>
      </w:pPr>
    </w:p>
    <w:p>
      <w:pPr>
        <w:jc w:val="both"/>
        <w:ind w:left="1760" w:right="459" w:firstLine="422"/>
        <w:spacing w:after="0" w:line="253" w:lineRule="auto"/>
        <w:tabs>
          <w:tab w:leader="none" w:pos="2988"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6" w:lineRule="exact"/>
        <w:rPr>
          <w:rFonts w:ascii="Times New Roman" w:cs="Times New Roman" w:eastAsia="Times New Roman" w:hAnsi="Times New Roman"/>
          <w:sz w:val="18"/>
          <w:szCs w:val="18"/>
          <w:color w:val="auto"/>
        </w:rPr>
      </w:pPr>
    </w:p>
    <w:p>
      <w:pPr>
        <w:jc w:val="both"/>
        <w:ind w:left="1760" w:right="459" w:firstLine="422"/>
        <w:spacing w:after="0" w:line="254" w:lineRule="auto"/>
        <w:tabs>
          <w:tab w:leader="none" w:pos="2895"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26" w:lineRule="exact"/>
        <w:rPr>
          <w:sz w:val="20"/>
          <w:szCs w:val="20"/>
          <w:color w:val="auto"/>
        </w:rPr>
      </w:pPr>
    </w:p>
    <w:p>
      <w:pPr>
        <w:jc w:val="both"/>
        <w:ind w:left="460" w:right="459" w:firstLine="426"/>
        <w:spacing w:after="0" w:line="247" w:lineRule="auto"/>
        <w:tabs>
          <w:tab w:leader="none" w:pos="1278"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87"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4" w:name="page495"/>
    <w:bookmarkEnd w:id="4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8" w:lineRule="auto"/>
        <w:rPr>
          <w:sz w:val="20"/>
          <w:szCs w:val="20"/>
          <w:color w:val="auto"/>
        </w:rPr>
      </w:pPr>
      <w:r>
        <w:rPr>
          <w:rFonts w:ascii="Times New Roman" w:cs="Times New Roman" w:eastAsia="Times New Roman" w:hAnsi="Times New Roman"/>
          <w:sz w:val="18"/>
          <w:szCs w:val="18"/>
          <w:color w:val="auto"/>
        </w:rPr>
        <w:t>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51" w:lineRule="exact"/>
        <w:rPr>
          <w:sz w:val="20"/>
          <w:szCs w:val="20"/>
          <w:color w:val="auto"/>
        </w:rPr>
      </w:pPr>
    </w:p>
    <w:p>
      <w:pPr>
        <w:ind w:left="1280" w:hanging="394"/>
        <w:spacing w:after="0"/>
        <w:tabs>
          <w:tab w:leader="none" w:pos="12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39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37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93"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98"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298"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5" w:name="page496"/>
    <w:bookmarkEnd w:id="4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413"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Notice of Meetings; Adjournments.</w:t>
      </w:r>
    </w:p>
    <w:p>
      <w:pPr>
        <w:spacing w:after="0" w:line="158" w:lineRule="exact"/>
        <w:rPr>
          <w:sz w:val="20"/>
          <w:szCs w:val="20"/>
          <w:color w:val="auto"/>
        </w:rPr>
      </w:pPr>
    </w:p>
    <w:p>
      <w:pPr>
        <w:jc w:val="both"/>
        <w:ind w:left="460" w:right="459" w:firstLine="426"/>
        <w:spacing w:after="0" w:line="254" w:lineRule="auto"/>
        <w:tabs>
          <w:tab w:leader="none" w:pos="1362"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378"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42"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13"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6" w:name="page497"/>
    <w:bookmarkEnd w:id="4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2" w:lineRule="auto"/>
        <w:tabs>
          <w:tab w:leader="none" w:pos="1368"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7" w:name="page498"/>
    <w:bookmarkEnd w:id="4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Powers.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w:t>
        <w:tab/>
        <w:t>Qualification.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4. Vacancies.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Removal.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8" w:name="page499"/>
    <w:bookmarkEnd w:id="4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9" w:name="page500"/>
    <w:bookmarkEnd w:id="4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3. Qualification. No officer need be a stockholder or a director. Any person may occupy more than one office of the Corporation at any time.</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7. Absence or Disability.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8. Vacancies. Any vacancy in any office may be filled for the unexpired portion of the term by the Board of Directors.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9. President. The President shall, subject to the direction of the Board of Directors,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10. Chairman of the Board.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11. Chief Executive Officer. The Chief Executive Officer,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0" w:name="page501"/>
    <w:bookmarkEnd w:id="5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1" w:name="page502"/>
    <w:bookmarkEnd w:id="5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6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w:t>
        <w:tab/>
        <w:t>Definitions. For purposes of this Article:</w:t>
      </w:r>
    </w:p>
    <w:p>
      <w:pPr>
        <w:spacing w:after="0" w:line="144" w:lineRule="exact"/>
        <w:rPr>
          <w:sz w:val="20"/>
          <w:szCs w:val="20"/>
          <w:color w:val="auto"/>
        </w:rPr>
      </w:pPr>
    </w:p>
    <w:p>
      <w:pPr>
        <w:jc w:val="both"/>
        <w:ind w:left="460" w:right="459" w:firstLine="426"/>
        <w:spacing w:after="0" w:line="261" w:lineRule="auto"/>
        <w:tabs>
          <w:tab w:leader="none" w:pos="134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Non-Officer Employee of the Corporation, or</w:t>
      </w:r>
    </w:p>
    <w:p>
      <w:pPr>
        <w:jc w:val="both"/>
        <w:ind w:left="460" w:right="459" w:hanging="6"/>
        <w:spacing w:after="0" w:line="251" w:lineRule="auto"/>
        <w:tabs>
          <w:tab w:leader="none" w:pos="79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82"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753"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63"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2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519"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97"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80"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457"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95"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2" w:name="page503"/>
    <w:bookmarkEnd w:id="5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327"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1"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Indemnification of Directors and Officers.</w:t>
      </w:r>
    </w:p>
    <w:p>
      <w:pPr>
        <w:spacing w:after="0" w:line="158" w:lineRule="exact"/>
        <w:rPr>
          <w:sz w:val="20"/>
          <w:szCs w:val="20"/>
          <w:color w:val="auto"/>
        </w:rPr>
      </w:pPr>
    </w:p>
    <w:p>
      <w:pPr>
        <w:jc w:val="both"/>
        <w:ind w:left="460" w:right="479" w:firstLine="426"/>
        <w:spacing w:after="0" w:line="258" w:lineRule="auto"/>
        <w:tabs>
          <w:tab w:leader="none" w:pos="136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880" w:right="459" w:firstLine="438"/>
        <w:spacing w:after="0" w:line="254" w:lineRule="auto"/>
        <w:tabs>
          <w:tab w:leader="none" w:pos="1837"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79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79" w:firstLine="438"/>
        <w:spacing w:after="0" w:line="266" w:lineRule="auto"/>
        <w:tabs>
          <w:tab w:leader="none" w:pos="1729"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864"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Indemnification of Non-Officer Employees.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3" w:name="page504"/>
    <w:bookmarkEnd w:id="5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4. Determination.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27"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Advancement of Expenses to Directors Prior to Final Disposition.</w:t>
      </w:r>
    </w:p>
    <w:p>
      <w:pPr>
        <w:spacing w:after="0" w:line="144" w:lineRule="exact"/>
        <w:rPr>
          <w:sz w:val="20"/>
          <w:szCs w:val="20"/>
          <w:color w:val="auto"/>
        </w:rPr>
      </w:pPr>
    </w:p>
    <w:p>
      <w:pPr>
        <w:jc w:val="both"/>
        <w:ind w:left="460" w:right="459" w:firstLine="426"/>
        <w:spacing w:after="0" w:line="252" w:lineRule="auto"/>
        <w:tabs>
          <w:tab w:leader="none" w:pos="134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51"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6"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6. Advancement of Expenses to Officers and Non-Officer Employees Prior to Final Disposition.</w:t>
      </w:r>
    </w:p>
    <w:p>
      <w:pPr>
        <w:spacing w:after="0" w:line="94" w:lineRule="exact"/>
        <w:rPr>
          <w:sz w:val="20"/>
          <w:szCs w:val="20"/>
          <w:color w:val="auto"/>
        </w:rPr>
      </w:pPr>
    </w:p>
    <w:p>
      <w:pPr>
        <w:jc w:val="both"/>
        <w:ind w:left="460" w:right="459" w:firstLine="426"/>
        <w:spacing w:after="0" w:line="254" w:lineRule="auto"/>
        <w:tabs>
          <w:tab w:leader="none" w:pos="143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8"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4" w:name="page505"/>
    <w:bookmarkEnd w:id="5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w:t>
        <w:tab/>
        <w:t>Contractual Nature of Rights.</w:t>
      </w:r>
    </w:p>
    <w:p>
      <w:pPr>
        <w:spacing w:after="0" w:line="158" w:lineRule="exact"/>
        <w:rPr>
          <w:sz w:val="20"/>
          <w:szCs w:val="20"/>
          <w:color w:val="auto"/>
        </w:rPr>
      </w:pPr>
    </w:p>
    <w:p>
      <w:pPr>
        <w:jc w:val="both"/>
        <w:ind w:left="460" w:right="459" w:firstLine="426"/>
        <w:spacing w:after="0" w:line="252" w:lineRule="auto"/>
        <w:tabs>
          <w:tab w:leader="none" w:pos="133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2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42"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5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Non-Exclusivity of Rights.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5" w:name="page506"/>
    <w:bookmarkEnd w:id="5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Fiscal Year. The fiscal year of the Corporation shall be determined by the Board of Directors.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2. Seal. The Board of Directors shall have power to adopt and alter the seal of the Corporation.</w:t>
      </w:r>
    </w:p>
    <w:p>
      <w:pPr>
        <w:spacing w:after="0" w:line="3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Resident Agent.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color w:val="auto"/>
        </w:rPr>
        <w:t>Amendment of By-laws.</w:t>
      </w:r>
    </w:p>
    <w:p>
      <w:pPr>
        <w:spacing w:after="0" w:line="144" w:lineRule="exact"/>
        <w:rPr>
          <w:sz w:val="20"/>
          <w:szCs w:val="20"/>
          <w:color w:val="auto"/>
        </w:rPr>
      </w:pPr>
    </w:p>
    <w:p>
      <w:pPr>
        <w:jc w:val="both"/>
        <w:ind w:left="460" w:right="459" w:firstLine="426"/>
        <w:spacing w:after="0" w:line="266" w:lineRule="auto"/>
        <w:tabs>
          <w:tab w:leader="none" w:pos="133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6" w:lineRule="auto"/>
        <w:tabs>
          <w:tab w:leader="none" w:pos="1322"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6" w:name="page507"/>
    <w:bookmarkEnd w:id="5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7" w:name="page508"/>
    <w:bookmarkEnd w:id="5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 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7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8" w:name="page509"/>
    <w:bookmarkEnd w:id="5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market quotations. If there are no market quotations for such date, the determination shall be made by reference to the last date preceding such date for which there are market quotations.</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9" w:name="page510"/>
    <w:bookmarkEnd w:id="5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40" w:right="479" w:hanging="1187"/>
        <w:spacing w:after="0" w:line="282" w:lineRule="auto"/>
        <w:tabs>
          <w:tab w:leader="none" w:pos="16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94" w:lineRule="exact"/>
        <w:rPr>
          <w:sz w:val="20"/>
          <w:szCs w:val="20"/>
          <w:color w:val="auto"/>
        </w:rPr>
      </w:pPr>
    </w:p>
    <w:p>
      <w:pPr>
        <w:ind w:left="1260" w:hanging="374"/>
        <w:spacing w:after="0"/>
        <w:tabs>
          <w:tab w:leader="none" w:pos="126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63"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802"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21"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85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56"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42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29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8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319"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0" w:name="page511"/>
    <w:bookmarkEnd w:id="5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58" w:lineRule="exact"/>
        <w:rPr>
          <w:sz w:val="20"/>
          <w:szCs w:val="20"/>
          <w:color w:val="auto"/>
        </w:rPr>
      </w:pPr>
    </w:p>
    <w:p>
      <w:pPr>
        <w:jc w:val="both"/>
        <w:ind w:left="460" w:right="459" w:firstLine="426"/>
        <w:spacing w:after="0" w:line="250" w:lineRule="auto"/>
        <w:tabs>
          <w:tab w:leader="none" w:pos="1298"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8"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525"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5"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 outstanding Awards under the Plan,</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80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jc w:val="both"/>
        <w:ind w:left="880" w:right="459" w:hanging="426"/>
        <w:spacing w:after="0" w:line="257" w:lineRule="auto"/>
        <w:tabs>
          <w:tab w:leader="none" w:pos="1015" w:val="left"/>
        </w:tabs>
        <w:numPr>
          <w:ilvl w:val="0"/>
          <w:numId w:val="4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 xml:space="preserve">Size of initial share reserve to represent 9% of the fully-diluted pool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the number of shares subject to rollover under the Company’s 2015 Employee, Director and Consultant Stock Option Plan and the Company’s 2017 Stock Option and Grant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1" w:name="page512"/>
    <w:bookmarkEnd w:id="5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271"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73" w:lineRule="auto"/>
        <w:tabs>
          <w:tab w:leader="none" w:pos="1363"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Awards to Non-Employee Directors</w:t>
      </w:r>
      <w:r>
        <w:rPr>
          <w:rFonts w:ascii="Times New Roman" w:cs="Times New Roman" w:eastAsia="Times New Roman" w:hAnsi="Times New Roman"/>
          <w:sz w:val="17"/>
          <w:szCs w:val="17"/>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$_____, provided, however that such amount shall be $_____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0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OPTIONS</w:t>
      </w:r>
    </w:p>
    <w:p>
      <w:pPr>
        <w:spacing w:after="0" w:line="158" w:lineRule="exact"/>
        <w:rPr>
          <w:sz w:val="20"/>
          <w:szCs w:val="20"/>
          <w:color w:val="auto"/>
        </w:rPr>
      </w:pPr>
    </w:p>
    <w:p>
      <w:pPr>
        <w:ind w:left="460" w:right="479" w:firstLine="426"/>
        <w:spacing w:after="0" w:line="282" w:lineRule="auto"/>
        <w:tabs>
          <w:tab w:leader="none" w:pos="133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79" w:firstLine="426"/>
        <w:spacing w:after="0" w:line="261" w:lineRule="auto"/>
        <w:tabs>
          <w:tab w:leader="none" w:pos="1403"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2" w:name="page513"/>
    <w:bookmarkEnd w:id="5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59" w:firstLine="426"/>
        <w:spacing w:after="0" w:line="261" w:lineRule="auto"/>
        <w:tabs>
          <w:tab w:leader="none" w:pos="1366"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76"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79"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7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9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8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79" w:firstLine="426"/>
        <w:spacing w:after="0" w:line="256" w:lineRule="auto"/>
        <w:tabs>
          <w:tab w:leader="none" w:pos="1387"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3" w:name="page514"/>
    <w:bookmarkEnd w:id="5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58" w:lineRule="exact"/>
        <w:rPr>
          <w:sz w:val="20"/>
          <w:szCs w:val="20"/>
          <w:color w:val="auto"/>
        </w:rPr>
      </w:pPr>
    </w:p>
    <w:p>
      <w:pPr>
        <w:jc w:val="both"/>
        <w:ind w:left="460" w:right="459" w:firstLine="426"/>
        <w:spacing w:after="0" w:line="256" w:lineRule="auto"/>
        <w:tabs>
          <w:tab w:leader="none" w:pos="128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9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8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2"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44" w:lineRule="exact"/>
        <w:rPr>
          <w:sz w:val="20"/>
          <w:szCs w:val="20"/>
          <w:color w:val="auto"/>
        </w:rPr>
      </w:pPr>
    </w:p>
    <w:p>
      <w:pPr>
        <w:jc w:val="both"/>
        <w:ind w:left="460" w:right="459" w:firstLine="426"/>
        <w:spacing w:after="0" w:line="261" w:lineRule="auto"/>
        <w:tabs>
          <w:tab w:leader="none" w:pos="1271"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430" w:val="left"/>
        </w:tabs>
        <w:numPr>
          <w:ilvl w:val="1"/>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Times New Roman" w:cs="Times New Roman" w:eastAsia="Times New Roman" w:hAnsi="Times New Roman"/>
          <w:sz w:val="17"/>
          <w:szCs w:val="17"/>
          <w:color w:val="auto"/>
        </w:rPr>
      </w:pPr>
    </w:p>
    <w:p>
      <w:pPr>
        <w:jc w:val="both"/>
        <w:ind w:left="460" w:right="459" w:hanging="6"/>
        <w:spacing w:after="0" w:line="252" w:lineRule="auto"/>
        <w:tabs>
          <w:tab w:leader="none" w:pos="691"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6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22"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4" w:name="page515"/>
    <w:bookmarkEnd w:id="5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58" w:lineRule="exact"/>
        <w:rPr>
          <w:sz w:val="20"/>
          <w:szCs w:val="20"/>
          <w:color w:val="auto"/>
        </w:rPr>
      </w:pPr>
    </w:p>
    <w:p>
      <w:pPr>
        <w:jc w:val="both"/>
        <w:ind w:left="460" w:right="459" w:firstLine="426"/>
        <w:spacing w:after="0" w:line="253" w:lineRule="auto"/>
        <w:tabs>
          <w:tab w:leader="none" w:pos="1352"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09"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298"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58" w:lineRule="exact"/>
        <w:rPr>
          <w:sz w:val="20"/>
          <w:szCs w:val="20"/>
          <w:color w:val="auto"/>
        </w:rPr>
      </w:pPr>
    </w:p>
    <w:p>
      <w:pPr>
        <w:jc w:val="both"/>
        <w:ind w:left="460" w:right="459" w:firstLine="426"/>
        <w:spacing w:after="0" w:line="258" w:lineRule="auto"/>
        <w:tabs>
          <w:tab w:leader="none" w:pos="1352"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5" w:name="page516"/>
    <w:bookmarkEnd w:id="5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43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339"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17"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7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28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6" w:name="page517"/>
    <w:bookmarkEnd w:id="5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322"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32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9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4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62"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7" w:name="page518"/>
    <w:bookmarkEnd w:id="5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44" w:lineRule="exact"/>
        <w:rPr>
          <w:sz w:val="20"/>
          <w:szCs w:val="20"/>
          <w:color w:val="auto"/>
        </w:rPr>
      </w:pPr>
    </w:p>
    <w:p>
      <w:pPr>
        <w:jc w:val="both"/>
        <w:ind w:left="460" w:right="479" w:firstLine="426"/>
        <w:spacing w:after="0" w:line="266" w:lineRule="auto"/>
        <w:tabs>
          <w:tab w:leader="none" w:pos="129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33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3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71"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0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8" w:name="page519"/>
    <w:bookmarkEnd w:id="5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9" w:name="page520"/>
    <w:bookmarkEnd w:id="5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22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207"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0" w:name="page521"/>
    <w:bookmarkEnd w:id="5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200" w:hanging="314"/>
        <w:spacing w:after="0"/>
        <w:tabs>
          <w:tab w:leader="none" w:pos="120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1"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147"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9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172"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57"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08"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35"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49"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117"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06"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91"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42"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0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229"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8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91"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1" w:name="page522"/>
    <w:bookmarkEnd w:id="5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8" w:lineRule="auto"/>
        <w:tabs>
          <w:tab w:leader="none" w:pos="1678"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93"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39"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27"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71"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5"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2" w:name="page523"/>
    <w:bookmarkEnd w:id="5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08" w:lineRule="exact"/>
        <w:rPr>
          <w:sz w:val="20"/>
          <w:szCs w:val="20"/>
          <w:color w:val="auto"/>
        </w:rPr>
      </w:pPr>
    </w:p>
    <w:p>
      <w:pPr>
        <w:jc w:val="both"/>
        <w:ind w:left="460" w:right="459" w:firstLine="858"/>
        <w:spacing w:after="0" w:line="252" w:lineRule="auto"/>
        <w:tabs>
          <w:tab w:leader="none" w:pos="1693"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8"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9"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2"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21"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7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1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2"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88"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3" w:name="page524"/>
    <w:bookmarkEnd w:id="5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acknowledgements, representations and agreements herein on behalf of each owner of each such account, and</w:t>
      </w:r>
    </w:p>
    <w:p>
      <w:pPr>
        <w:spacing w:after="0" w:line="27" w:lineRule="exact"/>
        <w:rPr>
          <w:sz w:val="20"/>
          <w:szCs w:val="20"/>
          <w:color w:val="auto"/>
        </w:rPr>
      </w:pPr>
    </w:p>
    <w:p>
      <w:pPr>
        <w:jc w:val="both"/>
        <w:ind w:left="460" w:right="459" w:hanging="6"/>
        <w:spacing w:after="0" w:line="255" w:lineRule="auto"/>
        <w:tabs>
          <w:tab w:leader="none" w:pos="767"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1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96"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38"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86"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99"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06"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65"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4" w:name="page525"/>
    <w:bookmarkEnd w:id="5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683"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7"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8"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2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9"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81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13"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42"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01"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7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5" w:name="page526"/>
    <w:bookmarkEnd w:id="5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675"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1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725"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6" w:name="page527"/>
    <w:bookmarkEnd w:id="5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92"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4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7" w:name="page528"/>
    <w:bookmarkEnd w:id="5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3"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2"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10" w:lineRule="exact"/>
        <w:rPr>
          <w:sz w:val="20"/>
          <w:szCs w:val="20"/>
          <w:color w:val="auto"/>
        </w:rPr>
      </w:pPr>
    </w:p>
    <w:p>
      <w:pPr>
        <w:jc w:val="both"/>
        <w:ind w:left="460" w:right="459" w:firstLine="858"/>
        <w:spacing w:after="0" w:line="253" w:lineRule="auto"/>
        <w:tabs>
          <w:tab w:leader="none" w:pos="166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8" w:name="page529"/>
    <w:bookmarkEnd w:id="5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08" w:lineRule="exact"/>
        <w:rPr>
          <w:sz w:val="20"/>
          <w:szCs w:val="20"/>
          <w:color w:val="auto"/>
        </w:rPr>
      </w:pPr>
    </w:p>
    <w:p>
      <w:pPr>
        <w:jc w:val="both"/>
        <w:ind w:left="460" w:right="459" w:firstLine="858"/>
        <w:spacing w:after="0" w:line="252" w:lineRule="auto"/>
        <w:tabs>
          <w:tab w:leader="none" w:pos="1733"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67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1"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11"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78"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9" w:name="page530"/>
    <w:bookmarkEnd w:id="5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78"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9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31"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4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48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OF THIS SUBSCRIPTION AGREEMENT OR IN SUCH OTHER MANNER AS MAY BE PERMITTED BY LAW SHALL BE VALID AND SUFFICIENT SERVICE THEREOF.</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0" w:name="page531"/>
    <w:bookmarkEnd w:id="5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858"/>
        <w:spacing w:after="0" w:line="252" w:lineRule="auto"/>
        <w:tabs>
          <w:tab w:leader="none" w:pos="1830" w:val="left"/>
        </w:tabs>
        <w:numPr>
          <w:ilvl w:val="2"/>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All communications sent to FSD shall be sent to: FS Development Corp., 600 Montgomery Street, Suite 4500, San Francisco, California 94111, Attn: Jim Tananbaum, email: jim@foresitecapital.com, with a copy to: White</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649"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LLP, 1221 Avenue of the Americas, New York, New York 10020, Attn: Joel L. Rubinstein, Esq., email: joel.rubinstein@whitecase.com.</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371"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472"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1" w:name="page532"/>
    <w:bookmarkEnd w:id="5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pacing w:after="0" w:line="132" w:lineRule="exact"/>
        <w:rPr>
          <w:sz w:val="20"/>
          <w:szCs w:val="20"/>
          <w:color w:val="auto"/>
        </w:rPr>
      </w:pPr>
    </w:p>
    <w:p>
      <w:pPr>
        <w:ind w:left="460"/>
        <w:spacing w:after="0"/>
        <w:tabs>
          <w:tab w:leader="none" w:pos="5200" w:val="left"/>
        </w:tabs>
        <w:rPr>
          <w:sz w:val="20"/>
          <w:szCs w:val="20"/>
          <w:color w:val="auto"/>
        </w:rPr>
      </w:pPr>
      <w:r>
        <w:rPr>
          <w:rFonts w:ascii="Times New Roman" w:cs="Times New Roman" w:eastAsia="Times New Roman" w:hAnsi="Times New Roman"/>
          <w:sz w:val="18"/>
          <w:szCs w:val="18"/>
          <w:color w:val="auto"/>
        </w:rPr>
        <w:t>Name of Investor:</w:t>
      </w:r>
      <w:r>
        <w:rPr>
          <w:sz w:val="20"/>
          <w:szCs w:val="20"/>
          <w:color w:val="auto"/>
        </w:rPr>
        <w:tab/>
      </w:r>
      <w:r>
        <w:rPr>
          <w:rFonts w:ascii="Times New Roman" w:cs="Times New Roman" w:eastAsia="Times New Roman" w:hAnsi="Times New Roman"/>
          <w:sz w:val="17"/>
          <w:szCs w:val="17"/>
          <w:color w:val="auto"/>
        </w:rPr>
        <w:t>State/Country of Formation or Domicile:</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Date: ________, 2020</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Attn:</w:t>
            </w:r>
          </w:p>
        </w:tc>
      </w:tr>
      <w:tr>
        <w:trPr>
          <w:trHeight w:val="41"/>
        </w:trPr>
        <w:tc>
          <w:tcPr>
            <w:tcW w:w="80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47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 No.:</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Facsimile No.:</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Subscription Amount:$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Price Per Share: $10</w:t>
            </w:r>
          </w:p>
        </w:tc>
      </w:tr>
    </w:tbl>
    <w:p>
      <w:pPr>
        <w:spacing w:after="0" w:line="19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2" w:name="page533"/>
    <w:bookmarkEnd w:id="5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43180</wp:posOffset>
            </wp:positionV>
            <wp:extent cx="18084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360"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3" w:name="page534"/>
    <w:bookmarkEnd w:id="5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148" w:lineRule="exact"/>
        <w:rPr>
          <w:sz w:val="20"/>
          <w:szCs w:val="20"/>
          <w:color w:val="auto"/>
        </w:rPr>
      </w:pPr>
    </w:p>
    <w:p>
      <w:pPr>
        <w:ind w:left="880" w:right="4439" w:hanging="426"/>
        <w:spacing w:after="0" w:line="312" w:lineRule="auto"/>
        <w:tabs>
          <w:tab w:leader="none" w:pos="848" w:val="left"/>
        </w:tabs>
        <w:numPr>
          <w:ilvl w:val="0"/>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020" w:hanging="134"/>
        <w:spacing w:after="0"/>
        <w:tabs>
          <w:tab w:leader="none" w:pos="1020" w:val="left"/>
        </w:tabs>
        <w:numPr>
          <w:ilvl w:val="1"/>
          <w:numId w:val="520"/>
        </w:numPr>
        <w:rPr>
          <w:rFonts w:ascii="Arial" w:cs="Arial" w:eastAsia="Arial" w:hAnsi="Arial"/>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1" w:lineRule="exact"/>
        <w:rPr>
          <w:sz w:val="20"/>
          <w:szCs w:val="20"/>
          <w:color w:val="auto"/>
        </w:rPr>
      </w:pPr>
    </w:p>
    <w:p>
      <w:pPr>
        <w:jc w:val="both"/>
        <w:ind w:left="1320" w:right="459" w:hanging="434"/>
        <w:spacing w:after="0" w:line="262" w:lineRule="auto"/>
        <w:tabs>
          <w:tab w:leader="none" w:pos="1275" w:val="left"/>
        </w:tabs>
        <w:numPr>
          <w:ilvl w:val="0"/>
          <w:numId w:val="52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6"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2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not a natural person.</w:t>
      </w:r>
    </w:p>
    <w:p>
      <w:pPr>
        <w:spacing w:after="0" w:line="161"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2" w:lineRule="exact"/>
        <w:rPr>
          <w:sz w:val="20"/>
          <w:szCs w:val="20"/>
          <w:color w:val="auto"/>
        </w:rPr>
      </w:pPr>
    </w:p>
    <w:p>
      <w:pPr>
        <w:ind w:left="1320" w:right="479" w:hanging="2"/>
        <w:spacing w:after="0" w:line="281" w:lineRule="auto"/>
        <w:tabs>
          <w:tab w:leader="none" w:pos="1505"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Arial" w:cs="Arial" w:eastAsia="Arial" w:hAnsi="Arial"/>
          <w:sz w:val="18"/>
          <w:szCs w:val="18"/>
          <w:color w:val="auto"/>
        </w:rPr>
      </w:pPr>
    </w:p>
    <w:p>
      <w:pPr>
        <w:jc w:val="both"/>
        <w:ind w:left="1320" w:right="459" w:hanging="2"/>
        <w:spacing w:after="0" w:line="265" w:lineRule="auto"/>
        <w:tabs>
          <w:tab w:leader="none" w:pos="1494"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09" w:lineRule="exact"/>
        <w:rPr>
          <w:rFonts w:ascii="Arial" w:cs="Arial" w:eastAsia="Arial" w:hAnsi="Arial"/>
          <w:sz w:val="18"/>
          <w:szCs w:val="18"/>
          <w:color w:val="auto"/>
        </w:rPr>
      </w:pPr>
    </w:p>
    <w:p>
      <w:pPr>
        <w:jc w:val="both"/>
        <w:ind w:left="1320" w:right="459" w:hanging="2"/>
        <w:spacing w:after="0" w:line="265" w:lineRule="auto"/>
        <w:tabs>
          <w:tab w:leader="none" w:pos="1459"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6" w:lineRule="exact"/>
        <w:rPr>
          <w:rFonts w:ascii="Arial" w:cs="Arial" w:eastAsia="Arial" w:hAnsi="Arial"/>
          <w:sz w:val="18"/>
          <w:szCs w:val="18"/>
          <w:color w:val="auto"/>
        </w:rPr>
      </w:pPr>
    </w:p>
    <w:p>
      <w:pPr>
        <w:jc w:val="both"/>
        <w:ind w:left="1320" w:right="479" w:hanging="2"/>
        <w:spacing w:after="0" w:line="265" w:lineRule="auto"/>
        <w:tabs>
          <w:tab w:leader="none" w:pos="1496"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9" w:lineRule="exact"/>
        <w:rPr>
          <w:rFonts w:ascii="Arial" w:cs="Arial" w:eastAsia="Arial" w:hAnsi="Arial"/>
          <w:sz w:val="18"/>
          <w:szCs w:val="18"/>
          <w:color w:val="auto"/>
        </w:rPr>
      </w:pPr>
    </w:p>
    <w:p>
      <w:pPr>
        <w:ind w:left="1320" w:right="479" w:hanging="2"/>
        <w:spacing w:after="0" w:line="281" w:lineRule="auto"/>
        <w:tabs>
          <w:tab w:leader="none" w:pos="1461"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94" w:lineRule="exact"/>
        <w:rPr>
          <w:rFonts w:ascii="Arial" w:cs="Arial" w:eastAsia="Arial" w:hAnsi="Arial"/>
          <w:sz w:val="18"/>
          <w:szCs w:val="18"/>
          <w:color w:val="auto"/>
        </w:rPr>
      </w:pPr>
    </w:p>
    <w:p>
      <w:pPr>
        <w:ind w:left="1320" w:right="479" w:hanging="2"/>
        <w:spacing w:after="0" w:line="281" w:lineRule="auto"/>
        <w:tabs>
          <w:tab w:leader="none" w:pos="1465"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81" w:lineRule="exact"/>
        <w:rPr>
          <w:rFonts w:ascii="Arial" w:cs="Arial" w:eastAsia="Arial" w:hAnsi="Arial"/>
          <w:sz w:val="18"/>
          <w:szCs w:val="18"/>
          <w:color w:val="auto"/>
        </w:rPr>
      </w:pPr>
    </w:p>
    <w:p>
      <w:pPr>
        <w:ind w:left="840" w:hanging="386"/>
        <w:spacing w:after="0"/>
        <w:tabs>
          <w:tab w:leader="none" w:pos="8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460" w:hanging="142"/>
        <w:spacing w:after="0"/>
        <w:tabs>
          <w:tab w:leader="none" w:pos="1460"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53" w:lineRule="exact"/>
        <w:rPr>
          <w:sz w:val="20"/>
          <w:szCs w:val="20"/>
          <w:color w:val="auto"/>
        </w:rPr>
      </w:pPr>
    </w:p>
    <w:p>
      <w:pPr>
        <w:jc w:val="both"/>
        <w:ind w:left="1320" w:right="459" w:hanging="434"/>
        <w:spacing w:after="0" w:line="262" w:lineRule="auto"/>
        <w:tabs>
          <w:tab w:leader="none" w:pos="1315" w:val="left"/>
        </w:tabs>
        <w:numPr>
          <w:ilvl w:val="0"/>
          <w:numId w:val="52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93"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2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 natural person.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4" w:name="page535"/>
    <w:bookmarkEnd w:id="5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1320" w:right="479" w:hanging="2"/>
        <w:spacing w:after="0" w:line="281" w:lineRule="auto"/>
        <w:tabs>
          <w:tab w:leader="none" w:pos="1469" w:val="left"/>
        </w:tabs>
        <w:numPr>
          <w:ilvl w:val="0"/>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Arial" w:cs="Arial" w:eastAsia="Arial" w:hAnsi="Arial"/>
          <w:sz w:val="18"/>
          <w:szCs w:val="18"/>
          <w:color w:val="auto"/>
        </w:rPr>
      </w:pPr>
    </w:p>
    <w:p>
      <w:pPr>
        <w:jc w:val="both"/>
        <w:ind w:left="1320" w:right="459" w:hanging="2"/>
        <w:spacing w:after="0" w:line="260" w:lineRule="auto"/>
        <w:tabs>
          <w:tab w:leader="none" w:pos="1456" w:val="left"/>
        </w:tabs>
        <w:numPr>
          <w:ilvl w:val="0"/>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w:t>
      </w:r>
    </w:p>
    <w:p>
      <w:pPr>
        <w:spacing w:after="0" w:line="1" w:lineRule="exact"/>
        <w:rPr>
          <w:rFonts w:ascii="Arial" w:cs="Arial" w:eastAsia="Arial" w:hAnsi="Arial"/>
          <w:sz w:val="18"/>
          <w:szCs w:val="18"/>
          <w:color w:val="auto"/>
        </w:rPr>
      </w:pPr>
    </w:p>
    <w:p>
      <w:pPr>
        <w:jc w:val="both"/>
        <w:ind w:left="1320" w:right="459"/>
        <w:spacing w:after="0" w:line="250" w:lineRule="auto"/>
        <w:rPr>
          <w:rFonts w:ascii="Arial" w:cs="Arial" w:eastAsia="Arial" w:hAnsi="Arial"/>
          <w:sz w:val="18"/>
          <w:szCs w:val="18"/>
          <w:color w:val="auto"/>
        </w:rPr>
      </w:pPr>
      <w:r>
        <w:rPr>
          <w:rFonts w:ascii="Times New Roman" w:cs="Times New Roman" w:eastAsia="Times New Roman" w:hAnsi="Times New Roman"/>
          <w:sz w:val="18"/>
          <w:szCs w:val="18"/>
          <w:color w:val="auto"/>
        </w:rPr>
        <w:t>(a)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1" w:lineRule="exact"/>
        <w:rPr>
          <w:rFonts w:ascii="Arial" w:cs="Arial" w:eastAsia="Arial" w:hAnsi="Arial"/>
          <w:sz w:val="18"/>
          <w:szCs w:val="18"/>
          <w:color w:val="auto"/>
        </w:rPr>
      </w:pPr>
    </w:p>
    <w:p>
      <w:pPr>
        <w:ind w:left="1320" w:right="459"/>
        <w:spacing w:after="0" w:line="260" w:lineRule="auto"/>
        <w:rPr>
          <w:rFonts w:ascii="Arial" w:cs="Arial" w:eastAsia="Arial" w:hAnsi="Arial"/>
          <w:sz w:val="18"/>
          <w:szCs w:val="18"/>
          <w:color w:val="auto"/>
        </w:rPr>
      </w:pPr>
      <w:r>
        <w:rPr>
          <w:rFonts w:ascii="Times New Roman" w:cs="Times New Roman" w:eastAsia="Times New Roman" w:hAnsi="Times New Roman"/>
          <w:sz w:val="18"/>
          <w:szCs w:val="18"/>
          <w:color w:val="auto"/>
        </w:rPr>
        <w:t>(c) indebtedness that is secured by the person’s primary residence in excess of the estimated fair market value of the residence must be included as a liability; or</w:t>
      </w:r>
    </w:p>
    <w:p>
      <w:pPr>
        <w:spacing w:after="0" w:line="100" w:lineRule="exact"/>
        <w:rPr>
          <w:rFonts w:ascii="Arial" w:cs="Arial" w:eastAsia="Arial" w:hAnsi="Arial"/>
          <w:sz w:val="18"/>
          <w:szCs w:val="18"/>
          <w:color w:val="auto"/>
        </w:rPr>
      </w:pPr>
    </w:p>
    <w:p>
      <w:pPr>
        <w:jc w:val="both"/>
        <w:ind w:left="1320" w:right="459" w:hanging="2"/>
        <w:spacing w:after="0" w:line="265" w:lineRule="auto"/>
        <w:tabs>
          <w:tab w:leader="none" w:pos="1463" w:val="left"/>
        </w:tabs>
        <w:numPr>
          <w:ilvl w:val="0"/>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5" w:name="page536"/>
    <w:bookmarkEnd w:id="5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58" w:lineRule="exact"/>
        <w:rPr>
          <w:sz w:val="20"/>
          <w:szCs w:val="20"/>
          <w:color w:val="auto"/>
        </w:rPr>
      </w:pPr>
    </w:p>
    <w:p>
      <w:pPr>
        <w:jc w:val="both"/>
        <w:ind w:left="1320" w:right="459" w:hanging="434"/>
        <w:spacing w:after="0" w:line="252" w:lineRule="auto"/>
        <w:tabs>
          <w:tab w:leader="none" w:pos="1311"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8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33"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0" w:lineRule="auto"/>
        <w:tabs>
          <w:tab w:leader="none" w:pos="1589"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1" w:lineRule="exact"/>
        <w:rPr>
          <w:rFonts w:ascii="Times New Roman" w:cs="Times New Roman" w:eastAsia="Times New Roman" w:hAnsi="Times New Roman"/>
          <w:sz w:val="18"/>
          <w:szCs w:val="18"/>
          <w:color w:val="auto"/>
        </w:rPr>
      </w:pP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there are no such directors, or if such directors so direct, by independent legal counsel in a written opinion, or (4) by the stockholders.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6" w:name="page537"/>
    <w:bookmarkEnd w:id="5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463"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7"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7" w:name="page538"/>
    <w:bookmarkEnd w:id="5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Current Charter may have or hereafter acquire under law, our Current Charter, our Current By-laws, an agreement, vote of stockholders or disinterested directors, or otherwise.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8" w:name="page539"/>
    <w:bookmarkEnd w:id="5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Current By-laws include the provisions relating to advancement of expenses and indemnification rights consistent with those which are set forth in our Current Charter. In addition, our Current By-laws provide for a right of indemnity to bring a suit in the event a claim for indemnification or advancement of expenses is not paid in full by us within a specified period of time. Our Current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Current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that was filed as Exhibit 10.5 of our Registration Statement on Form S-1, filed with the SEC on April 16,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9" w:name="page540"/>
    <w:bookmarkEnd w:id="5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7"/>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100" w:type="dxa"/>
            <w:vAlign w:val="bottom"/>
            <w:gridSpan w:val="14"/>
            <w:shd w:val="clear" w:color="auto" w:fill="CCEEFF"/>
          </w:tcPr>
          <w:p>
            <w:pPr>
              <w:spacing w:after="0" w:line="169"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Merger Agreement, dated as of October 15, 2020, by and between FS Development Corp., FSG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Merger Sub Inc., Gemini Therapeutics, Inc. and Shareholder Representative Services,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(included as Annex A to the proxy statement/prospectus forming a part of this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statement).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Amended and Restated Certificate of Incorporation of FS Development Corp.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reference to Exhibit 3.1 of FS Development Corp.’s Form 8-K, filed with the SEC on August 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00" w:type="dxa"/>
            <w:vAlign w:val="bottom"/>
            <w:gridSpan w:val="4"/>
          </w:tcPr>
          <w:p>
            <w:pPr>
              <w:ind w:left="100"/>
              <w:spacing w:after="0" w:line="196" w:lineRule="exact"/>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2020).</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By-laws of FS Development Corp. (incorporated by reference to Exhibit 3.4 of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Corp.’s Form S-1/A, filed with the SEC on August 7,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487">
              <w:r>
                <w:rPr>
                  <w:rFonts w:ascii="Times New Roman" w:cs="Times New Roman" w:eastAsia="Times New Roman" w:hAnsi="Times New Roman"/>
                  <w:sz w:val="18"/>
                  <w:szCs w:val="18"/>
                  <w:color w:val="0000EE"/>
                </w:rPr>
                <w:t>Form of Amended and Restated Certificate of Incorporation (included as Annex B to the proxy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87">
              <w:r>
                <w:rPr>
                  <w:rFonts w:ascii="Times New Roman" w:cs="Times New Roman" w:eastAsia="Times New Roman" w:hAnsi="Times New Roman"/>
                  <w:sz w:val="18"/>
                  <w:szCs w:val="18"/>
                  <w:color w:val="0000EE"/>
                </w:rPr>
                <w:t>statement/prospectus forming a part of this registration statement).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492">
              <w:r>
                <w:rPr>
                  <w:rFonts w:ascii="Times New Roman" w:cs="Times New Roman" w:eastAsia="Times New Roman" w:hAnsi="Times New Roman"/>
                  <w:sz w:val="18"/>
                  <w:szCs w:val="18"/>
                  <w:color w:val="0000EE"/>
                </w:rPr>
                <w:t>Form of Amended and Restated By-laws (included as Annex C to the proxy statement/prospectus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492">
              <w:r>
                <w:rPr>
                  <w:rFonts w:ascii="Times New Roman" w:cs="Times New Roman" w:eastAsia="Times New Roman" w:hAnsi="Times New Roman"/>
                  <w:sz w:val="18"/>
                  <w:szCs w:val="18"/>
                  <w:color w:val="0000EE"/>
                </w:rPr>
                <w:t>forming 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Specimen Common Stock Certificate of the Combined Entity.</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Opinion of White &amp; Case LLP as to the validity of the shares of Common Stock of FS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508">
              <w:r>
                <w:rPr>
                  <w:rFonts w:ascii="Times New Roman" w:cs="Times New Roman" w:eastAsia="Times New Roman" w:hAnsi="Times New Roman"/>
                  <w:sz w:val="18"/>
                  <w:szCs w:val="18"/>
                  <w:color w:val="0000EE"/>
                </w:rPr>
                <w:t>Form  of  2020  Stock  Option  and  Incentive  Plan  (included  as  Annex  D  to  the  proxy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w:anchor="page508">
              <w:r>
                <w:rPr>
                  <w:rFonts w:ascii="Times New Roman" w:cs="Times New Roman" w:eastAsia="Times New Roman" w:hAnsi="Times New Roman"/>
                  <w:sz w:val="18"/>
                  <w:szCs w:val="18"/>
                  <w:color w:val="0000EE"/>
                </w:rPr>
                <w:t>statement/prospectus forming a part of 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Company Support Agreement, dated as of October 15, 2020, by and among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Corp. and certain supporting stockholders of Gemini Therapeutics, Inc.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to Exhibit 10.3 of FS Development Corp.’s Current Report on Form 8-K/A,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October 20, 2020).</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FS Development Corp. Support Agreement, dated as of October 15, 2020, by and among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Development Corp., Gemini Therapeutics, Inc., FS Development Holdings, LLC and certain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supporting stockholders of FS Development Corp. (incorporated by reference to Exhibit 10.3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20" w:type="dxa"/>
            <w:vAlign w:val="bottom"/>
            <w:gridSpan w:val="15"/>
            <w:shd w:val="clear" w:color="auto" w:fill="CCEEFF"/>
          </w:tcPr>
          <w:p>
            <w:pPr>
              <w:spacing w:after="0"/>
              <w:rPr>
                <w:rFonts w:ascii="Times New Roman" w:cs="Times New Roman" w:eastAsia="Times New Roman" w:hAnsi="Times New Roman"/>
                <w:sz w:val="18"/>
                <w:szCs w:val="18"/>
                <w:u w:val="single" w:color="auto"/>
                <w:color w:val="0000EE"/>
              </w:rPr>
            </w:pPr>
            <w:hyperlink r:id="rId647">
              <w:r>
                <w:rPr>
                  <w:rFonts w:ascii="Times New Roman" w:cs="Times New Roman" w:eastAsia="Times New Roman" w:hAnsi="Times New Roman"/>
                  <w:sz w:val="18"/>
                  <w:szCs w:val="18"/>
                  <w:u w:val="single" w:color="auto"/>
                  <w:color w:val="0000EE"/>
                </w:rPr>
                <w:t>FS Development Corp.’s Current Report on Form 8-K/A, filed with the SEC on October 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ind w:left="100"/>
              <w:spacing w:after="0"/>
              <w:rPr>
                <w:rFonts w:ascii="Times New Roman" w:cs="Times New Roman" w:eastAsia="Times New Roman" w:hAnsi="Times New Roman"/>
                <w:sz w:val="18"/>
                <w:szCs w:val="18"/>
                <w:u w:val="single" w:color="auto"/>
                <w:color w:val="0000EE"/>
              </w:rPr>
            </w:pPr>
            <w:hyperlink r:id="rId647">
              <w:r>
                <w:rPr>
                  <w:rFonts w:ascii="Times New Roman" w:cs="Times New Roman" w:eastAsia="Times New Roman" w:hAnsi="Times New Roman"/>
                  <w:sz w:val="18"/>
                  <w:szCs w:val="18"/>
                  <w:u w:val="single" w:color="auto"/>
                  <w:color w:val="0000EE"/>
                </w:rPr>
                <w:t>2020).</w:t>
              </w:r>
            </w:hyperlink>
          </w:p>
        </w:tc>
        <w:tc>
          <w:tcPr>
            <w:tcW w:w="5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7120" w:type="dxa"/>
            <w:vAlign w:val="bottom"/>
            <w:gridSpan w:val="15"/>
          </w:tcPr>
          <w:p>
            <w:pPr>
              <w:spacing w:after="0"/>
              <w:rPr>
                <w:rFonts w:ascii="Times New Roman" w:cs="Times New Roman" w:eastAsia="Times New Roman" w:hAnsi="Times New Roman"/>
                <w:sz w:val="18"/>
                <w:szCs w:val="18"/>
                <w:u w:val="single" w:color="auto"/>
                <w:color w:val="0000EE"/>
              </w:rPr>
            </w:pPr>
            <w:hyperlink r:id="rId648">
              <w:r>
                <w:rPr>
                  <w:rFonts w:ascii="Times New Roman" w:cs="Times New Roman" w:eastAsia="Times New Roman" w:hAnsi="Times New Roman"/>
                  <w:sz w:val="18"/>
                  <w:szCs w:val="18"/>
                  <w:u w:val="single" w:color="auto"/>
                  <w:color w:val="0000EE"/>
                </w:rPr>
                <w:t>Form of Non-Redemption Agreement.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20">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9">
              <w:r>
                <w:rPr>
                  <w:rFonts w:ascii="Times New Roman" w:cs="Times New Roman" w:eastAsia="Times New Roman" w:hAnsi="Times New Roman"/>
                  <w:sz w:val="18"/>
                  <w:szCs w:val="18"/>
                  <w:color w:val="0000EE"/>
                </w:rPr>
                <w:t>Research Collaboration and License Agreement, dated as of April 1, 2017, by and between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9">
              <w:r>
                <w:rPr>
                  <w:rFonts w:ascii="Times New Roman" w:cs="Times New Roman" w:eastAsia="Times New Roman" w:hAnsi="Times New Roman"/>
                  <w:sz w:val="18"/>
                  <w:szCs w:val="18"/>
                  <w:color w:val="0000EE"/>
                </w:rPr>
                <w:t>Gemini Therapeutics, Inc. and Sanquin Blood Supply Foundation.</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44">
              <w:r>
                <w:rPr>
                  <w:rFonts w:ascii="Times New Roman" w:cs="Times New Roman" w:eastAsia="Times New Roman" w:hAnsi="Times New Roman"/>
                  <w:sz w:val="18"/>
                  <w:szCs w:val="18"/>
                  <w:color w:val="0000EE"/>
                </w:rPr>
                <w:t>Consent of WithumSmith+Brown, PC, independent registered public accounting firm of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44">
              <w:r>
                <w:rPr>
                  <w:rFonts w:ascii="Times New Roman" w:cs="Times New Roman" w:eastAsia="Times New Roman" w:hAnsi="Times New Roman"/>
                  <w:sz w:val="18"/>
                  <w:szCs w:val="18"/>
                  <w:color w:val="0000EE"/>
                </w:rPr>
                <w:t>Development Corp.</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545">
              <w:r>
                <w:rPr>
                  <w:rFonts w:ascii="Times New Roman" w:cs="Times New Roman" w:eastAsia="Times New Roman" w:hAnsi="Times New Roman"/>
                  <w:sz w:val="18"/>
                  <w:szCs w:val="18"/>
                  <w:color w:val="0000EE"/>
                </w:rPr>
                <w:t>Consent of Ernst &amp; Young LLP, independent registered public accounting firm of Gemini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45">
              <w:r>
                <w:rPr>
                  <w:rFonts w:ascii="Times New Roman" w:cs="Times New Roman" w:eastAsia="Times New Roman" w:hAnsi="Times New Roman"/>
                  <w:sz w:val="18"/>
                  <w:szCs w:val="18"/>
                  <w:color w:val="0000EE"/>
                </w:rPr>
                <w:t>Therapeutics, Inc.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Consent of White &amp; Case LLP (included as part of the opinion filed as Exhibit 5.1 hereto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50">
              <w:r>
                <w:rPr>
                  <w:rFonts w:ascii="Times New Roman" w:cs="Times New Roman" w:eastAsia="Times New Roman" w:hAnsi="Times New Roman"/>
                  <w:sz w:val="18"/>
                  <w:szCs w:val="18"/>
                  <w:color w:val="0000EE"/>
                </w:rPr>
                <w:t>Power of Attorney (contained on signature page to the proxy statement/prospectus forming part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50">
              <w:r>
                <w:rPr>
                  <w:rFonts w:ascii="Times New Roman" w:cs="Times New Roman" w:eastAsia="Times New Roman" w:hAnsi="Times New Roman"/>
                  <w:sz w:val="18"/>
                  <w:szCs w:val="18"/>
                  <w:color w:val="0000EE"/>
                </w:rPr>
                <w:t>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Preliminary Proxy Card.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21"/>
                <w:szCs w:val="21"/>
                <w:color w:val="auto"/>
              </w:rPr>
            </w:pPr>
          </w:p>
        </w:tc>
        <w:tc>
          <w:tcPr>
            <w:tcW w:w="7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900" w:val="left"/>
        </w:tabs>
        <w:numPr>
          <w:ilvl w:val="0"/>
          <w:numId w:val="5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annexes, schedules, and certain exhibits to the Merger Agreement have been omitted pursuant to Item 601(b)(2) of Regulation S-K. FS Development hereby agrees to furnish supplementally a copy of any omitted annex, schedule or exhibit to the Commission upon request.</w:t>
      </w:r>
    </w:p>
    <w:p>
      <w:pPr>
        <w:spacing w:after="0" w:line="1" w:lineRule="exact"/>
        <w:rPr>
          <w:sz w:val="20"/>
          <w:szCs w:val="20"/>
          <w:color w:val="auto"/>
        </w:rPr>
      </w:pPr>
    </w:p>
    <w:p>
      <w:pPr>
        <w:ind w:left="860" w:hanging="406"/>
        <w:spacing w:after="0"/>
        <w:tabs>
          <w:tab w:leader="none" w:pos="860" w:val="left"/>
        </w:tabs>
        <w:numPr>
          <w:ilvl w:val="0"/>
          <w:numId w:val="5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5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ind w:left="860" w:hanging="406"/>
        <w:spacing w:after="0"/>
        <w:tabs>
          <w:tab w:leader="none" w:pos="860" w:val="left"/>
        </w:tabs>
        <w:numPr>
          <w:ilvl w:val="0"/>
          <w:numId w:val="5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ectPr>
          <w:pgSz w:w="11900" w:h="16838" w:orient="portrait"/>
          <w:cols w:equalWidth="0" w:num="1">
            <w:col w:w="9019"/>
          </w:cols>
          <w:pgMar w:left="1440" w:top="269" w:right="1440" w:bottom="1095"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095" w:gutter="0" w:footer="0" w:header="0"/>
          <w:type w:val="continuous"/>
        </w:sectPr>
      </w:pPr>
    </w:p>
    <w:bookmarkStart w:id="540" w:name="page541"/>
    <w:bookmarkEnd w:id="5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48" w:lineRule="exact"/>
        <w:rPr>
          <w:sz w:val="20"/>
          <w:szCs w:val="20"/>
          <w:color w:val="auto"/>
        </w:rPr>
      </w:pPr>
    </w:p>
    <w:p>
      <w:pPr>
        <w:ind w:left="1300" w:hanging="414"/>
        <w:spacing w:after="0"/>
        <w:tabs>
          <w:tab w:leader="none" w:pos="130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6"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60" w:hanging="410"/>
        <w:spacing w:after="0"/>
        <w:tabs>
          <w:tab w:leader="none" w:pos="2160"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jc w:val="both"/>
        <w:ind w:left="2180" w:right="459" w:hanging="430"/>
        <w:spacing w:after="0" w:line="253" w:lineRule="auto"/>
        <w:tabs>
          <w:tab w:leader="none" w:pos="2271"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375"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46"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80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82"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8"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37"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87" w:val="left"/>
        </w:tabs>
        <w:numPr>
          <w:ilvl w:val="2"/>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1" w:name="page542"/>
    <w:bookmarkEnd w:id="5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2220" w:right="459" w:hanging="434"/>
        <w:spacing w:after="0" w:line="266" w:lineRule="auto"/>
        <w:tabs>
          <w:tab w:leader="none" w:pos="2328" w:val="left"/>
        </w:tabs>
        <w:numPr>
          <w:ilvl w:val="3"/>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330"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18"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7"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873"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35"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6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2"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2" w:name="page543"/>
    <w:bookmarkEnd w:id="5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No. 3 to the registration statement to be signed on its behalf by the undersigned, thereunto duly authorized in the City of San Francisco, California, on January 11, 2021.</w:t>
      </w:r>
    </w:p>
    <w:p>
      <w:pPr>
        <w:spacing w:after="0" w:line="1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8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 /s/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51435</wp:posOffset>
            </wp:positionV>
            <wp:extent cx="20828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Jim Tananbaum</w:t>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2"/>
          </w:tcPr>
          <w:p>
            <w:pPr>
              <w:ind w:left="18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Dr. Jim Tananbaum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11,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Jim Tananbaum</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Dennis Ryan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11,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Vice President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11,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Rome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11,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Vikram Bajaj</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11,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11,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Dan Dubin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11,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Deepa Pakianathan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Dennis Ryan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As Attorney-In-Fact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II-8</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543" w:name="page544"/>
    <w:bookmarkEnd w:id="5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this Amendment No. 3 to the Registration Statement on Form S-4 (File No. 333-249785), of our report dated August 11, 2020, relating to the balance sheet of FS Development Corp. as of June 30, 2020, and the related statements of operations, changes in stockholder’s equity and cash flows for the period from June 25, 2020 (inception) through June 30, 2020, and to the reference to our Firm under the caption “Experts” in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11, 2021</w:t>
      </w:r>
    </w:p>
    <w:p>
      <w:pPr>
        <w:sectPr>
          <w:pgSz w:w="11900" w:h="16838" w:orient="portrait"/>
          <w:cols w:equalWidth="0" w:num="1">
            <w:col w:w="11240"/>
          </w:cols>
          <w:pgMar w:left="320" w:top="117" w:right="339" w:bottom="1440" w:gutter="0" w:footer="0" w:header="0"/>
        </w:sectPr>
      </w:pPr>
    </w:p>
    <w:bookmarkStart w:id="544" w:name="page545"/>
    <w:bookmarkEnd w:id="54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October 30, 2020 with respect to the financial statements of Gemini Therapeutics, Inc. included in the Proxy Statement of FS Development Corp. that is made a part of the Registration Statement (Form S-4 No. 333-249785) and Prospectus of FS Development Corp. for the registration of 21,500,000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11, 2021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B1F2A"/>
    <w:multiLevelType w:val="hybridMultilevel"/>
    <w:lvl w:ilvl="0">
      <w:lvlJc w:val="left"/>
      <w:lvlText w:val="(%1)"/>
      <w:numFmt w:val="decimal"/>
      <w:start w:val="1"/>
    </w:lvl>
  </w:abstractNum>
  <w:abstractNum w:abstractNumId="1">
    <w:nsid w:val="6FBF29CB"/>
    <w:multiLevelType w:val="hybridMultilevel"/>
    <w:lvl w:ilvl="0">
      <w:lvlJc w:val="left"/>
      <w:lvlText w:val="."/>
      <w:numFmt w:val="bullet"/>
      <w:start w:val="1"/>
    </w:lvl>
  </w:abstractNum>
  <w:abstractNum w:abstractNumId="2">
    <w:nsid w:val="550B8808"/>
    <w:multiLevelType w:val="hybridMultilevel"/>
    <w:lvl w:ilvl="0">
      <w:lvlJc w:val="left"/>
      <w:lvlText w:val="(%1)"/>
      <w:numFmt w:val="decimal"/>
      <w:start w:val="1"/>
    </w:lvl>
  </w:abstractNum>
  <w:abstractNum w:abstractNumId="3">
    <w:nsid w:val="34CC3ACF"/>
    <w:multiLevelType w:val="hybridMultilevel"/>
    <w:lvl w:ilvl="0">
      <w:lvlJc w:val="left"/>
      <w:lvlText w:val="(%1)"/>
      <w:numFmt w:val="lowerLetter"/>
      <w:start w:val="1"/>
    </w:lvl>
  </w:abstractNum>
  <w:abstractNum w:abstractNumId="4">
    <w:nsid w:val="4E556261"/>
    <w:multiLevelType w:val="hybridMultilevel"/>
    <w:lvl w:ilvl="0">
      <w:lvlJc w:val="left"/>
      <w:lvlText w:val="(%1)"/>
      <w:numFmt w:val="lowerLetter"/>
      <w:start w:val="2"/>
    </w:lvl>
  </w:abstractNum>
  <w:abstractNum w:abstractNumId="5">
    <w:nsid w:val="4C672FC9"/>
    <w:multiLevelType w:val="hybridMultilevel"/>
    <w:lvl w:ilvl="0">
      <w:lvlJc w:val="left"/>
      <w:lvlText w:val="%1"/>
      <w:numFmt w:val="decimal"/>
      <w:start w:val="1"/>
    </w:lvl>
    <w:lvl w:ilvl="1">
      <w:lvlJc w:val="left"/>
      <w:lvlText w:val="(%2)"/>
      <w:numFmt w:val="lowerLetter"/>
      <w:start w:val="3"/>
    </w:lvl>
  </w:abstractNum>
  <w:abstractNum w:abstractNumId="6">
    <w:nsid w:val="52A311C3"/>
    <w:multiLevelType w:val="hybridMultilevel"/>
    <w:lvl w:ilvl="0">
      <w:lvlJc w:val="left"/>
      <w:lvlText w:val="(%1)"/>
      <w:numFmt w:val="decimal"/>
      <w:start w:val="5"/>
    </w:lvl>
    <w:lvl w:ilvl="1">
      <w:lvlJc w:val="left"/>
      <w:lvlText w:val="%2"/>
      <w:numFmt w:val="lowerLetter"/>
      <w:start w:val="1"/>
    </w:lvl>
  </w:abstractNum>
  <w:abstractNum w:abstractNumId="7">
    <w:nsid w:val="44EF6B80"/>
    <w:multiLevelType w:val="hybridMultilevel"/>
    <w:lvl w:ilvl="0">
      <w:lvlJc w:val="left"/>
      <w:lvlText w:val="(%1)"/>
      <w:numFmt w:val="lowerRoman"/>
      <w:start w:val="1"/>
    </w:lvl>
  </w:abstractNum>
  <w:abstractNum w:abstractNumId="8">
    <w:nsid w:val="12FCDE5E"/>
    <w:multiLevelType w:val="hybridMultilevel"/>
    <w:lvl w:ilvl="0">
      <w:lvlJc w:val="left"/>
      <w:lvlText w:val="%1."/>
      <w:numFmt w:val="decimal"/>
      <w:start w:val="1"/>
    </w:lvl>
    <w:lvl w:ilvl="1">
      <w:lvlJc w:val="left"/>
      <w:lvlText w:val="(%2)"/>
      <w:numFmt w:val="lowerRoman"/>
      <w:start w:val="1"/>
    </w:lvl>
  </w:abstractNum>
  <w:abstractNum w:abstractNumId="9">
    <w:nsid w:val="4A1D606E"/>
    <w:multiLevelType w:val="hybridMultilevel"/>
    <w:lvl w:ilvl="0">
      <w:lvlJc w:val="left"/>
      <w:lvlText w:val="%1."/>
      <w:numFmt w:val="decimal"/>
      <w:start w:val="2"/>
    </w:lvl>
  </w:abstractNum>
  <w:abstractNum w:abstractNumId="10">
    <w:nsid w:val="4382503"/>
    <w:multiLevelType w:val="hybridMultilevel"/>
    <w:lvl w:ilvl="0">
      <w:lvlJc w:val="left"/>
      <w:lvlText w:val="%1."/>
      <w:numFmt w:val="decimal"/>
      <w:start w:val="4"/>
    </w:lvl>
  </w:abstractNum>
  <w:abstractNum w:abstractNumId="11">
    <w:nsid w:val="59B76E28"/>
    <w:multiLevelType w:val="hybridMultilevel"/>
    <w:lvl w:ilvl="0">
      <w:lvlJc w:val="left"/>
      <w:lvlText w:val="(%1)"/>
      <w:numFmt w:val="lowerLetter"/>
      <w:start w:val="1"/>
    </w:lvl>
  </w:abstractNum>
  <w:abstractNum w:abstractNumId="12">
    <w:nsid w:val="4252C2DA"/>
    <w:multiLevelType w:val="hybridMultilevel"/>
    <w:lvl w:ilvl="0">
      <w:lvlJc w:val="left"/>
      <w:lvlText w:val="%1"/>
      <w:numFmt w:val="decimal"/>
      <w:start w:val="1"/>
    </w:lvl>
    <w:lvl w:ilvl="1">
      <w:lvlJc w:val="left"/>
      <w:lvlText w:val="(%2)"/>
      <w:numFmt w:val="lowerLetter"/>
      <w:start w:val="2"/>
    </w:lvl>
  </w:abstractNum>
  <w:abstractNum w:abstractNumId="13">
    <w:nsid w:val="6A92EF4C"/>
    <w:multiLevelType w:val="hybridMultilevel"/>
    <w:lvl w:ilvl="0">
      <w:lvlJc w:val="left"/>
      <w:lvlText w:val="%1."/>
      <w:numFmt w:val="decimal"/>
      <w:start w:val="5"/>
    </w:lvl>
    <w:lvl w:ilvl="1">
      <w:lvlJc w:val="left"/>
      <w:lvlText w:val="%2"/>
      <w:numFmt w:val="lowerLetter"/>
      <w:start w:val="1"/>
    </w:lvl>
  </w:abstractNum>
  <w:abstractNum w:abstractNumId="14">
    <w:nsid w:val="41ED20D7"/>
    <w:multiLevelType w:val="hybridMultilevel"/>
    <w:lvl w:ilvl="0">
      <w:lvlJc w:val="left"/>
      <w:lvlText w:val="(%1)"/>
      <w:numFmt w:val="lowerLetter"/>
      <w:start w:val="2"/>
    </w:lvl>
  </w:abstractNum>
  <w:abstractNum w:abstractNumId="15">
    <w:nsid w:val="E6B3F6A"/>
    <w:multiLevelType w:val="hybridMultilevel"/>
    <w:lvl w:ilvl="0">
      <w:lvlJc w:val="left"/>
      <w:lvlText w:val="(%1)"/>
      <w:numFmt w:val="lowerLetter"/>
      <w:start w:val="4"/>
    </w:lvl>
  </w:abstractNum>
  <w:abstractNum w:abstractNumId="16">
    <w:nsid w:val="3EB21819"/>
    <w:multiLevelType w:val="hybridMultilevel"/>
    <w:lvl w:ilvl="0">
      <w:lvlJc w:val="left"/>
      <w:lvlText w:val="%1."/>
      <w:numFmt w:val="upperLetter"/>
      <w:start w:val="17"/>
    </w:lvl>
  </w:abstractNum>
  <w:abstractNum w:abstractNumId="17">
    <w:nsid w:val="41531DED"/>
    <w:multiLevelType w:val="hybridMultilevel"/>
    <w:lvl w:ilvl="0">
      <w:lvlJc w:val="left"/>
      <w:lvlText w:val="%1."/>
      <w:numFmt w:val="upperLetter"/>
      <w:start w:val="1"/>
    </w:lvl>
  </w:abstractNum>
  <w:abstractNum w:abstractNumId="18">
    <w:nsid w:val="6353CD2"/>
    <w:multiLevelType w:val="hybridMultilevel"/>
    <w:lvl w:ilvl="0">
      <w:lvlJc w:val="left"/>
      <w:lvlText w:val="%1:"/>
      <w:numFmt w:val="upperLetter"/>
      <w:start w:val="17"/>
    </w:lvl>
  </w:abstractNum>
  <w:abstractNum w:abstractNumId="19">
    <w:nsid w:val="683CAAD3"/>
    <w:multiLevelType w:val="hybridMultilevel"/>
    <w:lvl w:ilvl="0">
      <w:lvlJc w:val="left"/>
      <w:lvlText w:val="%1:"/>
      <w:numFmt w:val="upperLetter"/>
      <w:start w:val="1"/>
    </w:lvl>
  </w:abstractNum>
  <w:abstractNum w:abstractNumId="20">
    <w:nsid w:val="313C7C99"/>
    <w:multiLevelType w:val="hybridMultilevel"/>
    <w:lvl w:ilvl="0">
      <w:lvlJc w:val="left"/>
      <w:lvlText w:val="%1:"/>
      <w:numFmt w:val="upperLetter"/>
      <w:start w:val="17"/>
    </w:lvl>
  </w:abstractNum>
  <w:abstractNum w:abstractNumId="21">
    <w:nsid w:val="519EB94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
    <w:nsid w:val="39DF25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3">
    <w:nsid w:val="126E008B"/>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4">
    <w:nsid w:val="34DFBC00"/>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25">
    <w:nsid w:val="1F9EC322"/>
    <w:multiLevelType w:val="hybridMultilevel"/>
    <w:lvl w:ilvl="0">
      <w:lvlJc w:val="left"/>
      <w:lvlText w:val="%1:"/>
      <w:numFmt w:val="upperLetter"/>
      <w:start w:val="17"/>
    </w:lvl>
  </w:abstractNum>
  <w:abstractNum w:abstractNumId="26">
    <w:nsid w:val="3410ED56"/>
    <w:multiLevelType w:val="hybridMultilevel"/>
    <w:lvl w:ilvl="0">
      <w:lvlJc w:val="left"/>
      <w:lvlText w:val="%1:"/>
      <w:numFmt w:val="upperLetter"/>
      <w:start w:val="1"/>
    </w:lvl>
  </w:abstractNum>
  <w:abstractNum w:abstractNumId="27">
    <w:nsid w:val="23C049A"/>
    <w:multiLevelType w:val="hybridMultilevel"/>
    <w:lvl w:ilvl="0">
      <w:lvlJc w:val="left"/>
      <w:lvlText w:val="%1:"/>
      <w:numFmt w:val="upperLetter"/>
      <w:start w:val="17"/>
    </w:lvl>
  </w:abstractNum>
  <w:abstractNum w:abstractNumId="28">
    <w:nsid w:val="5BDA35D4"/>
    <w:multiLevelType w:val="hybridMultilevel"/>
    <w:lvl w:ilvl="0">
      <w:lvlJc w:val="left"/>
      <w:lvlText w:val="%1:"/>
      <w:numFmt w:val="upperLetter"/>
      <w:start w:val="1"/>
    </w:lvl>
  </w:abstractNum>
  <w:abstractNum w:abstractNumId="29">
    <w:nsid w:val="496FB218"/>
    <w:multiLevelType w:val="hybridMultilevel"/>
    <w:lvl w:ilvl="0">
      <w:lvlJc w:val="left"/>
      <w:lvlText w:val="%1:"/>
      <w:numFmt w:val="upperLetter"/>
      <w:start w:val="17"/>
    </w:lvl>
  </w:abstractNum>
  <w:abstractNum w:abstractNumId="30">
    <w:nsid w:val="680EA5D1"/>
    <w:multiLevelType w:val="hybridMultilevel"/>
    <w:lvl w:ilvl="0">
      <w:lvlJc w:val="left"/>
      <w:lvlText w:val="%1:"/>
      <w:numFmt w:val="upperLetter"/>
      <w:start w:val="1"/>
    </w:lvl>
  </w:abstractNum>
  <w:abstractNum w:abstractNumId="31">
    <w:nsid w:val="4A9554FE"/>
    <w:multiLevelType w:val="hybridMultilevel"/>
    <w:lvl w:ilvl="0">
      <w:lvlJc w:val="left"/>
      <w:lvlText w:val="%1:"/>
      <w:numFmt w:val="upperLetter"/>
      <w:start w:val="17"/>
    </w:lvl>
  </w:abstractNum>
  <w:abstractNum w:abstractNumId="32">
    <w:nsid w:val="392EDBE4"/>
    <w:multiLevelType w:val="hybridMultilevel"/>
    <w:lvl w:ilvl="0">
      <w:lvlJc w:val="left"/>
      <w:lvlText w:val="%1:"/>
      <w:numFmt w:val="upperLetter"/>
      <w:start w:val="1"/>
    </w:lvl>
  </w:abstractNum>
  <w:abstractNum w:abstractNumId="33">
    <w:nsid w:val="3D1A2DD9"/>
    <w:multiLevelType w:val="hybridMultilevel"/>
    <w:lvl w:ilvl="0">
      <w:lvlJc w:val="left"/>
      <w:lvlText w:val="%1:"/>
      <w:numFmt w:val="upperLetter"/>
      <w:start w:val="17"/>
    </w:lvl>
  </w:abstractNum>
  <w:abstractNum w:abstractNumId="34">
    <w:nsid w:val="7F618FCD"/>
    <w:multiLevelType w:val="hybridMultilevel"/>
    <w:lvl w:ilvl="0">
      <w:lvlJc w:val="left"/>
      <w:lvlText w:val="%1:"/>
      <w:numFmt w:val="upperLetter"/>
      <w:start w:val="1"/>
    </w:lvl>
  </w:abstractNum>
  <w:abstractNum w:abstractNumId="35">
    <w:nsid w:val="7843E45"/>
    <w:multiLevelType w:val="hybridMultilevel"/>
    <w:lvl w:ilvl="0">
      <w:lvlJc w:val="left"/>
      <w:lvlText w:val="%1:"/>
      <w:numFmt w:val="upperLetter"/>
      <w:start w:val="17"/>
    </w:lvl>
  </w:abstractNum>
  <w:abstractNum w:abstractNumId="36">
    <w:nsid w:val="9815DA3"/>
    <w:multiLevelType w:val="hybridMultilevel"/>
    <w:lvl w:ilvl="0">
      <w:lvlJc w:val="left"/>
      <w:lvlText w:val="%1:"/>
      <w:numFmt w:val="upperLetter"/>
      <w:start w:val="1"/>
    </w:lvl>
    <w:lvl w:ilvl="1">
      <w:lvlJc w:val="left"/>
      <w:lvlText w:val="(%2)"/>
      <w:numFmt w:val="lowerRoman"/>
      <w:start w:val="5"/>
    </w:lvl>
  </w:abstractNum>
  <w:abstractNum w:abstractNumId="37">
    <w:nsid w:val="5204A191"/>
    <w:multiLevelType w:val="hybridMultilevel"/>
    <w:lvl w:ilvl="0">
      <w:lvlJc w:val="left"/>
      <w:lvlText w:val="%1:"/>
      <w:numFmt w:val="upperLetter"/>
      <w:start w:val="17"/>
    </w:lvl>
  </w:abstractNum>
  <w:abstractNum w:abstractNumId="38">
    <w:nsid w:val="4C73A9C6"/>
    <w:multiLevelType w:val="hybridMultilevel"/>
    <w:lvl w:ilvl="0">
      <w:lvlJc w:val="left"/>
      <w:lvlText w:val="%1:"/>
      <w:numFmt w:val="upperLetter"/>
      <w:start w:val="1"/>
    </w:lvl>
  </w:abstractNum>
  <w:abstractNum w:abstractNumId="39">
    <w:nsid w:val="1C7E3C01"/>
    <w:multiLevelType w:val="hybridMultilevel"/>
    <w:lvl w:ilvl="0">
      <w:lvlJc w:val="left"/>
      <w:lvlText w:val="%1."/>
      <w:numFmt w:val="upperLetter"/>
      <w:start w:val="17"/>
    </w:lvl>
  </w:abstractNum>
  <w:abstractNum w:abstractNumId="40">
    <w:nsid w:val="1C2201FF"/>
    <w:multiLevelType w:val="hybridMultilevel"/>
    <w:lvl w:ilvl="0">
      <w:lvlJc w:val="left"/>
      <w:lvlText w:val="%1."/>
      <w:numFmt w:val="upperLetter"/>
      <w:start w:val="1"/>
    </w:lvl>
  </w:abstractNum>
  <w:abstractNum w:abstractNumId="41">
    <w:nsid w:val="50ABCEC9"/>
    <w:multiLevelType w:val="hybridMultilevel"/>
    <w:lvl w:ilvl="0">
      <w:lvlJc w:val="left"/>
      <w:lvlText w:val="%1:"/>
      <w:numFmt w:val="upperLetter"/>
      <w:start w:val="17"/>
    </w:lvl>
  </w:abstractNum>
  <w:abstractNum w:abstractNumId="42">
    <w:nsid w:val="7635AA2A"/>
    <w:multiLevelType w:val="hybridMultilevel"/>
    <w:lvl w:ilvl="0">
      <w:lvlJc w:val="left"/>
      <w:lvlText w:val="%1:"/>
      <w:numFmt w:val="upperLetter"/>
      <w:start w:val="1"/>
    </w:lvl>
  </w:abstractNum>
  <w:abstractNum w:abstractNumId="43">
    <w:nsid w:val="5E74C4D9"/>
    <w:multiLevelType w:val="hybridMultilevel"/>
    <w:lvl w:ilvl="0">
      <w:lvlJc w:val="left"/>
      <w:lvlText w:val="%1:"/>
      <w:numFmt w:val="upperLetter"/>
      <w:start w:val="17"/>
    </w:lvl>
  </w:abstractNum>
  <w:abstractNum w:abstractNumId="44">
    <w:nsid w:val="3B3EBE15"/>
    <w:multiLevelType w:val="hybridMultilevel"/>
    <w:lvl w:ilvl="0">
      <w:lvlJc w:val="left"/>
      <w:lvlText w:val="%1:"/>
      <w:numFmt w:val="upperLetter"/>
      <w:start w:val="1"/>
    </w:lvl>
  </w:abstractNum>
  <w:abstractNum w:abstractNumId="45">
    <w:nsid w:val="3822CB01"/>
    <w:multiLevelType w:val="hybridMultilevel"/>
    <w:lvl w:ilvl="0">
      <w:lvlJc w:val="left"/>
      <w:lvlText w:val="%1:"/>
      <w:numFmt w:val="upperLetter"/>
      <w:start w:val="17"/>
    </w:lvl>
  </w:abstractNum>
  <w:abstractNum w:abstractNumId="46">
    <w:nsid w:val="6CE00443"/>
    <w:multiLevelType w:val="hybridMultilevel"/>
    <w:lvl w:ilvl="0">
      <w:lvlJc w:val="left"/>
      <w:lvlText w:val="%1:"/>
      <w:numFmt w:val="upperLetter"/>
      <w:start w:val="1"/>
    </w:lvl>
  </w:abstractNum>
  <w:abstractNum w:abstractNumId="47">
    <w:nsid w:val="79F0D62F"/>
    <w:multiLevelType w:val="hybridMultilevel"/>
    <w:lvl w:ilvl="0">
      <w:lvlJc w:val="left"/>
      <w:lvlText w:val="%1:"/>
      <w:numFmt w:val="upperLetter"/>
      <w:start w:val="17"/>
    </w:lvl>
  </w:abstractNum>
  <w:abstractNum w:abstractNumId="48">
    <w:nsid w:val="7975E8EE"/>
    <w:multiLevelType w:val="hybridMultilevel"/>
    <w:lvl w:ilvl="0">
      <w:lvlJc w:val="left"/>
      <w:lvlText w:val="%1:"/>
      <w:numFmt w:val="upperLetter"/>
      <w:start w:val="1"/>
    </w:lvl>
  </w:abstractNum>
  <w:abstractNum w:abstractNumId="49">
    <w:nsid w:val="73154115"/>
    <w:multiLevelType w:val="hybridMultilevel"/>
    <w:lvl w:ilvl="0">
      <w:lvlJc w:val="left"/>
      <w:lvlText w:val="%1:"/>
      <w:numFmt w:val="upperLetter"/>
      <w:start w:val="17"/>
    </w:lvl>
  </w:abstractNum>
  <w:abstractNum w:abstractNumId="50">
    <w:nsid w:val="622D8102"/>
    <w:multiLevelType w:val="hybridMultilevel"/>
    <w:lvl w:ilvl="0">
      <w:lvlJc w:val="left"/>
      <w:lvlText w:val="%1:"/>
      <w:numFmt w:val="upperLetter"/>
      <w:start w:val="1"/>
    </w:lvl>
  </w:abstractNum>
  <w:abstractNum w:abstractNumId="51">
    <w:nsid w:val="2AB26587"/>
    <w:multiLevelType w:val="hybridMultilevel"/>
    <w:lvl w:ilvl="0">
      <w:lvlJc w:val="left"/>
      <w:lvlText w:val="%1:"/>
      <w:numFmt w:val="upperLetter"/>
      <w:start w:val="17"/>
    </w:lvl>
  </w:abstractNum>
  <w:abstractNum w:abstractNumId="52">
    <w:nsid w:val="44B3FA61"/>
    <w:multiLevelType w:val="hybridMultilevel"/>
    <w:lvl w:ilvl="0">
      <w:lvlJc w:val="left"/>
      <w:lvlText w:val="%1:"/>
      <w:numFmt w:val="upperLetter"/>
      <w:start w:val="1"/>
    </w:lvl>
  </w:abstractNum>
  <w:abstractNum w:abstractNumId="53">
    <w:nsid w:val="1C0CA67C"/>
    <w:multiLevelType w:val="hybridMultilevel"/>
    <w:lvl w:ilvl="0">
      <w:lvlJc w:val="left"/>
      <w:lvlText w:val="%1:"/>
      <w:numFmt w:val="upperLetter"/>
      <w:start w:val="17"/>
    </w:lvl>
  </w:abstractNum>
  <w:abstractNum w:abstractNumId="54">
    <w:nsid w:val="3D206613"/>
    <w:multiLevelType w:val="hybridMultilevel"/>
    <w:lvl w:ilvl="0">
      <w:lvlJc w:val="left"/>
      <w:lvlText w:val="%1:"/>
      <w:numFmt w:val="upperLetter"/>
      <w:start w:val="1"/>
    </w:lvl>
    <w:lvl w:ilvl="1">
      <w:lvlJc w:val="left"/>
      <w:lvlText w:val="•"/>
      <w:numFmt w:val="bullet"/>
      <w:start w:val="1"/>
    </w:lvl>
  </w:abstractNum>
  <w:abstractNum w:abstractNumId="55">
    <w:nsid w:val="7993B662"/>
    <w:multiLevelType w:val="hybridMultilevel"/>
    <w:lvl w:ilvl="0">
      <w:lvlJc w:val="left"/>
      <w:lvlText w:val="•"/>
      <w:numFmt w:val="bullet"/>
      <w:start w:val="1"/>
    </w:lvl>
  </w:abstractNum>
  <w:abstractNum w:abstractNumId="56">
    <w:nsid w:val="3BAB699E"/>
    <w:multiLevelType w:val="hybridMultilevel"/>
    <w:lvl w:ilvl="0">
      <w:lvlJc w:val="left"/>
      <w:lvlText w:val="%1:"/>
      <w:numFmt w:val="upperLetter"/>
      <w:start w:val="17"/>
    </w:lvl>
  </w:abstractNum>
  <w:abstractNum w:abstractNumId="57">
    <w:nsid w:val="71315369"/>
    <w:multiLevelType w:val="hybridMultilevel"/>
    <w:lvl w:ilvl="0">
      <w:lvlJc w:val="left"/>
      <w:lvlText w:val="%1:"/>
      <w:numFmt w:val="upperLetter"/>
      <w:start w:val="1"/>
    </w:lvl>
  </w:abstractNum>
  <w:abstractNum w:abstractNumId="58">
    <w:nsid w:val="7BCFBAFC"/>
    <w:multiLevelType w:val="hybridMultilevel"/>
    <w:lvl w:ilvl="0">
      <w:lvlJc w:val="left"/>
      <w:lvlText w:val="%1:"/>
      <w:numFmt w:val="upperLetter"/>
      <w:start w:val="17"/>
    </w:lvl>
  </w:abstractNum>
  <w:abstractNum w:abstractNumId="59">
    <w:nsid w:val="17859F72"/>
    <w:multiLevelType w:val="hybridMultilevel"/>
    <w:lvl w:ilvl="0">
      <w:lvlJc w:val="left"/>
      <w:lvlText w:val="%1:"/>
      <w:numFmt w:val="upperLetter"/>
      <w:start w:val="17"/>
    </w:lvl>
  </w:abstractNum>
  <w:abstractNum w:abstractNumId="60">
    <w:nsid w:val="3AA10581"/>
    <w:multiLevelType w:val="hybridMultilevel"/>
    <w:lvl w:ilvl="0">
      <w:lvlJc w:val="left"/>
      <w:lvlText w:val="%1:"/>
      <w:numFmt w:val="upperLetter"/>
      <w:start w:val="1"/>
    </w:lvl>
  </w:abstractNum>
  <w:abstractNum w:abstractNumId="61">
    <w:nsid w:val="63DE60CD"/>
    <w:multiLevelType w:val="hybridMultilevel"/>
    <w:lvl w:ilvl="0">
      <w:lvlJc w:val="left"/>
      <w:lvlText w:val="%1:"/>
      <w:numFmt w:val="upperLetter"/>
      <w:start w:val="17"/>
    </w:lvl>
  </w:abstractNum>
  <w:abstractNum w:abstractNumId="62">
    <w:nsid w:val="621AF471"/>
    <w:multiLevelType w:val="hybridMultilevel"/>
    <w:lvl w:ilvl="0">
      <w:lvlJc w:val="left"/>
      <w:lvlText w:val="%1:"/>
      <w:numFmt w:val="upperLetter"/>
      <w:start w:val="1"/>
    </w:lvl>
  </w:abstractNum>
  <w:abstractNum w:abstractNumId="63">
    <w:nsid w:val="73CFE165"/>
    <w:multiLevelType w:val="hybridMultilevel"/>
    <w:lvl w:ilvl="0">
      <w:lvlJc w:val="left"/>
      <w:lvlText w:val="%1:"/>
      <w:numFmt w:val="upperLetter"/>
      <w:start w:val="17"/>
    </w:lvl>
  </w:abstractNum>
  <w:abstractNum w:abstractNumId="64">
    <w:nsid w:val="20F88EA6"/>
    <w:multiLevelType w:val="hybridMultilevel"/>
    <w:lvl w:ilvl="0">
      <w:lvlJc w:val="left"/>
      <w:lvlText w:val="%1:"/>
      <w:numFmt w:val="upperLetter"/>
      <w:start w:val="17"/>
    </w:lvl>
  </w:abstractNum>
  <w:abstractNum w:abstractNumId="65">
    <w:nsid w:val="617C843E"/>
    <w:multiLevelType w:val="hybridMultilevel"/>
    <w:lvl w:ilvl="0">
      <w:lvlJc w:val="left"/>
      <w:lvlText w:val="%1:"/>
      <w:numFmt w:val="upperLetter"/>
      <w:start w:val="1"/>
    </w:lvl>
  </w:abstractNum>
  <w:abstractNum w:abstractNumId="66">
    <w:nsid w:val="7B541FAB"/>
    <w:multiLevelType w:val="hybridMultilevel"/>
    <w:lvl w:ilvl="0">
      <w:lvlJc w:val="left"/>
      <w:lvlText w:val="%1:"/>
      <w:numFmt w:val="upperLetter"/>
      <w:start w:val="17"/>
    </w:lvl>
  </w:abstractNum>
  <w:abstractNum w:abstractNumId="67">
    <w:nsid w:val="2A79EC49"/>
    <w:multiLevelType w:val="hybridMultilevel"/>
    <w:lvl w:ilvl="0">
      <w:lvlJc w:val="left"/>
      <w:lvlText w:val="%1:"/>
      <w:numFmt w:val="upperLetter"/>
      <w:start w:val="1"/>
    </w:lvl>
  </w:abstractNum>
  <w:abstractNum w:abstractNumId="68">
    <w:nsid w:val="338125CF"/>
    <w:multiLevelType w:val="hybridMultilevel"/>
    <w:lvl w:ilvl="0">
      <w:lvlJc w:val="left"/>
      <w:lvlText w:val="%1:"/>
      <w:numFmt w:val="upperLetter"/>
      <w:start w:val="17"/>
    </w:lvl>
  </w:abstractNum>
  <w:abstractNum w:abstractNumId="69">
    <w:nsid w:val="47C7C971"/>
    <w:multiLevelType w:val="hybridMultilevel"/>
    <w:lvl w:ilvl="0">
      <w:lvlJc w:val="left"/>
      <w:lvlText w:val="%1:"/>
      <w:numFmt w:val="upperLetter"/>
      <w:start w:val="1"/>
    </w:lvl>
    <w:lvl w:ilvl="1">
      <w:lvlJc w:val="left"/>
      <w:lvlText w:val="•"/>
      <w:numFmt w:val="bullet"/>
      <w:start w:val="1"/>
    </w:lvl>
  </w:abstractNum>
  <w:abstractNum w:abstractNumId="70">
    <w:nsid w:val="46F8284B"/>
    <w:multiLevelType w:val="hybridMultilevel"/>
    <w:lvl w:ilvl="0">
      <w:lvlJc w:val="left"/>
      <w:lvlText w:val="%1:"/>
      <w:numFmt w:val="upperLetter"/>
      <w:start w:val="16"/>
    </w:lvl>
    <w:lvl w:ilvl="1">
      <w:lvlJc w:val="left"/>
      <w:lvlText w:val="•"/>
      <w:numFmt w:val="bullet"/>
      <w:start w:val="1"/>
    </w:lvl>
  </w:abstractNum>
  <w:abstractNum w:abstractNumId="71">
    <w:nsid w:val="4FA327CE"/>
    <w:multiLevelType w:val="hybridMultilevel"/>
    <w:lvl w:ilvl="0">
      <w:lvlJc w:val="left"/>
      <w:lvlText w:val="%1:"/>
      <w:numFmt w:val="upperLetter"/>
      <w:start w:val="1"/>
    </w:lvl>
  </w:abstractNum>
  <w:abstractNum w:abstractNumId="72">
    <w:nsid w:val="1873983A"/>
    <w:multiLevelType w:val="hybridMultilevel"/>
    <w:lvl w:ilvl="0">
      <w:lvlJc w:val="left"/>
      <w:lvlText w:val="%1:"/>
      <w:numFmt w:val="upperLetter"/>
      <w:start w:val="17"/>
    </w:lvl>
  </w:abstractNum>
  <w:abstractNum w:abstractNumId="73">
    <w:nsid w:val="3D2DD275"/>
    <w:multiLevelType w:val="hybridMultilevel"/>
    <w:lvl w:ilvl="0">
      <w:lvlJc w:val="left"/>
      <w:lvlText w:val="%1:"/>
      <w:numFmt w:val="upperLetter"/>
      <w:start w:val="1"/>
    </w:lvl>
  </w:abstractNum>
  <w:abstractNum w:abstractNumId="74">
    <w:nsid w:val="2E17ECA7"/>
    <w:multiLevelType w:val="hybridMultilevel"/>
    <w:lvl w:ilvl="0">
      <w:lvlJc w:val="left"/>
      <w:lvlText w:val="%1:"/>
      <w:numFmt w:val="upperLetter"/>
      <w:start w:val="17"/>
    </w:lvl>
  </w:abstractNum>
  <w:abstractNum w:abstractNumId="75">
    <w:nsid w:val="53B2564F"/>
    <w:multiLevelType w:val="hybridMultilevel"/>
    <w:lvl w:ilvl="0">
      <w:lvlJc w:val="left"/>
      <w:lvlText w:val="%1:"/>
      <w:numFmt w:val="upperLetter"/>
      <w:start w:val="1"/>
    </w:lvl>
  </w:abstractNum>
  <w:abstractNum w:abstractNumId="76">
    <w:nsid w:val="75509D76"/>
    <w:multiLevelType w:val="hybridMultilevel"/>
    <w:lvl w:ilvl="0">
      <w:lvlJc w:val="left"/>
      <w:lvlText w:val="%1:"/>
      <w:numFmt w:val="upperLetter"/>
      <w:start w:val="17"/>
    </w:lvl>
  </w:abstractNum>
  <w:abstractNum w:abstractNumId="77">
    <w:nsid w:val="1AF7F0EA"/>
    <w:multiLevelType w:val="hybridMultilevel"/>
    <w:lvl w:ilvl="0">
      <w:lvlJc w:val="left"/>
      <w:lvlText w:val="%1:"/>
      <w:numFmt w:val="upperLetter"/>
      <w:start w:val="1"/>
    </w:lvl>
  </w:abstractNum>
  <w:abstractNum w:abstractNumId="78">
    <w:nsid w:val="4DA32C7E"/>
    <w:multiLevelType w:val="hybridMultilevel"/>
    <w:lvl w:ilvl="0">
      <w:lvlJc w:val="left"/>
      <w:lvlText w:val="%1:"/>
      <w:numFmt w:val="upperLetter"/>
      <w:start w:val="17"/>
    </w:lvl>
  </w:abstractNum>
  <w:abstractNum w:abstractNumId="79">
    <w:nsid w:val="6EC68664"/>
    <w:multiLevelType w:val="hybridMultilevel"/>
    <w:lvl w:ilvl="0">
      <w:lvlJc w:val="left"/>
      <w:lvlText w:val="%1:"/>
      <w:numFmt w:val="upperLetter"/>
      <w:start w:val="1"/>
    </w:lvl>
  </w:abstractNum>
  <w:abstractNum w:abstractNumId="80">
    <w:nsid w:val="E0D31FF"/>
    <w:multiLevelType w:val="hybridMultilevel"/>
    <w:lvl w:ilvl="0">
      <w:lvlJc w:val="left"/>
      <w:lvlText w:val="%1."/>
      <w:numFmt w:val="upperLetter"/>
      <w:start w:val="17"/>
    </w:lvl>
  </w:abstractNum>
  <w:abstractNum w:abstractNumId="81">
    <w:nsid w:val="2FD0AD81"/>
    <w:multiLevelType w:val="hybridMultilevel"/>
    <w:lvl w:ilvl="0">
      <w:lvlJc w:val="left"/>
      <w:lvlText w:val="%1:"/>
      <w:numFmt w:val="upperLetter"/>
      <w:start w:val="1"/>
    </w:lvl>
  </w:abstractNum>
  <w:abstractNum w:abstractNumId="82">
    <w:nsid w:val="1978EBEB"/>
    <w:multiLevelType w:val="hybridMultilevel"/>
    <w:lvl w:ilvl="0">
      <w:lvlJc w:val="left"/>
      <w:lvlText w:val="%1:"/>
      <w:numFmt w:val="upperLetter"/>
      <w:start w:val="17"/>
    </w:lvl>
  </w:abstractNum>
  <w:abstractNum w:abstractNumId="83">
    <w:nsid w:val="52C12C61"/>
    <w:multiLevelType w:val="hybridMultilevel"/>
    <w:lvl w:ilvl="0">
      <w:lvlJc w:val="left"/>
      <w:lvlText w:val="%1:"/>
      <w:numFmt w:val="upperLetter"/>
      <w:start w:val="1"/>
    </w:lvl>
  </w:abstractNum>
  <w:abstractNum w:abstractNumId="84">
    <w:nsid w:val="4BDD53FD"/>
    <w:multiLevelType w:val="hybridMultilevel"/>
    <w:lvl w:ilvl="0">
      <w:lvlJc w:val="left"/>
      <w:lvlText w:val="%1:"/>
      <w:numFmt w:val="upperLetter"/>
      <w:start w:val="17"/>
    </w:lvl>
  </w:abstractNum>
  <w:abstractNum w:abstractNumId="85">
    <w:nsid w:val="569951FE"/>
    <w:multiLevelType w:val="hybridMultilevel"/>
    <w:lvl w:ilvl="0">
      <w:lvlJc w:val="left"/>
      <w:lvlText w:val="%1:"/>
      <w:numFmt w:val="upperLetter"/>
      <w:start w:val="1"/>
    </w:lvl>
    <w:lvl w:ilvl="1">
      <w:lvlJc w:val="left"/>
      <w:lvlText w:val="•"/>
      <w:numFmt w:val="bullet"/>
      <w:start w:val="1"/>
    </w:lvl>
  </w:abstractNum>
  <w:abstractNum w:abstractNumId="86">
    <w:nsid w:val="4C54E2C3"/>
    <w:multiLevelType w:val="hybridMultilevel"/>
    <w:lvl w:ilvl="0">
      <w:lvlJc w:val="left"/>
      <w:lvlText w:val="%1:"/>
      <w:numFmt w:val="upperLetter"/>
      <w:start w:val="17"/>
    </w:lvl>
  </w:abstractNum>
  <w:abstractNum w:abstractNumId="87">
    <w:nsid w:val="788BD9B"/>
    <w:multiLevelType w:val="hybridMultilevel"/>
    <w:lvl w:ilvl="0">
      <w:lvlJc w:val="left"/>
      <w:lvlText w:val="%1:"/>
      <w:numFmt w:val="upperLetter"/>
      <w:start w:val="1"/>
    </w:lvl>
  </w:abstractNum>
  <w:abstractNum w:abstractNumId="88">
    <w:nsid w:val="47CAA567"/>
    <w:multiLevelType w:val="hybridMultilevel"/>
    <w:lvl w:ilvl="0">
      <w:lvlJc w:val="left"/>
      <w:lvlText w:val="%1:"/>
      <w:numFmt w:val="upperLetter"/>
      <w:start w:val="17"/>
    </w:lvl>
  </w:abstractNum>
  <w:abstractNum w:abstractNumId="89">
    <w:nsid w:val="48249DBF"/>
    <w:multiLevelType w:val="hybridMultilevel"/>
    <w:lvl w:ilvl="0">
      <w:lvlJc w:val="left"/>
      <w:lvlText w:val="%1:"/>
      <w:numFmt w:val="upperLetter"/>
      <w:start w:val="1"/>
    </w:lvl>
  </w:abstractNum>
  <w:abstractNum w:abstractNumId="90">
    <w:nsid w:val="1F0E5D0D"/>
    <w:multiLevelType w:val="hybridMultilevel"/>
    <w:lvl w:ilvl="0">
      <w:lvlJc w:val="left"/>
      <w:lvlText w:val="%1:"/>
      <w:numFmt w:val="upperLetter"/>
      <w:start w:val="17"/>
    </w:lvl>
  </w:abstractNum>
  <w:abstractNum w:abstractNumId="91">
    <w:nsid w:val="26BAAE9"/>
    <w:multiLevelType w:val="hybridMultilevel"/>
    <w:lvl w:ilvl="0">
      <w:lvlJc w:val="left"/>
      <w:lvlText w:val="%1:"/>
      <w:numFmt w:val="upperLetter"/>
      <w:start w:val="1"/>
    </w:lvl>
  </w:abstractNum>
  <w:abstractNum w:abstractNumId="92">
    <w:nsid w:val="2C02FE8C"/>
    <w:multiLevelType w:val="hybridMultilevel"/>
    <w:lvl w:ilvl="0">
      <w:lvlJc w:val="left"/>
      <w:lvlText w:val="%1:"/>
      <w:numFmt w:val="upperLetter"/>
      <w:start w:val="17"/>
    </w:lvl>
  </w:abstractNum>
  <w:abstractNum w:abstractNumId="93">
    <w:nsid w:val="129517E"/>
    <w:multiLevelType w:val="hybridMultilevel"/>
    <w:lvl w:ilvl="0">
      <w:lvlJc w:val="left"/>
      <w:lvlText w:val="%1:"/>
      <w:numFmt w:val="upperLetter"/>
      <w:start w:val="1"/>
    </w:lvl>
  </w:abstractNum>
  <w:abstractNum w:abstractNumId="94">
    <w:nsid w:val="763B8C4E"/>
    <w:multiLevelType w:val="hybridMultilevel"/>
    <w:lvl w:ilvl="0">
      <w:lvlJc w:val="left"/>
      <w:lvlText w:val="•"/>
      <w:numFmt w:val="bullet"/>
      <w:start w:val="1"/>
    </w:lvl>
  </w:abstractNum>
  <w:abstractNum w:abstractNumId="95">
    <w:nsid w:val="4CFB8D32"/>
    <w:multiLevelType w:val="hybridMultilevel"/>
    <w:lvl w:ilvl="0">
      <w:lvlJc w:val="left"/>
      <w:lvlText w:val="•"/>
      <w:numFmt w:val="bullet"/>
      <w:start w:val="1"/>
    </w:lvl>
  </w:abstractNum>
  <w:abstractNum w:abstractNumId="96">
    <w:nsid w:val="62A5D5BD"/>
    <w:multiLevelType w:val="hybridMultilevel"/>
    <w:lvl w:ilvl="0">
      <w:lvlJc w:val="left"/>
      <w:lvlText w:val="•"/>
      <w:numFmt w:val="bullet"/>
      <w:start w:val="1"/>
    </w:lvl>
  </w:abstractNum>
  <w:abstractNum w:abstractNumId="97">
    <w:nsid w:val="718FABF9"/>
    <w:multiLevelType w:val="hybridMultilevel"/>
    <w:lvl w:ilvl="0">
      <w:lvlJc w:val="left"/>
      <w:lvlText w:val="%1"/>
      <w:numFmt w:val="upperLetter"/>
      <w:start w:val="61"/>
    </w:lvl>
  </w:abstractNum>
  <w:abstractNum w:abstractNumId="98">
    <w:nsid w:val="7775797C"/>
    <w:multiLevelType w:val="hybridMultilevel"/>
    <w:lvl w:ilvl="0">
      <w:lvlJc w:val="left"/>
      <w:lvlText w:val="(%1)"/>
      <w:numFmt w:val="lowerLetter"/>
      <w:start w:val="1"/>
    </w:lvl>
  </w:abstractNum>
  <w:abstractNum w:abstractNumId="99">
    <w:nsid w:val="1626FB8C"/>
    <w:multiLevelType w:val="hybridMultilevel"/>
    <w:lvl w:ilvl="0">
      <w:lvlJc w:val="left"/>
      <w:lvlText w:val="(%1)"/>
      <w:numFmt w:val="lowerLetter"/>
      <w:start w:val="4"/>
    </w:lvl>
  </w:abstractNum>
  <w:abstractNum w:abstractNumId="100">
    <w:nsid w:val="3957756A"/>
    <w:multiLevelType w:val="hybridMultilevel"/>
    <w:lvl w:ilvl="0">
      <w:lvlJc w:val="left"/>
      <w:lvlText w:val="•"/>
      <w:numFmt w:val="bullet"/>
      <w:start w:val="1"/>
    </w:lvl>
  </w:abstractNum>
  <w:abstractNum w:abstractNumId="101">
    <w:nsid w:val="3E6DA1C7"/>
    <w:multiLevelType w:val="hybridMultilevel"/>
    <w:lvl w:ilvl="0">
      <w:lvlJc w:val="left"/>
      <w:lvlText w:val="•"/>
      <w:numFmt w:val="bullet"/>
      <w:start w:val="1"/>
    </w:lvl>
  </w:abstractNum>
  <w:abstractNum w:abstractNumId="102">
    <w:nsid w:val="65CA235B"/>
    <w:multiLevelType w:val="hybridMultilevel"/>
    <w:lvl w:ilvl="0">
      <w:lvlJc w:val="left"/>
      <w:lvlText w:val="•"/>
      <w:numFmt w:val="bullet"/>
      <w:start w:val="1"/>
    </w:lvl>
  </w:abstractNum>
  <w:abstractNum w:abstractNumId="103">
    <w:nsid w:val="51CB0DA4"/>
    <w:multiLevelType w:val="hybridMultilevel"/>
    <w:lvl w:ilvl="0">
      <w:lvlJc w:val="left"/>
      <w:lvlText w:val="•"/>
      <w:numFmt w:val="bullet"/>
      <w:start w:val="1"/>
    </w:lvl>
  </w:abstractNum>
  <w:abstractNum w:abstractNumId="104">
    <w:nsid w:val="7B9B743C"/>
    <w:multiLevelType w:val="hybridMultilevel"/>
    <w:lvl w:ilvl="0">
      <w:lvlJc w:val="left"/>
      <w:lvlText w:val="(%1)"/>
      <w:numFmt w:val="lowerRoman"/>
      <w:start w:val="1"/>
    </w:lvl>
  </w:abstractNum>
  <w:abstractNum w:abstractNumId="105">
    <w:nsid w:val="13E21002"/>
    <w:multiLevelType w:val="hybridMultilevel"/>
    <w:lvl w:ilvl="0">
      <w:lvlJc w:val="left"/>
      <w:lvlText w:val="(%1)"/>
      <w:numFmt w:val="lowerLetter"/>
      <w:start w:val="1"/>
    </w:lvl>
  </w:abstractNum>
  <w:abstractNum w:abstractNumId="106">
    <w:nsid w:val="257D63F4"/>
    <w:multiLevelType w:val="hybridMultilevel"/>
    <w:lvl w:ilvl="0">
      <w:lvlJc w:val="left"/>
      <w:lvlText w:val="•"/>
      <w:numFmt w:val="bullet"/>
      <w:start w:val="1"/>
    </w:lvl>
  </w:abstractNum>
  <w:abstractNum w:abstractNumId="107">
    <w:nsid w:val="70EC11B2"/>
    <w:multiLevelType w:val="hybridMultilevel"/>
    <w:lvl w:ilvl="0">
      <w:lvlJc w:val="left"/>
      <w:lvlText w:val="(%1)"/>
      <w:numFmt w:val="decimal"/>
      <w:start w:val="2"/>
    </w:lvl>
  </w:abstractNum>
  <w:abstractNum w:abstractNumId="108">
    <w:nsid w:val="2EDA00ED"/>
    <w:multiLevelType w:val="hybridMultilevel"/>
    <w:lvl w:ilvl="0">
      <w:lvlJc w:val="left"/>
      <w:lvlText w:val="(%1)"/>
      <w:numFmt w:val="decimal"/>
      <w:start w:val="1"/>
    </w:lvl>
  </w:abstractNum>
  <w:abstractNum w:abstractNumId="109">
    <w:nsid w:val="73209072"/>
    <w:multiLevelType w:val="hybridMultilevel"/>
    <w:lvl w:ilvl="0">
      <w:lvlJc w:val="left"/>
      <w:lvlText w:val="•"/>
      <w:numFmt w:val="bullet"/>
      <w:start w:val="1"/>
    </w:lvl>
  </w:abstractNum>
  <w:abstractNum w:abstractNumId="110">
    <w:nsid w:val="5FB29816"/>
    <w:multiLevelType w:val="hybridMultilevel"/>
    <w:lvl w:ilvl="0">
      <w:lvlJc w:val="left"/>
      <w:lvlText w:val="•"/>
      <w:numFmt w:val="bullet"/>
      <w:start w:val="1"/>
    </w:lvl>
  </w:abstractNum>
  <w:abstractNum w:abstractNumId="111">
    <w:nsid w:val="3CE732EC"/>
    <w:multiLevelType w:val="hybridMultilevel"/>
    <w:lvl w:ilvl="0">
      <w:lvlJc w:val="left"/>
      <w:lvlText w:val="•"/>
      <w:numFmt w:val="bullet"/>
      <w:start w:val="1"/>
    </w:lvl>
  </w:abstractNum>
  <w:abstractNum w:abstractNumId="112">
    <w:nsid w:val="22F13DF3"/>
    <w:multiLevelType w:val="hybridMultilevel"/>
    <w:lvl w:ilvl="0">
      <w:lvlJc w:val="left"/>
      <w:lvlText w:val="•"/>
      <w:numFmt w:val="bullet"/>
      <w:start w:val="1"/>
    </w:lvl>
  </w:abstractNum>
  <w:abstractNum w:abstractNumId="113">
    <w:nsid w:val="792B8401"/>
    <w:multiLevelType w:val="hybridMultilevel"/>
    <w:lvl w:ilvl="0">
      <w:lvlJc w:val="left"/>
      <w:lvlText w:val="•"/>
      <w:numFmt w:val="bullet"/>
      <w:start w:val="1"/>
    </w:lvl>
  </w:abstractNum>
  <w:abstractNum w:abstractNumId="114">
    <w:nsid w:val="FA85F4D"/>
    <w:multiLevelType w:val="hybridMultilevel"/>
    <w:lvl w:ilvl="0">
      <w:lvlJc w:val="left"/>
      <w:lvlText w:val="•"/>
      <w:numFmt w:val="bullet"/>
      <w:start w:val="1"/>
    </w:lvl>
  </w:abstractNum>
  <w:abstractNum w:abstractNumId="115">
    <w:nsid w:val="6ECE91F0"/>
    <w:multiLevelType w:val="hybridMultilevel"/>
    <w:lvl w:ilvl="0">
      <w:lvlJc w:val="left"/>
      <w:lvlText w:val="•"/>
      <w:numFmt w:val="bullet"/>
      <w:start w:val="1"/>
    </w:lvl>
  </w:abstractNum>
  <w:abstractNum w:abstractNumId="116">
    <w:nsid w:val="4FC4D600"/>
    <w:multiLevelType w:val="hybridMultilevel"/>
    <w:lvl w:ilvl="0">
      <w:lvlJc w:val="left"/>
      <w:lvlText w:val="•"/>
      <w:numFmt w:val="bullet"/>
      <w:start w:val="1"/>
    </w:lvl>
  </w:abstractNum>
  <w:abstractNum w:abstractNumId="117">
    <w:nsid w:val="5BFD4210"/>
    <w:multiLevelType w:val="hybridMultilevel"/>
    <w:lvl w:ilvl="0">
      <w:lvlJc w:val="left"/>
      <w:lvlText w:val="•"/>
      <w:numFmt w:val="bullet"/>
      <w:start w:val="1"/>
    </w:lvl>
  </w:abstractNum>
  <w:abstractNum w:abstractNumId="118">
    <w:nsid w:val="76574F8B"/>
    <w:multiLevelType w:val="hybridMultilevel"/>
    <w:lvl w:ilvl="0">
      <w:lvlJc w:val="left"/>
      <w:lvlText w:val="•"/>
      <w:numFmt w:val="bullet"/>
      <w:start w:val="1"/>
    </w:lvl>
  </w:abstractNum>
  <w:abstractNum w:abstractNumId="119">
    <w:nsid w:val="178F7B67"/>
    <w:multiLevelType w:val="hybridMultilevel"/>
    <w:lvl w:ilvl="0">
      <w:lvlJc w:val="left"/>
      <w:lvlText w:val="•"/>
      <w:numFmt w:val="bullet"/>
      <w:start w:val="1"/>
    </w:lvl>
  </w:abstractNum>
  <w:abstractNum w:abstractNumId="120">
    <w:nsid w:val="2421DFCF"/>
    <w:multiLevelType w:val="hybridMultilevel"/>
    <w:lvl w:ilvl="0">
      <w:lvlJc w:val="left"/>
      <w:lvlText w:val="•"/>
      <w:numFmt w:val="bullet"/>
      <w:start w:val="1"/>
    </w:lvl>
  </w:abstractNum>
  <w:abstractNum w:abstractNumId="121">
    <w:nsid w:val="1565AC99"/>
    <w:multiLevelType w:val="hybridMultilevel"/>
    <w:lvl w:ilvl="0">
      <w:lvlJc w:val="left"/>
      <w:lvlText w:val="•"/>
      <w:numFmt w:val="bullet"/>
      <w:start w:val="1"/>
    </w:lvl>
  </w:abstractNum>
  <w:abstractNum w:abstractNumId="122">
    <w:nsid w:val="19FB2650"/>
    <w:multiLevelType w:val="hybridMultilevel"/>
    <w:lvl w:ilvl="0">
      <w:lvlJc w:val="left"/>
      <w:lvlText w:val="•"/>
      <w:numFmt w:val="bullet"/>
      <w:start w:val="1"/>
    </w:lvl>
  </w:abstractNum>
  <w:abstractNum w:abstractNumId="123">
    <w:nsid w:val="5024DE5B"/>
    <w:multiLevelType w:val="hybridMultilevel"/>
    <w:lvl w:ilvl="0">
      <w:lvlJc w:val="left"/>
      <w:lvlText w:val="•"/>
      <w:numFmt w:val="bullet"/>
      <w:start w:val="1"/>
    </w:lvl>
  </w:abstractNum>
  <w:abstractNum w:abstractNumId="124">
    <w:nsid w:val="168EFE17"/>
    <w:multiLevelType w:val="hybridMultilevel"/>
    <w:lvl w:ilvl="0">
      <w:lvlJc w:val="left"/>
      <w:lvlText w:val="•"/>
      <w:numFmt w:val="bullet"/>
      <w:start w:val="1"/>
    </w:lvl>
  </w:abstractNum>
  <w:abstractNum w:abstractNumId="125">
    <w:nsid w:val="1036B29F"/>
    <w:multiLevelType w:val="hybridMultilevel"/>
    <w:lvl w:ilvl="0">
      <w:lvlJc w:val="left"/>
      <w:lvlText w:val="•"/>
      <w:numFmt w:val="bullet"/>
      <w:start w:val="1"/>
    </w:lvl>
  </w:abstractNum>
  <w:abstractNum w:abstractNumId="126">
    <w:nsid w:val="1D206B8E"/>
    <w:multiLevelType w:val="hybridMultilevel"/>
    <w:lvl w:ilvl="0">
      <w:lvlJc w:val="left"/>
      <w:lvlText w:val="•"/>
      <w:numFmt w:val="bullet"/>
      <w:start w:val="1"/>
    </w:lvl>
  </w:abstractNum>
  <w:abstractNum w:abstractNumId="127">
    <w:nsid w:val="7934D3D4"/>
    <w:multiLevelType w:val="hybridMultilevel"/>
    <w:lvl w:ilvl="0">
      <w:lvlJc w:val="left"/>
      <w:lvlText w:val="•"/>
      <w:numFmt w:val="bullet"/>
      <w:start w:val="1"/>
    </w:lvl>
  </w:abstractNum>
  <w:abstractNum w:abstractNumId="128">
    <w:nsid w:val="1C65E98"/>
    <w:multiLevelType w:val="hybridMultilevel"/>
    <w:lvl w:ilvl="0">
      <w:lvlJc w:val="left"/>
      <w:lvlText w:val="•"/>
      <w:numFmt w:val="bullet"/>
      <w:start w:val="1"/>
    </w:lvl>
  </w:abstractNum>
  <w:abstractNum w:abstractNumId="129">
    <w:nsid w:val="1495E50A"/>
    <w:multiLevelType w:val="hybridMultilevel"/>
    <w:lvl w:ilvl="0">
      <w:lvlJc w:val="left"/>
      <w:lvlText w:val="•"/>
      <w:numFmt w:val="bullet"/>
      <w:start w:val="1"/>
    </w:lvl>
  </w:abstractNum>
  <w:abstractNum w:abstractNumId="130">
    <w:nsid w:val="F5BCF61"/>
    <w:multiLevelType w:val="hybridMultilevel"/>
    <w:lvl w:ilvl="0">
      <w:lvlJc w:val="left"/>
      <w:lvlText w:val="•"/>
      <w:numFmt w:val="bullet"/>
      <w:start w:val="1"/>
    </w:lvl>
  </w:abstractNum>
  <w:abstractNum w:abstractNumId="131">
    <w:nsid w:val="3B1DD403"/>
    <w:multiLevelType w:val="hybridMultilevel"/>
    <w:lvl w:ilvl="0">
      <w:lvlJc w:val="left"/>
      <w:lvlText w:val="•"/>
      <w:numFmt w:val="bullet"/>
      <w:start w:val="1"/>
    </w:lvl>
  </w:abstractNum>
  <w:abstractNum w:abstractNumId="132">
    <w:nsid w:val="530386D1"/>
    <w:multiLevelType w:val="hybridMultilevel"/>
    <w:lvl w:ilvl="0">
      <w:lvlJc w:val="left"/>
      <w:lvlText w:val="•"/>
      <w:numFmt w:val="bullet"/>
      <w:start w:val="1"/>
    </w:lvl>
  </w:abstractNum>
  <w:abstractNum w:abstractNumId="133">
    <w:nsid w:val="7525F2BC"/>
    <w:multiLevelType w:val="hybridMultilevel"/>
    <w:lvl w:ilvl="0">
      <w:lvlJc w:val="left"/>
      <w:lvlText w:val="(%1)"/>
      <w:numFmt w:val="lowerRoman"/>
      <w:start w:val="2"/>
    </w:lvl>
  </w:abstractNum>
  <w:abstractNum w:abstractNumId="134">
    <w:nsid w:val="CE8E1A7"/>
    <w:multiLevelType w:val="hybridMultilevel"/>
    <w:lvl w:ilvl="0">
      <w:lvlJc w:val="left"/>
      <w:lvlText w:val="•"/>
      <w:numFmt w:val="bullet"/>
      <w:start w:val="1"/>
    </w:lvl>
  </w:abstractNum>
  <w:abstractNum w:abstractNumId="135">
    <w:nsid w:val="4E9EFB0D"/>
    <w:multiLevelType w:val="hybridMultilevel"/>
    <w:lvl w:ilvl="0">
      <w:lvlJc w:val="left"/>
      <w:lvlText w:val="•"/>
      <w:numFmt w:val="bullet"/>
      <w:start w:val="1"/>
    </w:lvl>
  </w:abstractNum>
  <w:abstractNum w:abstractNumId="136">
    <w:nsid w:val="90802BE"/>
    <w:multiLevelType w:val="hybridMultilevel"/>
    <w:lvl w:ilvl="0">
      <w:lvlJc w:val="left"/>
      <w:lvlText w:val="•"/>
      <w:numFmt w:val="bullet"/>
      <w:start w:val="1"/>
    </w:lvl>
  </w:abstractNum>
  <w:abstractNum w:abstractNumId="137">
    <w:nsid w:val="3266459B"/>
    <w:multiLevelType w:val="hybridMultilevel"/>
    <w:lvl w:ilvl="0">
      <w:lvlJc w:val="left"/>
      <w:lvlText w:val="•"/>
      <w:numFmt w:val="bullet"/>
      <w:start w:val="1"/>
    </w:lvl>
  </w:abstractNum>
  <w:abstractNum w:abstractNumId="138">
    <w:nsid w:val="3F8B0CBF"/>
    <w:multiLevelType w:val="hybridMultilevel"/>
    <w:lvl w:ilvl="0">
      <w:lvlJc w:val="left"/>
      <w:lvlText w:val="•"/>
      <w:numFmt w:val="bullet"/>
      <w:start w:val="1"/>
    </w:lvl>
  </w:abstractNum>
  <w:abstractNum w:abstractNumId="139">
    <w:nsid w:val="37E203AB"/>
    <w:multiLevelType w:val="hybridMultilevel"/>
    <w:lvl w:ilvl="0">
      <w:lvlJc w:val="left"/>
      <w:lvlText w:val="•"/>
      <w:numFmt w:val="bullet"/>
      <w:start w:val="1"/>
    </w:lvl>
  </w:abstractNum>
  <w:abstractNum w:abstractNumId="140">
    <w:nsid w:val="2586D60E"/>
    <w:multiLevelType w:val="hybridMultilevel"/>
    <w:lvl w:ilvl="0">
      <w:lvlJc w:val="left"/>
      <w:lvlText w:val="•"/>
      <w:numFmt w:val="bullet"/>
      <w:start w:val="1"/>
    </w:lvl>
  </w:abstractNum>
  <w:abstractNum w:abstractNumId="141">
    <w:nsid w:val="1F3DA4D5"/>
    <w:multiLevelType w:val="hybridMultilevel"/>
    <w:lvl w:ilvl="0">
      <w:lvlJc w:val="left"/>
      <w:lvlText w:val="•"/>
      <w:numFmt w:val="bullet"/>
      <w:start w:val="1"/>
    </w:lvl>
  </w:abstractNum>
  <w:abstractNum w:abstractNumId="142">
    <w:nsid w:val="74C93698"/>
    <w:multiLevelType w:val="hybridMultilevel"/>
    <w:lvl w:ilvl="0">
      <w:lvlJc w:val="left"/>
      <w:lvlText w:val="•"/>
      <w:numFmt w:val="bullet"/>
      <w:start w:val="1"/>
    </w:lvl>
  </w:abstractNum>
  <w:abstractNum w:abstractNumId="143">
    <w:nsid w:val="48781401"/>
    <w:multiLevelType w:val="hybridMultilevel"/>
    <w:lvl w:ilvl="0">
      <w:lvlJc w:val="left"/>
      <w:lvlText w:val="•"/>
      <w:numFmt w:val="bullet"/>
      <w:start w:val="1"/>
    </w:lvl>
  </w:abstractNum>
  <w:abstractNum w:abstractNumId="144">
    <w:nsid w:val="186928D6"/>
    <w:multiLevelType w:val="hybridMultilevel"/>
    <w:lvl w:ilvl="0">
      <w:lvlJc w:val="left"/>
      <w:lvlText w:val="•"/>
      <w:numFmt w:val="bullet"/>
      <w:start w:val="1"/>
    </w:lvl>
  </w:abstractNum>
  <w:abstractNum w:abstractNumId="145">
    <w:nsid w:val="47195E5"/>
    <w:multiLevelType w:val="hybridMultilevel"/>
    <w:lvl w:ilvl="0">
      <w:lvlJc w:val="left"/>
      <w:lvlText w:val="•"/>
      <w:numFmt w:val="bullet"/>
      <w:start w:val="1"/>
    </w:lvl>
  </w:abstractNum>
  <w:abstractNum w:abstractNumId="146">
    <w:nsid w:val="3746A5F2"/>
    <w:multiLevelType w:val="hybridMultilevel"/>
    <w:lvl w:ilvl="0">
      <w:lvlJc w:val="left"/>
      <w:lvlText w:val="•"/>
      <w:numFmt w:val="bullet"/>
      <w:start w:val="1"/>
    </w:lvl>
  </w:abstractNum>
  <w:abstractNum w:abstractNumId="147">
    <w:nsid w:val="682DFED6"/>
    <w:multiLevelType w:val="hybridMultilevel"/>
    <w:lvl w:ilvl="0">
      <w:lvlJc w:val="left"/>
      <w:lvlText w:val="•"/>
      <w:numFmt w:val="bullet"/>
      <w:start w:val="1"/>
    </w:lvl>
  </w:abstractNum>
  <w:abstractNum w:abstractNumId="148">
    <w:nsid w:val="606ED7F6"/>
    <w:multiLevelType w:val="hybridMultilevel"/>
    <w:lvl w:ilvl="0">
      <w:lvlJc w:val="left"/>
      <w:lvlText w:val="•"/>
      <w:numFmt w:val="bullet"/>
      <w:start w:val="1"/>
    </w:lvl>
  </w:abstractNum>
  <w:abstractNum w:abstractNumId="149">
    <w:nsid w:val="2D9DF57D"/>
    <w:multiLevelType w:val="hybridMultilevel"/>
    <w:lvl w:ilvl="0">
      <w:lvlJc w:val="left"/>
      <w:lvlText w:val="(%1)"/>
      <w:numFmt w:val="lowerLetter"/>
      <w:start w:val="1"/>
    </w:lvl>
  </w:abstractNum>
  <w:abstractNum w:abstractNumId="150">
    <w:nsid w:val="7FBD7A3E"/>
    <w:multiLevelType w:val="hybridMultilevel"/>
    <w:lvl w:ilvl="0">
      <w:lvlJc w:val="left"/>
      <w:lvlText w:val="(%1)"/>
      <w:numFmt w:val="upperLetter"/>
      <w:start w:val="1"/>
    </w:lvl>
  </w:abstractNum>
  <w:abstractNum w:abstractNumId="151">
    <w:nsid w:val="490B7C5"/>
    <w:multiLevelType w:val="hybridMultilevel"/>
    <w:lvl w:ilvl="0">
      <w:lvlJc w:val="left"/>
      <w:lvlText w:val="•"/>
      <w:numFmt w:val="bullet"/>
      <w:start w:val="1"/>
    </w:lvl>
  </w:abstractNum>
  <w:abstractNum w:abstractNumId="152">
    <w:nsid w:val="4303A216"/>
    <w:multiLevelType w:val="hybridMultilevel"/>
    <w:lvl w:ilvl="0">
      <w:lvlJc w:val="left"/>
      <w:lvlText w:val="•"/>
      <w:numFmt w:val="bullet"/>
      <w:start w:val="1"/>
    </w:lvl>
  </w:abstractNum>
  <w:abstractNum w:abstractNumId="153">
    <w:nsid w:val="19B8A08E"/>
    <w:multiLevelType w:val="hybridMultilevel"/>
    <w:lvl w:ilvl="0">
      <w:lvlJc w:val="left"/>
      <w:lvlText w:val="%1)"/>
      <w:numFmt w:val="lowerLetter"/>
      <w:start w:val="1"/>
    </w:lvl>
  </w:abstractNum>
  <w:abstractNum w:abstractNumId="154">
    <w:nsid w:val="54B5962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5">
    <w:nsid w:val="5992A02E"/>
    <w:multiLevelType w:val="hybridMultilevel"/>
    <w:lvl w:ilvl="0">
      <w:lvlJc w:val="left"/>
      <w:lvlText w:val="%1)"/>
      <w:numFmt w:val="lowerLetter"/>
      <w:start w:val="4"/>
    </w:lvl>
  </w:abstractNum>
  <w:abstractNum w:abstractNumId="156">
    <w:nsid w:val="29EF532D"/>
    <w:multiLevelType w:val="hybridMultilevel"/>
    <w:lvl w:ilvl="0">
      <w:lvlJc w:val="left"/>
      <w:lvlText w:val="%1)"/>
      <w:numFmt w:val="lowerLetter"/>
      <w:start w:val="5"/>
    </w:lvl>
  </w:abstractNum>
  <w:abstractNum w:abstractNumId="157">
    <w:nsid w:val="71D601AF"/>
    <w:multiLevelType w:val="hybridMultilevel"/>
    <w:lvl w:ilvl="0">
      <w:lvlJc w:val="left"/>
      <w:lvlText w:val="(%1)"/>
      <w:numFmt w:val="decimal"/>
      <w:start w:val="1"/>
    </w:lvl>
  </w:abstractNum>
  <w:abstractNum w:abstractNumId="158">
    <w:nsid w:val="52C77402"/>
    <w:multiLevelType w:val="hybridMultilevel"/>
    <w:lvl w:ilvl="0">
      <w:lvlJc w:val="left"/>
      <w:lvlText w:val="(%1)"/>
      <w:numFmt w:val="decimal"/>
      <w:start w:val="2"/>
    </w:lvl>
  </w:abstractNum>
  <w:abstractNum w:abstractNumId="159">
    <w:nsid w:val="2BB5B1C6"/>
    <w:multiLevelType w:val="hybridMultilevel"/>
    <w:lvl w:ilvl="0">
      <w:lvlJc w:val="left"/>
      <w:lvlText w:val="(%1)"/>
      <w:numFmt w:val="lowerRoman"/>
      <w:start w:val="2"/>
    </w:lvl>
  </w:abstractNum>
  <w:abstractNum w:abstractNumId="160">
    <w:nsid w:val="66BE6B9"/>
    <w:multiLevelType w:val="hybridMultilevel"/>
    <w:lvl w:ilvl="0">
      <w:lvlJc w:val="left"/>
      <w:lvlText w:val="•"/>
      <w:numFmt w:val="bullet"/>
      <w:start w:val="1"/>
    </w:lvl>
  </w:abstractNum>
  <w:abstractNum w:abstractNumId="161">
    <w:nsid w:val="62234363"/>
    <w:multiLevelType w:val="hybridMultilevel"/>
    <w:lvl w:ilvl="0">
      <w:lvlJc w:val="left"/>
      <w:lvlText w:val="•"/>
      <w:numFmt w:val="bullet"/>
      <w:start w:val="1"/>
    </w:lvl>
  </w:abstractNum>
  <w:abstractNum w:abstractNumId="162">
    <w:nsid w:val="66D385C9"/>
    <w:multiLevelType w:val="hybridMultilevel"/>
    <w:lvl w:ilvl="0">
      <w:lvlJc w:val="left"/>
      <w:lvlText w:val="•"/>
      <w:numFmt w:val="bullet"/>
      <w:start w:val="1"/>
    </w:lvl>
  </w:abstractNum>
  <w:abstractNum w:abstractNumId="163">
    <w:nsid w:val="596F6D8A"/>
    <w:multiLevelType w:val="hybridMultilevel"/>
    <w:lvl w:ilvl="0">
      <w:lvlJc w:val="left"/>
      <w:lvlText w:val="•"/>
      <w:numFmt w:val="bullet"/>
      <w:start w:val="1"/>
    </w:lvl>
  </w:abstractNum>
  <w:abstractNum w:abstractNumId="164">
    <w:nsid w:val="5749361F"/>
    <w:multiLevelType w:val="hybridMultilevel"/>
    <w:lvl w:ilvl="0">
      <w:lvlJc w:val="left"/>
      <w:lvlText w:val="•"/>
      <w:numFmt w:val="bullet"/>
      <w:start w:val="1"/>
    </w:lvl>
  </w:abstractNum>
  <w:abstractNum w:abstractNumId="165">
    <w:nsid w:val="73BC6770"/>
    <w:multiLevelType w:val="hybridMultilevel"/>
    <w:lvl w:ilvl="0">
      <w:lvlJc w:val="left"/>
      <w:lvlText w:val="•"/>
      <w:numFmt w:val="bullet"/>
      <w:start w:val="1"/>
    </w:lvl>
  </w:abstractNum>
  <w:abstractNum w:abstractNumId="166">
    <w:nsid w:val="280E6897"/>
    <w:multiLevelType w:val="hybridMultilevel"/>
    <w:lvl w:ilvl="0">
      <w:lvlJc w:val="left"/>
      <w:lvlText w:val="•"/>
      <w:numFmt w:val="bullet"/>
      <w:start w:val="1"/>
    </w:lvl>
  </w:abstractNum>
  <w:abstractNum w:abstractNumId="167">
    <w:nsid w:val="605138DE"/>
    <w:multiLevelType w:val="hybridMultilevel"/>
    <w:lvl w:ilvl="0">
      <w:lvlJc w:val="left"/>
      <w:lvlText w:val="•"/>
      <w:numFmt w:val="bullet"/>
      <w:start w:val="1"/>
    </w:lvl>
  </w:abstractNum>
  <w:abstractNum w:abstractNumId="168">
    <w:nsid w:val="2622AD0C"/>
    <w:multiLevelType w:val="hybridMultilevel"/>
    <w:lvl w:ilvl="0">
      <w:lvlJc w:val="left"/>
      <w:lvlText w:val="•"/>
      <w:numFmt w:val="bullet"/>
      <w:start w:val="1"/>
    </w:lvl>
  </w:abstractNum>
  <w:abstractNum w:abstractNumId="169">
    <w:nsid w:val="67997556"/>
    <w:multiLevelType w:val="hybridMultilevel"/>
    <w:lvl w:ilvl="0">
      <w:lvlJc w:val="left"/>
      <w:lvlText w:val="•"/>
      <w:numFmt w:val="bullet"/>
      <w:start w:val="1"/>
    </w:lvl>
  </w:abstractNum>
  <w:abstractNum w:abstractNumId="170">
    <w:nsid w:val="18333C89"/>
    <w:multiLevelType w:val="hybridMultilevel"/>
    <w:lvl w:ilvl="0">
      <w:lvlJc w:val="left"/>
      <w:lvlText w:val="•"/>
      <w:numFmt w:val="bullet"/>
      <w:start w:val="1"/>
    </w:lvl>
  </w:abstractNum>
  <w:abstractNum w:abstractNumId="171">
    <w:nsid w:val="4BA9831A"/>
    <w:multiLevelType w:val="hybridMultilevel"/>
    <w:lvl w:ilvl="0">
      <w:lvlJc w:val="left"/>
      <w:lvlText w:val="•"/>
      <w:numFmt w:val="bullet"/>
      <w:start w:val="1"/>
    </w:lvl>
  </w:abstractNum>
  <w:abstractNum w:abstractNumId="172">
    <w:nsid w:val="6D71A2B"/>
    <w:multiLevelType w:val="hybridMultilevel"/>
    <w:lvl w:ilvl="0">
      <w:lvlJc w:val="left"/>
      <w:lvlText w:val="(%1)"/>
      <w:numFmt w:val="lowerRoman"/>
      <w:start w:val="3"/>
    </w:lvl>
  </w:abstractNum>
  <w:abstractNum w:abstractNumId="173">
    <w:nsid w:val="CFC7321"/>
    <w:multiLevelType w:val="hybridMultilevel"/>
    <w:lvl w:ilvl="0">
      <w:lvlJc w:val="left"/>
      <w:lvlText w:val="(%1)"/>
      <w:numFmt w:val="lowerRoman"/>
      <w:start w:val="2"/>
    </w:lvl>
  </w:abstractNum>
  <w:abstractNum w:abstractNumId="174">
    <w:nsid w:val="1421971B"/>
    <w:multiLevelType w:val="hybridMultilevel"/>
    <w:lvl w:ilvl="0">
      <w:lvlJc w:val="left"/>
      <w:lvlText w:val="•"/>
      <w:numFmt w:val="bullet"/>
      <w:start w:val="1"/>
    </w:lvl>
  </w:abstractNum>
  <w:abstractNum w:abstractNumId="175">
    <w:nsid w:val="1F404301"/>
    <w:multiLevelType w:val="hybridMultilevel"/>
    <w:lvl w:ilvl="0">
      <w:lvlJc w:val="left"/>
      <w:lvlText w:val="•"/>
      <w:numFmt w:val="bullet"/>
      <w:start w:val="1"/>
    </w:lvl>
  </w:abstractNum>
  <w:abstractNum w:abstractNumId="176">
    <w:nsid w:val="116E0907"/>
    <w:multiLevelType w:val="hybridMultilevel"/>
    <w:lvl w:ilvl="0">
      <w:lvlJc w:val="left"/>
      <w:lvlText w:val="•"/>
      <w:numFmt w:val="bullet"/>
      <w:start w:val="1"/>
    </w:lvl>
  </w:abstractNum>
  <w:abstractNum w:abstractNumId="177">
    <w:nsid w:val="4B683D0D"/>
    <w:multiLevelType w:val="hybridMultilevel"/>
    <w:lvl w:ilvl="0">
      <w:lvlJc w:val="left"/>
      <w:lvlText w:val="•"/>
      <w:numFmt w:val="bullet"/>
      <w:start w:val="1"/>
    </w:lvl>
  </w:abstractNum>
  <w:abstractNum w:abstractNumId="178">
    <w:nsid w:val="76E41D8"/>
    <w:multiLevelType w:val="hybridMultilevel"/>
    <w:lvl w:ilvl="0">
      <w:lvlJc w:val="left"/>
      <w:lvlText w:val="•"/>
      <w:numFmt w:val="bullet"/>
      <w:start w:val="1"/>
    </w:lvl>
  </w:abstractNum>
  <w:abstractNum w:abstractNumId="179">
    <w:nsid w:val="71DCE0FD"/>
    <w:multiLevelType w:val="hybridMultilevel"/>
    <w:lvl w:ilvl="0">
      <w:lvlJc w:val="left"/>
      <w:lvlText w:val="•"/>
      <w:numFmt w:val="bullet"/>
      <w:start w:val="1"/>
    </w:lvl>
  </w:abstractNum>
  <w:abstractNum w:abstractNumId="180">
    <w:nsid w:val="7906328B"/>
    <w:multiLevelType w:val="hybridMultilevel"/>
    <w:lvl w:ilvl="0">
      <w:lvlJc w:val="left"/>
      <w:lvlText w:val="•"/>
      <w:numFmt w:val="bullet"/>
      <w:start w:val="1"/>
    </w:lvl>
  </w:abstractNum>
  <w:abstractNum w:abstractNumId="181">
    <w:nsid w:val="72BBC16"/>
    <w:multiLevelType w:val="hybridMultilevel"/>
    <w:lvl w:ilvl="0">
      <w:lvlJc w:val="left"/>
      <w:lvlText w:val="(%1)"/>
      <w:numFmt w:val="lowerLetter"/>
      <w:start w:val="1"/>
    </w:lvl>
  </w:abstractNum>
  <w:abstractNum w:abstractNumId="182">
    <w:nsid w:val="766D98C2"/>
    <w:multiLevelType w:val="hybridMultilevel"/>
    <w:lvl w:ilvl="0">
      <w:lvlJc w:val="left"/>
      <w:lvlText w:val="•"/>
      <w:numFmt w:val="bullet"/>
      <w:start w:val="1"/>
    </w:lvl>
  </w:abstractNum>
  <w:abstractNum w:abstractNumId="183">
    <w:nsid w:val="3C09D4A1"/>
    <w:multiLevelType w:val="hybridMultilevel"/>
    <w:lvl w:ilvl="0">
      <w:lvlJc w:val="left"/>
      <w:lvlText w:val="•"/>
      <w:numFmt w:val="bullet"/>
      <w:start w:val="1"/>
    </w:lvl>
  </w:abstractNum>
  <w:abstractNum w:abstractNumId="184">
    <w:nsid w:val="20E45CA4"/>
    <w:multiLevelType w:val="hybridMultilevel"/>
    <w:lvl w:ilvl="0">
      <w:lvlJc w:val="left"/>
      <w:lvlText w:val="•"/>
      <w:numFmt w:val="bullet"/>
      <w:start w:val="1"/>
    </w:lvl>
  </w:abstractNum>
  <w:abstractNum w:abstractNumId="185">
    <w:nsid w:val="4B232EE3"/>
    <w:multiLevelType w:val="hybridMultilevel"/>
    <w:lvl w:ilvl="0">
      <w:lvlJc w:val="left"/>
      <w:lvlText w:val="•"/>
      <w:numFmt w:val="bullet"/>
      <w:start w:val="1"/>
    </w:lvl>
  </w:abstractNum>
  <w:abstractNum w:abstractNumId="186">
    <w:nsid w:val="159C74CF"/>
    <w:multiLevelType w:val="hybridMultilevel"/>
    <w:lvl w:ilvl="0">
      <w:lvlJc w:val="left"/>
      <w:lvlText w:val="•"/>
      <w:numFmt w:val="bullet"/>
      <w:start w:val="1"/>
    </w:lvl>
  </w:abstractNum>
  <w:abstractNum w:abstractNumId="187">
    <w:nsid w:val="4AD3AFD2"/>
    <w:multiLevelType w:val="hybridMultilevel"/>
    <w:lvl w:ilvl="0">
      <w:lvlJc w:val="left"/>
      <w:lvlText w:val="•"/>
      <w:numFmt w:val="bullet"/>
      <w:start w:val="1"/>
    </w:lvl>
  </w:abstractNum>
  <w:abstractNum w:abstractNumId="188">
    <w:nsid w:val="3CF93092"/>
    <w:multiLevelType w:val="hybridMultilevel"/>
    <w:lvl w:ilvl="0">
      <w:lvlJc w:val="left"/>
      <w:lvlText w:val="•"/>
      <w:numFmt w:val="bullet"/>
      <w:start w:val="1"/>
    </w:lvl>
  </w:abstractNum>
  <w:abstractNum w:abstractNumId="189">
    <w:nsid w:val="6863E8D2"/>
    <w:multiLevelType w:val="hybridMultilevel"/>
    <w:lvl w:ilvl="0">
      <w:lvlJc w:val="left"/>
      <w:lvlText w:val="(%1)"/>
      <w:numFmt w:val="lowerRoman"/>
      <w:start w:val="2"/>
    </w:lvl>
  </w:abstractNum>
  <w:abstractNum w:abstractNumId="190">
    <w:nsid w:val="76896198"/>
    <w:multiLevelType w:val="hybridMultilevel"/>
    <w:lvl w:ilvl="0">
      <w:lvlJc w:val="left"/>
      <w:lvlText w:val="•"/>
      <w:numFmt w:val="bullet"/>
      <w:start w:val="1"/>
    </w:lvl>
  </w:abstractNum>
  <w:abstractNum w:abstractNumId="191">
    <w:nsid w:val="4365174B"/>
    <w:multiLevelType w:val="hybridMultilevel"/>
    <w:lvl w:ilvl="0">
      <w:lvlJc w:val="left"/>
      <w:lvlText w:val="•"/>
      <w:numFmt w:val="bullet"/>
      <w:start w:val="1"/>
    </w:lvl>
  </w:abstractNum>
  <w:abstractNum w:abstractNumId="192">
    <w:nsid w:val="4A872C35"/>
    <w:multiLevelType w:val="hybridMultilevel"/>
    <w:lvl w:ilvl="0">
      <w:lvlJc w:val="left"/>
      <w:lvlText w:val="•"/>
      <w:numFmt w:val="bullet"/>
      <w:start w:val="1"/>
    </w:lvl>
  </w:abstractNum>
  <w:abstractNum w:abstractNumId="193">
    <w:nsid w:val="5D5CE761"/>
    <w:multiLevelType w:val="hybridMultilevel"/>
    <w:lvl w:ilvl="0">
      <w:lvlJc w:val="left"/>
      <w:lvlText w:val="(%1)"/>
      <w:numFmt w:val="decimal"/>
      <w:start w:val="1"/>
    </w:lvl>
  </w:abstractNum>
  <w:abstractNum w:abstractNumId="194">
    <w:nsid w:val="1CD484D5"/>
    <w:multiLevelType w:val="hybridMultilevel"/>
    <w:lvl w:ilvl="0">
      <w:lvlJc w:val="left"/>
      <w:lvlText w:val="(%1)"/>
      <w:numFmt w:val="decimal"/>
      <w:start w:val="1"/>
    </w:lvl>
  </w:abstractNum>
  <w:abstractNum w:abstractNumId="195">
    <w:nsid w:val="21D06255"/>
    <w:multiLevelType w:val="hybridMultilevel"/>
    <w:lvl w:ilvl="0">
      <w:lvlJc w:val="left"/>
      <w:lvlText w:val="(%1)"/>
      <w:numFmt w:val="decimal"/>
      <w:start w:val="1"/>
    </w:lvl>
  </w:abstractNum>
  <w:abstractNum w:abstractNumId="196">
    <w:nsid w:val="51194ED1"/>
    <w:multiLevelType w:val="hybridMultilevel"/>
    <w:lvl w:ilvl="0">
      <w:lvlJc w:val="left"/>
      <w:lvlText w:val="•"/>
      <w:numFmt w:val="bullet"/>
      <w:start w:val="1"/>
    </w:lvl>
  </w:abstractNum>
  <w:abstractNum w:abstractNumId="197">
    <w:nsid w:val="44E2ED6C"/>
    <w:multiLevelType w:val="hybridMultilevel"/>
    <w:lvl w:ilvl="0">
      <w:lvlJc w:val="left"/>
      <w:lvlText w:val="•"/>
      <w:numFmt w:val="bullet"/>
      <w:start w:val="1"/>
    </w:lvl>
  </w:abstractNum>
  <w:abstractNum w:abstractNumId="198">
    <w:nsid w:val="2219B33"/>
    <w:multiLevelType w:val="hybridMultilevel"/>
    <w:lvl w:ilvl="0">
      <w:lvlJc w:val="left"/>
      <w:lvlText w:val="•"/>
      <w:numFmt w:val="bullet"/>
      <w:start w:val="1"/>
    </w:lvl>
  </w:abstractNum>
  <w:abstractNum w:abstractNumId="199">
    <w:nsid w:val="773BFBDD"/>
    <w:multiLevelType w:val="hybridMultilevel"/>
    <w:lvl w:ilvl="0">
      <w:lvlJc w:val="left"/>
      <w:lvlText w:val="•"/>
      <w:numFmt w:val="bullet"/>
      <w:start w:val="1"/>
    </w:lvl>
  </w:abstractNum>
  <w:abstractNum w:abstractNumId="200">
    <w:nsid w:val="2C7C62C2"/>
    <w:multiLevelType w:val="hybridMultilevel"/>
    <w:lvl w:ilvl="0">
      <w:lvlJc w:val="left"/>
      <w:lvlText w:val="•"/>
      <w:numFmt w:val="bullet"/>
      <w:start w:val="1"/>
    </w:lvl>
  </w:abstractNum>
  <w:abstractNum w:abstractNumId="201">
    <w:nsid w:val="1A54D7BC"/>
    <w:multiLevelType w:val="hybridMultilevel"/>
    <w:lvl w:ilvl="0">
      <w:lvlJc w:val="left"/>
      <w:lvlText w:val="•"/>
      <w:numFmt w:val="bullet"/>
      <w:start w:val="1"/>
    </w:lvl>
  </w:abstractNum>
  <w:abstractNum w:abstractNumId="202">
    <w:nsid w:val="42E57EF7"/>
    <w:multiLevelType w:val="hybridMultilevel"/>
    <w:lvl w:ilvl="0">
      <w:lvlJc w:val="left"/>
      <w:lvlText w:val="•"/>
      <w:numFmt w:val="bullet"/>
      <w:start w:val="1"/>
    </w:lvl>
  </w:abstractNum>
  <w:abstractNum w:abstractNumId="203">
    <w:nsid w:val="33537CED"/>
    <w:multiLevelType w:val="hybridMultilevel"/>
    <w:lvl w:ilvl="0">
      <w:lvlJc w:val="left"/>
      <w:lvlText w:val="•"/>
      <w:numFmt w:val="bullet"/>
      <w:start w:val="1"/>
    </w:lvl>
  </w:abstractNum>
  <w:abstractNum w:abstractNumId="204">
    <w:nsid w:val="27514ADE"/>
    <w:multiLevelType w:val="hybridMultilevel"/>
    <w:lvl w:ilvl="0">
      <w:lvlJc w:val="left"/>
      <w:lvlText w:val="•"/>
      <w:numFmt w:val="bullet"/>
      <w:start w:val="1"/>
    </w:lvl>
  </w:abstractNum>
  <w:abstractNum w:abstractNumId="205">
    <w:nsid w:val="57071613"/>
    <w:multiLevelType w:val="hybridMultilevel"/>
    <w:lvl w:ilvl="0">
      <w:lvlJc w:val="left"/>
      <w:lvlText w:val="•"/>
      <w:numFmt w:val="bullet"/>
      <w:start w:val="1"/>
    </w:lvl>
  </w:abstractNum>
  <w:abstractNum w:abstractNumId="206">
    <w:nsid w:val="5293BFEF"/>
    <w:multiLevelType w:val="hybridMultilevel"/>
    <w:lvl w:ilvl="0">
      <w:lvlJc w:val="left"/>
      <w:lvlText w:val="•"/>
      <w:numFmt w:val="bullet"/>
      <w:start w:val="1"/>
    </w:lvl>
  </w:abstractNum>
  <w:abstractNum w:abstractNumId="207">
    <w:nsid w:val="38BF53E5"/>
    <w:multiLevelType w:val="hybridMultilevel"/>
    <w:lvl w:ilvl="0">
      <w:lvlJc w:val="left"/>
      <w:lvlText w:val="•"/>
      <w:numFmt w:val="bullet"/>
      <w:start w:val="1"/>
    </w:lvl>
  </w:abstractNum>
  <w:abstractNum w:abstractNumId="208">
    <w:nsid w:val="226F5320"/>
    <w:multiLevelType w:val="hybridMultilevel"/>
    <w:lvl w:ilvl="0">
      <w:lvlJc w:val="left"/>
      <w:lvlText w:val="(%1)"/>
      <w:numFmt w:val="lowerRoman"/>
      <w:start w:val="1"/>
    </w:lvl>
  </w:abstractNum>
  <w:abstractNum w:abstractNumId="209">
    <w:nsid w:val="5A0201C7"/>
    <w:multiLevelType w:val="hybridMultilevel"/>
    <w:lvl w:ilvl="0">
      <w:lvlJc w:val="left"/>
      <w:lvlText w:val="•"/>
      <w:numFmt w:val="bullet"/>
      <w:start w:val="1"/>
    </w:lvl>
  </w:abstractNum>
  <w:abstractNum w:abstractNumId="210">
    <w:nsid w:val="2A9C34E2"/>
    <w:multiLevelType w:val="hybridMultilevel"/>
    <w:lvl w:ilvl="0">
      <w:lvlJc w:val="left"/>
      <w:lvlText w:val="•"/>
      <w:numFmt w:val="bullet"/>
      <w:start w:val="1"/>
    </w:lvl>
  </w:abstractNum>
  <w:abstractNum w:abstractNumId="211">
    <w:nsid w:val="1B7585AB"/>
    <w:multiLevelType w:val="hybridMultilevel"/>
    <w:lvl w:ilvl="0">
      <w:lvlJc w:val="left"/>
      <w:lvlText w:val="•"/>
      <w:numFmt w:val="bullet"/>
      <w:start w:val="1"/>
    </w:lvl>
  </w:abstractNum>
  <w:abstractNum w:abstractNumId="212">
    <w:nsid w:val="612DBDDD"/>
    <w:multiLevelType w:val="hybridMultilevel"/>
    <w:lvl w:ilvl="0">
      <w:lvlJc w:val="left"/>
      <w:lvlText w:val="(%1)"/>
      <w:numFmt w:val="decimal"/>
      <w:start w:val="1"/>
    </w:lvl>
  </w:abstractNum>
  <w:abstractNum w:abstractNumId="213">
    <w:nsid w:val="2109CDA4"/>
    <w:multiLevelType w:val="hybridMultilevel"/>
    <w:lvl w:ilvl="0">
      <w:lvlJc w:val="left"/>
      <w:lvlText w:val="(%1)"/>
      <w:numFmt w:val="lowerRoman"/>
      <w:start w:val="1"/>
    </w:lvl>
  </w:abstractNum>
  <w:abstractNum w:abstractNumId="214">
    <w:nsid w:val="577F5A4D"/>
    <w:multiLevelType w:val="hybridMultilevel"/>
    <w:lvl w:ilvl="0">
      <w:lvlJc w:val="left"/>
      <w:lvlText w:val="(%1)"/>
      <w:numFmt w:val="lowerRoman"/>
      <w:start w:val="2"/>
    </w:lvl>
  </w:abstractNum>
  <w:abstractNum w:abstractNumId="215">
    <w:nsid w:val="2121A81"/>
    <w:multiLevelType w:val="hybridMultilevel"/>
    <w:lvl w:ilvl="0">
      <w:lvlJc w:val="left"/>
      <w:lvlText w:val="•"/>
      <w:numFmt w:val="bullet"/>
      <w:start w:val="1"/>
    </w:lvl>
  </w:abstractNum>
  <w:abstractNum w:abstractNumId="216">
    <w:nsid w:val="6C2CFC88"/>
    <w:multiLevelType w:val="hybridMultilevel"/>
    <w:lvl w:ilvl="0">
      <w:lvlJc w:val="left"/>
      <w:lvlText w:val="•"/>
      <w:numFmt w:val="bullet"/>
      <w:start w:val="1"/>
    </w:lvl>
  </w:abstractNum>
  <w:abstractNum w:abstractNumId="217">
    <w:nsid w:val="6D1BCF1C"/>
    <w:multiLevelType w:val="hybridMultilevel"/>
    <w:lvl w:ilvl="0">
      <w:lvlJc w:val="left"/>
      <w:lvlText w:val="•"/>
      <w:numFmt w:val="bullet"/>
      <w:start w:val="1"/>
    </w:lvl>
  </w:abstractNum>
  <w:abstractNum w:abstractNumId="218">
    <w:nsid w:val="4CE5CA53"/>
    <w:multiLevelType w:val="hybridMultilevel"/>
    <w:lvl w:ilvl="0">
      <w:lvlJc w:val="left"/>
      <w:lvlText w:val="•"/>
      <w:numFmt w:val="bullet"/>
      <w:start w:val="1"/>
    </w:lvl>
  </w:abstractNum>
  <w:abstractNum w:abstractNumId="219">
    <w:nsid w:val="29262D1A"/>
    <w:multiLevelType w:val="hybridMultilevel"/>
    <w:lvl w:ilvl="0">
      <w:lvlJc w:val="left"/>
      <w:lvlText w:val="(%1)"/>
      <w:numFmt w:val="lowerLetter"/>
      <w:start w:val="1"/>
    </w:lvl>
  </w:abstractNum>
  <w:abstractNum w:abstractNumId="220">
    <w:nsid w:val="557FB7EE"/>
    <w:multiLevelType w:val="hybridMultilevel"/>
    <w:lvl w:ilvl="0">
      <w:lvlJc w:val="left"/>
      <w:lvlText w:val="(%1)"/>
      <w:numFmt w:val="lowerRoman"/>
      <w:start w:val="1"/>
    </w:lvl>
  </w:abstractNum>
  <w:abstractNum w:abstractNumId="221">
    <w:nsid w:val="436F2BEB"/>
    <w:multiLevelType w:val="hybridMultilevel"/>
    <w:lvl w:ilvl="0">
      <w:lvlJc w:val="left"/>
      <w:lvlText w:val="(%1)"/>
      <w:numFmt w:val="lowerRoman"/>
      <w:start w:val="2"/>
    </w:lvl>
  </w:abstractNum>
  <w:abstractNum w:abstractNumId="222">
    <w:nsid w:val="6C8B4466"/>
    <w:multiLevelType w:val="hybridMultilevel"/>
    <w:lvl w:ilvl="0">
      <w:lvlJc w:val="left"/>
      <w:lvlText w:val="(%1)"/>
      <w:numFmt w:val="lowerRoman"/>
      <w:start w:val="2"/>
    </w:lvl>
  </w:abstractNum>
  <w:abstractNum w:abstractNumId="223">
    <w:nsid w:val="2006E424"/>
    <w:multiLevelType w:val="hybridMultilevel"/>
    <w:lvl w:ilvl="0">
      <w:lvlJc w:val="left"/>
      <w:lvlText w:val="$"/>
      <w:numFmt w:val="bullet"/>
      <w:start w:val="1"/>
    </w:lvl>
  </w:abstractNum>
  <w:abstractNum w:abstractNumId="224">
    <w:nsid w:val="20CC134C"/>
    <w:multiLevelType w:val="hybridMultilevel"/>
    <w:lvl w:ilvl="0">
      <w:lvlJc w:val="left"/>
      <w:lvlText w:val="•"/>
      <w:numFmt w:val="bullet"/>
      <w:start w:val="1"/>
    </w:lvl>
  </w:abstractNum>
  <w:abstractNum w:abstractNumId="225">
    <w:nsid w:val="95FC93B"/>
    <w:multiLevelType w:val="hybridMultilevel"/>
    <w:lvl w:ilvl="0">
      <w:lvlJc w:val="left"/>
      <w:lvlText w:val="*"/>
      <w:numFmt w:val="bullet"/>
      <w:start w:val="1"/>
    </w:lvl>
  </w:abstractNum>
  <w:abstractNum w:abstractNumId="226">
    <w:nsid w:val="41D74679"/>
    <w:multiLevelType w:val="hybridMultilevel"/>
    <w:lvl w:ilvl="0">
      <w:lvlJc w:val="left"/>
      <w:lvlText w:val="(%1)"/>
      <w:numFmt w:val="decimal"/>
      <w:start w:val="1"/>
    </w:lvl>
  </w:abstractNum>
  <w:abstractNum w:abstractNumId="227">
    <w:nsid w:val="71E5621E"/>
    <w:multiLevelType w:val="hybridMultilevel"/>
    <w:lvl w:ilvl="0">
      <w:lvlJc w:val="left"/>
      <w:lvlText w:val="(%1)"/>
      <w:numFmt w:val="decimal"/>
      <w:start w:val="4"/>
    </w:lvl>
  </w:abstractNum>
  <w:abstractNum w:abstractNumId="228">
    <w:nsid w:val="4E42B6A8"/>
    <w:multiLevelType w:val="hybridMultilevel"/>
    <w:lvl w:ilvl="0">
      <w:lvlJc w:val="left"/>
      <w:lvlText w:val="•"/>
      <w:numFmt w:val="bullet"/>
      <w:start w:val="1"/>
    </w:lvl>
  </w:abstractNum>
  <w:abstractNum w:abstractNumId="229">
    <w:nsid w:val="43F8E1AC"/>
    <w:multiLevelType w:val="hybridMultilevel"/>
    <w:lvl w:ilvl="0">
      <w:lvlJc w:val="left"/>
      <w:lvlText w:val="(%1)"/>
      <w:numFmt w:val="decimal"/>
      <w:start w:val="1"/>
    </w:lvl>
  </w:abstractNum>
  <w:abstractNum w:abstractNumId="230">
    <w:nsid w:val="69215DFB"/>
    <w:multiLevelType w:val="hybridMultilevel"/>
    <w:lvl w:ilvl="0">
      <w:lvlJc w:val="left"/>
      <w:lvlText w:val="(%1)"/>
      <w:numFmt w:val="decimal"/>
      <w:start w:val="1"/>
    </w:lvl>
  </w:abstractNum>
  <w:abstractNum w:abstractNumId="231">
    <w:nsid w:val="7ABF196A"/>
    <w:multiLevelType w:val="hybridMultilevel"/>
    <w:lvl w:ilvl="0">
      <w:lvlJc w:val="left"/>
      <w:lvlText w:val="•"/>
      <w:numFmt w:val="bullet"/>
      <w:start w:val="1"/>
    </w:lvl>
  </w:abstractNum>
  <w:abstractNum w:abstractNumId="232">
    <w:nsid w:val="5E4DB968"/>
    <w:multiLevelType w:val="hybridMultilevel"/>
    <w:lvl w:ilvl="0">
      <w:lvlJc w:val="left"/>
      <w:lvlText w:val="(%1)"/>
      <w:numFmt w:val="lowerLetter"/>
      <w:start w:val="1"/>
    </w:lvl>
  </w:abstractNum>
  <w:abstractNum w:abstractNumId="233">
    <w:nsid w:val="2C06DCF3"/>
    <w:multiLevelType w:val="hybridMultilevel"/>
    <w:lvl w:ilvl="0">
      <w:lvlJc w:val="left"/>
      <w:lvlText w:val="$"/>
      <w:numFmt w:val="bullet"/>
      <w:start w:val="1"/>
    </w:lvl>
  </w:abstractNum>
  <w:abstractNum w:abstractNumId="234">
    <w:nsid w:val="2E129658"/>
    <w:multiLevelType w:val="hybridMultilevel"/>
    <w:lvl w:ilvl="0">
      <w:lvlJc w:val="left"/>
      <w:lvlText w:val="(%1)"/>
      <w:numFmt w:val="lowerRoman"/>
      <w:start w:val="2"/>
    </w:lvl>
  </w:abstractNum>
  <w:abstractNum w:abstractNumId="235">
    <w:nsid w:val="59F0446"/>
    <w:multiLevelType w:val="hybridMultilevel"/>
    <w:lvl w:ilvl="0">
      <w:lvlJc w:val="left"/>
      <w:lvlText w:val="•"/>
      <w:numFmt w:val="bullet"/>
      <w:start w:val="1"/>
    </w:lvl>
  </w:abstractNum>
  <w:abstractNum w:abstractNumId="236">
    <w:nsid w:val="30DF306"/>
    <w:multiLevelType w:val="hybridMultilevel"/>
    <w:lvl w:ilvl="0">
      <w:lvlJc w:val="left"/>
      <w:lvlText w:val="•"/>
      <w:numFmt w:val="bullet"/>
      <w:start w:val="1"/>
    </w:lvl>
  </w:abstractNum>
  <w:abstractNum w:abstractNumId="237">
    <w:nsid w:val="A65647"/>
    <w:multiLevelType w:val="hybridMultilevel"/>
    <w:lvl w:ilvl="0">
      <w:lvlJc w:val="left"/>
      <w:lvlText w:val="(%1)"/>
      <w:numFmt w:val="lowerRoman"/>
      <w:start w:val="5"/>
    </w:lvl>
  </w:abstractNum>
  <w:abstractNum w:abstractNumId="238">
    <w:nsid w:val="3E5E582B"/>
    <w:multiLevelType w:val="hybridMultilevel"/>
    <w:lvl w:ilvl="0">
      <w:lvlJc w:val="left"/>
      <w:lvlText w:val="(%1)"/>
      <w:numFmt w:val="lowerRoman"/>
      <w:start w:val="3"/>
    </w:lvl>
  </w:abstractNum>
  <w:abstractNum w:abstractNumId="239">
    <w:nsid w:val="257D4626"/>
    <w:multiLevelType w:val="hybridMultilevel"/>
    <w:lvl w:ilvl="0">
      <w:lvlJc w:val="left"/>
      <w:lvlText w:val="(%1)"/>
      <w:numFmt w:val="decimal"/>
      <w:start w:val="1"/>
    </w:lvl>
  </w:abstractNum>
  <w:abstractNum w:abstractNumId="240">
    <w:nsid w:val="5AA8580E"/>
    <w:multiLevelType w:val="hybridMultilevel"/>
    <w:lvl w:ilvl="0">
      <w:lvlJc w:val="left"/>
      <w:lvlText w:val="(%1)"/>
      <w:numFmt w:val="decimal"/>
      <w:start w:val="1"/>
    </w:lvl>
  </w:abstractNum>
  <w:abstractNum w:abstractNumId="241">
    <w:nsid w:val="68FA8D0D"/>
    <w:multiLevelType w:val="hybridMultilevel"/>
    <w:lvl w:ilvl="0">
      <w:lvlJc w:val="left"/>
      <w:lvlText w:val="(%1)"/>
      <w:numFmt w:val="decimal"/>
      <w:start w:val="1"/>
    </w:lvl>
  </w:abstractNum>
  <w:abstractNum w:abstractNumId="242">
    <w:nsid w:val="40F2CBD2"/>
    <w:multiLevelType w:val="hybridMultilevel"/>
    <w:lvl w:ilvl="0">
      <w:lvlJc w:val="left"/>
      <w:lvlText w:val="$"/>
      <w:numFmt w:val="bullet"/>
      <w:start w:val="1"/>
    </w:lvl>
  </w:abstractNum>
  <w:abstractNum w:abstractNumId="243">
    <w:nsid w:val="3BD615EB"/>
    <w:multiLevelType w:val="hybridMultilevel"/>
    <w:lvl w:ilvl="0">
      <w:lvlJc w:val="left"/>
      <w:lvlText w:val="(%1)"/>
      <w:numFmt w:val="lowerRoman"/>
      <w:start w:val="2"/>
    </w:lvl>
  </w:abstractNum>
  <w:abstractNum w:abstractNumId="244">
    <w:nsid w:val="A045AB2"/>
    <w:multiLevelType w:val="hybridMultilevel"/>
    <w:lvl w:ilvl="0">
      <w:lvlJc w:val="left"/>
      <w:lvlText w:val="(%1)"/>
      <w:numFmt w:val="lowerRoman"/>
      <w:start w:val="2"/>
    </w:lvl>
  </w:abstractNum>
  <w:abstractNum w:abstractNumId="245">
    <w:nsid w:val="1872261F"/>
    <w:multiLevelType w:val="hybridMultilevel"/>
    <w:lvl w:ilvl="0">
      <w:lvlJc w:val="left"/>
      <w:lvlText w:val="(%1)"/>
      <w:numFmt w:val="lowerRoman"/>
      <w:start w:val="2"/>
    </w:lvl>
  </w:abstractNum>
  <w:abstractNum w:abstractNumId="246">
    <w:nsid w:val="3DE8306C"/>
    <w:multiLevelType w:val="hybridMultilevel"/>
    <w:lvl w:ilvl="0">
      <w:lvlJc w:val="left"/>
      <w:lvlText w:val="(%1)"/>
      <w:numFmt w:val="lowerRoman"/>
      <w:start w:val="2"/>
    </w:lvl>
  </w:abstractNum>
  <w:abstractNum w:abstractNumId="247">
    <w:nsid w:val="7631573A"/>
    <w:multiLevelType w:val="hybridMultilevel"/>
    <w:lvl w:ilvl="0">
      <w:lvlJc w:val="left"/>
      <w:lvlText w:val="(%1)"/>
      <w:numFmt w:val="lowerRoman"/>
      <w:start w:val="2"/>
    </w:lvl>
  </w:abstractNum>
  <w:abstractNum w:abstractNumId="248">
    <w:nsid w:val="58DF53B"/>
    <w:multiLevelType w:val="hybridMultilevel"/>
    <w:lvl w:ilvl="0">
      <w:lvlJc w:val="left"/>
      <w:lvlText w:val="(%1)"/>
      <w:numFmt w:val="lowerLetter"/>
      <w:start w:val="2"/>
    </w:lvl>
  </w:abstractNum>
  <w:abstractNum w:abstractNumId="249">
    <w:nsid w:val="ACDFAC0"/>
    <w:multiLevelType w:val="hybridMultilevel"/>
    <w:lvl w:ilvl="0">
      <w:lvlJc w:val="left"/>
      <w:lvlText w:val="(%1)"/>
      <w:numFmt w:val="lowerLetter"/>
      <w:start w:val="6"/>
    </w:lvl>
  </w:abstractNum>
  <w:abstractNum w:abstractNumId="250">
    <w:nsid w:val="1F578454"/>
    <w:multiLevelType w:val="hybridMultilevel"/>
    <w:lvl w:ilvl="0">
      <w:lvlJc w:val="left"/>
      <w:lvlText w:val="(%1)"/>
      <w:numFmt w:val="lowerLetter"/>
      <w:start w:val="1"/>
    </w:lvl>
  </w:abstractNum>
  <w:abstractNum w:abstractNumId="251">
    <w:nsid w:val="5B0DAD2A"/>
    <w:multiLevelType w:val="hybridMultilevel"/>
    <w:lvl w:ilvl="0">
      <w:lvlJc w:val="left"/>
      <w:lvlText w:val="(%1)"/>
      <w:numFmt w:val="lowerLetter"/>
      <w:start w:val="1"/>
    </w:lvl>
  </w:abstractNum>
  <w:abstractNum w:abstractNumId="252">
    <w:nsid w:val="4E3D26AB"/>
    <w:multiLevelType w:val="hybridMultilevel"/>
    <w:lvl w:ilvl="0">
      <w:lvlJc w:val="left"/>
      <w:lvlText w:val="%1"/>
      <w:numFmt w:val="upperLetter"/>
      <w:start w:val="1"/>
    </w:lvl>
    <w:lvl w:ilvl="1">
      <w:lvlJc w:val="left"/>
      <w:lvlText w:val="(%2)"/>
      <w:numFmt w:val="lowerLetter"/>
      <w:start w:val="1"/>
    </w:lvl>
  </w:abstractNum>
  <w:abstractNum w:abstractNumId="253">
    <w:nsid w:val="BE2C8BA"/>
    <w:multiLevelType w:val="hybridMultilevel"/>
    <w:lvl w:ilvl="0">
      <w:lvlJc w:val="left"/>
      <w:lvlText w:val="(%1)"/>
      <w:numFmt w:val="upperLetter"/>
      <w:start w:val="2"/>
    </w:lvl>
    <w:lvl w:ilvl="1">
      <w:lvlJc w:val="left"/>
      <w:lvlText w:val="(%2)"/>
      <w:numFmt w:val="lowerLetter"/>
      <w:start w:val="3"/>
    </w:lvl>
  </w:abstractNum>
  <w:abstractNum w:abstractNumId="254">
    <w:nsid w:val="7B14914E"/>
    <w:multiLevelType w:val="hybridMultilevel"/>
    <w:lvl w:ilvl="0">
      <w:lvlJc w:val="left"/>
      <w:lvlText w:val="(%1)"/>
      <w:numFmt w:val="lowerLetter"/>
      <w:start w:val="6"/>
    </w:lvl>
  </w:abstractNum>
  <w:abstractNum w:abstractNumId="255">
    <w:nsid w:val="6F0939F8"/>
    <w:multiLevelType w:val="hybridMultilevel"/>
    <w:lvl w:ilvl="0">
      <w:lvlJc w:val="left"/>
      <w:lvlText w:val="(%1)"/>
      <w:numFmt w:val="lowerLetter"/>
      <w:start w:val="1"/>
    </w:lvl>
  </w:abstractNum>
  <w:abstractNum w:abstractNumId="256">
    <w:nsid w:val="154291F6"/>
    <w:multiLevelType w:val="hybridMultilevel"/>
    <w:lvl w:ilvl="0">
      <w:lvlJc w:val="left"/>
      <w:lvlText w:val="(%1)"/>
      <w:numFmt w:val="lowerLetter"/>
      <w:start w:val="1"/>
    </w:lvl>
  </w:abstractNum>
  <w:abstractNum w:abstractNumId="257">
    <w:nsid w:val="3CEBD7C7"/>
    <w:multiLevelType w:val="hybridMultilevel"/>
    <w:lvl w:ilvl="0">
      <w:lvlJc w:val="left"/>
      <w:lvlText w:val="%1"/>
      <w:numFmt w:val="lowerRoman"/>
      <w:start w:val="1"/>
    </w:lvl>
    <w:lvl w:ilvl="1">
      <w:lvlJc w:val="left"/>
      <w:lvlText w:val="(%2)"/>
      <w:numFmt w:val="lowerLetter"/>
      <w:start w:val="1"/>
    </w:lvl>
  </w:abstractNum>
  <w:abstractNum w:abstractNumId="258">
    <w:nsid w:val="60EE9C16"/>
    <w:multiLevelType w:val="hybridMultilevel"/>
    <w:lvl w:ilvl="0">
      <w:lvlJc w:val="left"/>
      <w:lvlText w:val="(%1)"/>
      <w:numFmt w:val="lowerRoman"/>
      <w:start w:val="2"/>
    </w:lvl>
    <w:lvl w:ilvl="1">
      <w:lvlJc w:val="left"/>
      <w:lvlText w:val="%2"/>
      <w:numFmt w:val="lowerLetter"/>
      <w:start w:val="1"/>
    </w:lvl>
  </w:abstractNum>
  <w:abstractNum w:abstractNumId="259">
    <w:nsid w:val="6385489E"/>
    <w:multiLevelType w:val="hybridMultilevel"/>
    <w:lvl w:ilvl="0">
      <w:lvlJc w:val="left"/>
      <w:lvlText w:val="(%1)"/>
      <w:numFmt w:val="lowerLetter"/>
      <w:start w:val="1"/>
    </w:lvl>
  </w:abstractNum>
  <w:abstractNum w:abstractNumId="260">
    <w:nsid w:val="E4B973"/>
    <w:multiLevelType w:val="hybridMultilevel"/>
    <w:lvl w:ilvl="0">
      <w:lvlJc w:val="left"/>
      <w:lvlText w:val="(%1)"/>
      <w:numFmt w:val="lowerLetter"/>
      <w:start w:val="1"/>
    </w:lvl>
    <w:lvl w:ilvl="1">
      <w:lvlJc w:val="left"/>
      <w:lvlText w:val="(%2)"/>
      <w:numFmt w:val="lowerRoman"/>
      <w:start w:val="1"/>
    </w:lvl>
  </w:abstractNum>
  <w:abstractNum w:abstractNumId="261">
    <w:nsid w:val="4A0FFA1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7"/>
    </w:lvl>
  </w:abstractNum>
  <w:abstractNum w:abstractNumId="262">
    <w:nsid w:val="5E446208"/>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3"/>
    </w:lvl>
    <w:lvl w:ilvl="3">
      <w:lvlJc w:val="left"/>
      <w:lvlText w:val="%4"/>
      <w:numFmt w:val="lowerRoman"/>
      <w:start w:val="1"/>
    </w:lvl>
  </w:abstractNum>
  <w:abstractNum w:abstractNumId="263">
    <w:nsid w:val="5F3272DB"/>
    <w:multiLevelType w:val="hybridMultilevel"/>
    <w:lvl w:ilvl="0">
      <w:lvlJc w:val="left"/>
      <w:lvlText w:val="%1"/>
      <w:numFmt w:val="lowerLetter"/>
      <w:start w:val="1"/>
    </w:lvl>
    <w:lvl w:ilvl="1">
      <w:lvlJc w:val="left"/>
      <w:lvlText w:val="(%2)"/>
      <w:numFmt w:val="lowerLetter"/>
      <w:start w:val="1"/>
    </w:lvl>
  </w:abstractNum>
  <w:abstractNum w:abstractNumId="264">
    <w:nsid w:val="7616D704"/>
    <w:multiLevelType w:val="hybridMultilevel"/>
    <w:lvl w:ilvl="0">
      <w:lvlJc w:val="left"/>
      <w:lvlText w:val="(%1)"/>
      <w:numFmt w:val="lowerLetter"/>
      <w:start w:val="35"/>
    </w:lvl>
    <w:lvl w:ilvl="1">
      <w:lvlJc w:val="left"/>
      <w:lvlText w:val="(%2)"/>
      <w:numFmt w:val="lowerLetter"/>
      <w:start w:val="2"/>
    </w:lvl>
  </w:abstractNum>
  <w:abstractNum w:abstractNumId="265">
    <w:nsid w:val="C56F860"/>
    <w:multiLevelType w:val="hybridMultilevel"/>
    <w:lvl w:ilvl="0">
      <w:lvlJc w:val="left"/>
      <w:lvlText w:val="(%1)"/>
      <w:numFmt w:val="lowerLetter"/>
      <w:start w:val="1"/>
    </w:lvl>
  </w:abstractNum>
  <w:abstractNum w:abstractNumId="266">
    <w:nsid w:val="64D17722"/>
    <w:multiLevelType w:val="hybridMultilevel"/>
    <w:lvl w:ilvl="0">
      <w:lvlJc w:val="left"/>
      <w:lvlText w:val="(%1)"/>
      <w:numFmt w:val="lowerLetter"/>
      <w:start w:val="3"/>
    </w:lvl>
  </w:abstractNum>
  <w:abstractNum w:abstractNumId="267">
    <w:nsid w:val="7924CA0A"/>
    <w:multiLevelType w:val="hybridMultilevel"/>
    <w:lvl w:ilvl="0">
      <w:lvlJc w:val="left"/>
      <w:lvlText w:val="(%1)"/>
      <w:numFmt w:val="lowerLetter"/>
      <w:start w:val="8"/>
    </w:lvl>
  </w:abstractNum>
  <w:abstractNum w:abstractNumId="268">
    <w:nsid w:val="CFD4EA7"/>
    <w:multiLevelType w:val="hybridMultilevel"/>
    <w:lvl w:ilvl="0">
      <w:lvlJc w:val="left"/>
      <w:lvlText w:val="(%1)"/>
      <w:numFmt w:val="lowerLetter"/>
      <w:start w:val="1"/>
    </w:lvl>
  </w:abstractNum>
  <w:abstractNum w:abstractNumId="269">
    <w:nsid w:val="232FCF4D"/>
    <w:multiLevelType w:val="hybridMultilevel"/>
    <w:lvl w:ilvl="0">
      <w:lvlJc w:val="left"/>
      <w:lvlText w:val="%1"/>
      <w:numFmt w:val="lowerLetter"/>
      <w:start w:val="1"/>
    </w:lvl>
    <w:lvl w:ilvl="1">
      <w:lvlJc w:val="left"/>
      <w:lvlText w:val="(%2)"/>
      <w:numFmt w:val="lowerLetter"/>
      <w:start w:val="3"/>
    </w:lvl>
  </w:abstractNum>
  <w:abstractNum w:abstractNumId="270">
    <w:nsid w:val="1EA21031"/>
    <w:multiLevelType w:val="hybridMultilevel"/>
    <w:lvl w:ilvl="0">
      <w:lvlJc w:val="left"/>
      <w:lvlText w:val="(%1)"/>
      <w:numFmt w:val="lowerLetter"/>
      <w:start w:val="9"/>
    </w:lvl>
    <w:lvl w:ilvl="1">
      <w:lvlJc w:val="left"/>
      <w:lvlText w:val="(%2)"/>
      <w:numFmt w:val="lowerLetter"/>
      <w:start w:val="4"/>
    </w:lvl>
  </w:abstractNum>
  <w:abstractNum w:abstractNumId="271">
    <w:nsid w:val="67A5A6B5"/>
    <w:multiLevelType w:val="hybridMultilevel"/>
    <w:lvl w:ilvl="0">
      <w:lvlJc w:val="left"/>
      <w:lvlText w:val="(%1)"/>
      <w:numFmt w:val="lowerLetter"/>
      <w:start w:val="9"/>
    </w:lvl>
    <w:lvl w:ilvl="1">
      <w:lvlJc w:val="left"/>
      <w:lvlText w:val="%2"/>
      <w:numFmt w:val="lowerLetter"/>
      <w:start w:val="1"/>
    </w:lvl>
  </w:abstractNum>
  <w:abstractNum w:abstractNumId="272">
    <w:nsid w:val="C2A5C5B"/>
    <w:multiLevelType w:val="hybridMultilevel"/>
    <w:lvl w:ilvl="0">
      <w:lvlJc w:val="left"/>
      <w:lvlText w:val="(%1)"/>
      <w:numFmt w:val="lowerLetter"/>
      <w:start w:val="1"/>
    </w:lvl>
  </w:abstractNum>
  <w:abstractNum w:abstractNumId="273">
    <w:nsid w:val="5F94DC03"/>
    <w:multiLevelType w:val="hybridMultilevel"/>
    <w:lvl w:ilvl="0">
      <w:lvlJc w:val="left"/>
      <w:lvlText w:val="(%1)"/>
      <w:numFmt w:val="lowerLetter"/>
      <w:start w:val="1"/>
    </w:lvl>
  </w:abstractNum>
  <w:abstractNum w:abstractNumId="274">
    <w:nsid w:val="237BBCA0"/>
    <w:multiLevelType w:val="hybridMultilevel"/>
    <w:lvl w:ilvl="0">
      <w:lvlJc w:val="left"/>
      <w:lvlText w:val="(%1)"/>
      <w:numFmt w:val="lowerLetter"/>
      <w:start w:val="2"/>
    </w:lvl>
  </w:abstractNum>
  <w:abstractNum w:abstractNumId="275">
    <w:nsid w:val="162EB70D"/>
    <w:multiLevelType w:val="hybridMultilevel"/>
    <w:lvl w:ilvl="0">
      <w:lvlJc w:val="left"/>
      <w:lvlText w:val="%1"/>
      <w:numFmt w:val="lowerLetter"/>
      <w:start w:val="1"/>
    </w:lvl>
    <w:lvl w:ilvl="1">
      <w:lvlJc w:val="left"/>
      <w:lvlText w:val="(%2)"/>
      <w:numFmt w:val="lowerLetter"/>
      <w:start w:val="1"/>
    </w:lvl>
  </w:abstractNum>
  <w:abstractNum w:abstractNumId="276">
    <w:nsid w:val="78070222"/>
    <w:multiLevelType w:val="hybridMultilevel"/>
    <w:lvl w:ilvl="0">
      <w:lvlJc w:val="left"/>
      <w:lvlText w:val="(%1)"/>
      <w:numFmt w:val="lowerLetter"/>
      <w:start w:val="35"/>
    </w:lvl>
    <w:lvl w:ilvl="1">
      <w:lvlJc w:val="left"/>
      <w:lvlText w:val="%2"/>
      <w:numFmt w:val="lowerLetter"/>
      <w:start w:val="1"/>
    </w:lvl>
  </w:abstractNum>
  <w:abstractNum w:abstractNumId="277">
    <w:nsid w:val="6163ED0D"/>
    <w:multiLevelType w:val="hybridMultilevel"/>
    <w:lvl w:ilvl="0">
      <w:lvlJc w:val="left"/>
      <w:lvlText w:val="%1"/>
      <w:numFmt w:val="lowerLetter"/>
      <w:start w:val="1"/>
    </w:lvl>
    <w:lvl w:ilvl="1">
      <w:lvlJc w:val="left"/>
      <w:lvlText w:val="(%2)"/>
      <w:numFmt w:val="lowerLetter"/>
      <w:start w:val="3"/>
    </w:lvl>
  </w:abstractNum>
  <w:abstractNum w:abstractNumId="278">
    <w:nsid w:val="C600E47"/>
    <w:multiLevelType w:val="hybridMultilevel"/>
    <w:lvl w:ilvl="0">
      <w:lvlJc w:val="left"/>
      <w:lvlText w:val="(%1)"/>
      <w:numFmt w:val="lowerLetter"/>
      <w:start w:val="61"/>
    </w:lvl>
    <w:lvl w:ilvl="1">
      <w:lvlJc w:val="left"/>
      <w:lvlText w:val="(%2)"/>
      <w:numFmt w:val="lowerLetter"/>
      <w:start w:val="8"/>
    </w:lvl>
  </w:abstractNum>
  <w:abstractNum w:abstractNumId="279">
    <w:nsid w:val="7D94F75D"/>
    <w:multiLevelType w:val="hybridMultilevel"/>
    <w:lvl w:ilvl="0">
      <w:lvlJc w:val="left"/>
      <w:lvlText w:val="(%1)"/>
      <w:numFmt w:val="lowerLetter"/>
      <w:start w:val="1"/>
    </w:lvl>
  </w:abstractNum>
  <w:abstractNum w:abstractNumId="280">
    <w:nsid w:val="6C31E7CD"/>
    <w:multiLevelType w:val="hybridMultilevel"/>
    <w:lvl w:ilvl="0">
      <w:lvlJc w:val="left"/>
      <w:lvlText w:val="%1"/>
      <w:numFmt w:val="lowerLetter"/>
      <w:start w:val="1"/>
    </w:lvl>
    <w:lvl w:ilvl="1">
      <w:lvlJc w:val="left"/>
      <w:lvlText w:val="(%2)"/>
      <w:numFmt w:val="lowerLetter"/>
      <w:start w:val="1"/>
    </w:lvl>
  </w:abstractNum>
  <w:abstractNum w:abstractNumId="281">
    <w:nsid w:val="2BB7929B"/>
    <w:multiLevelType w:val="hybridMultilevel"/>
    <w:lvl w:ilvl="0">
      <w:lvlJc w:val="left"/>
      <w:lvlText w:val="(%1)"/>
      <w:numFmt w:val="lowerLetter"/>
      <w:start w:val="61"/>
    </w:lvl>
    <w:lvl w:ilvl="1">
      <w:lvlJc w:val="left"/>
      <w:lvlText w:val="(%2)"/>
      <w:numFmt w:val="lowerLetter"/>
      <w:start w:val="2"/>
    </w:lvl>
  </w:abstractNum>
  <w:abstractNum w:abstractNumId="282">
    <w:nsid w:val="58A2A487"/>
    <w:multiLevelType w:val="hybridMultilevel"/>
    <w:lvl w:ilvl="0">
      <w:lvlJc w:val="left"/>
      <w:lvlText w:val="(%1)"/>
      <w:numFmt w:val="lowerLetter"/>
      <w:start w:val="3"/>
    </w:lvl>
  </w:abstractNum>
  <w:abstractNum w:abstractNumId="283">
    <w:nsid w:val="3A6F0E78"/>
    <w:multiLevelType w:val="hybridMultilevel"/>
    <w:lvl w:ilvl="0">
      <w:lvlJc w:val="left"/>
      <w:lvlText w:val="(%1)"/>
      <w:numFmt w:val="lowerLetter"/>
      <w:start w:val="1"/>
    </w:lvl>
  </w:abstractNum>
  <w:abstractNum w:abstractNumId="284">
    <w:nsid w:val="379A5B56"/>
    <w:multiLevelType w:val="hybridMultilevel"/>
    <w:lvl w:ilvl="0">
      <w:lvlJc w:val="left"/>
      <w:lvlText w:val="(%1)"/>
      <w:numFmt w:val="lowerLetter"/>
      <w:start w:val="1"/>
    </w:lvl>
  </w:abstractNum>
  <w:abstractNum w:abstractNumId="285">
    <w:nsid w:val="53B735D5"/>
    <w:multiLevelType w:val="hybridMultilevel"/>
    <w:lvl w:ilvl="0">
      <w:lvlJc w:val="left"/>
      <w:lvlText w:val="(%1)"/>
      <w:numFmt w:val="lowerRoman"/>
      <w:start w:val="1"/>
    </w:lvl>
  </w:abstractNum>
  <w:abstractNum w:abstractNumId="286">
    <w:nsid w:val="29784870"/>
    <w:multiLevelType w:val="hybridMultilevel"/>
    <w:lvl w:ilvl="0">
      <w:lvlJc w:val="left"/>
      <w:lvlText w:val="%1"/>
      <w:numFmt w:val="lowerRoman"/>
      <w:start w:val="1"/>
    </w:lvl>
    <w:lvl w:ilvl="1">
      <w:lvlJc w:val="left"/>
      <w:lvlText w:val="(%2)"/>
      <w:numFmt w:val="lowerLetter"/>
      <w:start w:val="1"/>
    </w:lvl>
  </w:abstractNum>
  <w:abstractNum w:abstractNumId="287">
    <w:nsid w:val="4CDCED4C"/>
    <w:multiLevelType w:val="hybridMultilevel"/>
    <w:lvl w:ilvl="0">
      <w:lvlJc w:val="left"/>
      <w:lvlText w:val="(%1)"/>
      <w:numFmt w:val="lowerRoman"/>
      <w:start w:val="2"/>
    </w:lvl>
    <w:lvl w:ilvl="1">
      <w:lvlJc w:val="left"/>
      <w:lvlText w:val="%2"/>
      <w:numFmt w:val="lowerLetter"/>
      <w:start w:val="1"/>
    </w:lvl>
  </w:abstractNum>
  <w:abstractNum w:abstractNumId="288">
    <w:nsid w:val="10A30D9C"/>
    <w:multiLevelType w:val="hybridMultilevel"/>
    <w:lvl w:ilvl="0">
      <w:lvlJc w:val="left"/>
      <w:lvlText w:val="(%1)"/>
      <w:numFmt w:val="lowerRoman"/>
      <w:start w:val="8"/>
    </w:lvl>
    <w:lvl w:ilvl="1">
      <w:lvlJc w:val="left"/>
      <w:lvlText w:val="(%2)"/>
      <w:numFmt w:val="lowerLetter"/>
      <w:start w:val="2"/>
    </w:lvl>
  </w:abstractNum>
  <w:abstractNum w:abstractNumId="289">
    <w:nsid w:val="A66E486"/>
    <w:multiLevelType w:val="hybridMultilevel"/>
    <w:lvl w:ilvl="0">
      <w:lvlJc w:val="left"/>
      <w:lvlText w:val="%1"/>
      <w:numFmt w:val="lowerLetter"/>
      <w:start w:val="1"/>
    </w:lvl>
    <w:lvl w:ilvl="1">
      <w:lvlJc w:val="left"/>
      <w:lvlText w:val="(%2)"/>
      <w:numFmt w:val="lowerLetter"/>
      <w:start w:val="3"/>
    </w:lvl>
  </w:abstractNum>
  <w:abstractNum w:abstractNumId="290">
    <w:nsid w:val="306235EA"/>
    <w:multiLevelType w:val="hybridMultilevel"/>
    <w:lvl w:ilvl="0">
      <w:lvlJc w:val="left"/>
      <w:lvlText w:val="(%1)"/>
      <w:numFmt w:val="lowerLetter"/>
      <w:start w:val="35"/>
    </w:lvl>
    <w:lvl w:ilvl="1">
      <w:lvlJc w:val="left"/>
      <w:lvlText w:val="(%2)"/>
      <w:numFmt w:val="lowerLetter"/>
      <w:start w:val="4"/>
    </w:lvl>
  </w:abstractNum>
  <w:abstractNum w:abstractNumId="291">
    <w:nsid w:val="1187C70F"/>
    <w:multiLevelType w:val="hybridMultilevel"/>
    <w:lvl w:ilvl="0">
      <w:lvlJc w:val="left"/>
      <w:lvlText w:val="(%1)"/>
      <w:numFmt w:val="lowerLetter"/>
      <w:start w:val="1"/>
    </w:lvl>
    <w:lvl w:ilvl="1">
      <w:lvlJc w:val="left"/>
      <w:lvlText w:val="(%2)"/>
      <w:numFmt w:val="lowerRoman"/>
      <w:start w:val="1"/>
    </w:lvl>
  </w:abstractNum>
  <w:abstractNum w:abstractNumId="292">
    <w:nsid w:val="5476DE98"/>
    <w:multiLevelType w:val="hybridMultilevel"/>
    <w:lvl w:ilvl="0">
      <w:lvlJc w:val="left"/>
      <w:lvlText w:val="%1"/>
      <w:numFmt w:val="decimal"/>
      <w:start w:val="1"/>
    </w:lvl>
    <w:lvl w:ilvl="1">
      <w:lvlJc w:val="left"/>
      <w:lvlText w:val="(%2)"/>
      <w:numFmt w:val="lowerRoman"/>
      <w:start w:val="5"/>
    </w:lvl>
  </w:abstractNum>
  <w:abstractNum w:abstractNumId="293">
    <w:nsid w:val="EA697F2"/>
    <w:multiLevelType w:val="hybridMultilevel"/>
    <w:lvl w:ilvl="0">
      <w:lvlJc w:val="left"/>
      <w:lvlText w:val="(%1)"/>
      <w:numFmt w:val="decimal"/>
      <w:start w:val="2"/>
    </w:lvl>
    <w:lvl w:ilvl="1">
      <w:lvlJc w:val="left"/>
      <w:lvlText w:val="(%2)"/>
      <w:numFmt w:val="lowerRoman"/>
      <w:start w:val="8"/>
    </w:lvl>
  </w:abstractNum>
  <w:abstractNum w:abstractNumId="294">
    <w:nsid w:val="70BA39EB"/>
    <w:multiLevelType w:val="hybridMultilevel"/>
    <w:lvl w:ilvl="0">
      <w:lvlJc w:val="left"/>
      <w:lvlText w:val="(%1)"/>
      <w:numFmt w:val="lowerRoman"/>
      <w:start w:val="19"/>
    </w:lvl>
  </w:abstractNum>
  <w:abstractNum w:abstractNumId="295">
    <w:nsid w:val="4A8DB59C"/>
    <w:multiLevelType w:val="hybridMultilevel"/>
    <w:lvl w:ilvl="0">
      <w:lvlJc w:val="left"/>
      <w:lvlText w:val="(%1)"/>
      <w:numFmt w:val="lowerLetter"/>
      <w:start w:val="1"/>
    </w:lvl>
  </w:abstractNum>
  <w:abstractNum w:abstractNumId="296">
    <w:nsid w:val="1AFD9053"/>
    <w:multiLevelType w:val="hybridMultilevel"/>
    <w:lvl w:ilvl="0">
      <w:lvlJc w:val="left"/>
      <w:lvlText w:val="(%1)"/>
      <w:numFmt w:val="lowerLetter"/>
      <w:start w:val="1"/>
    </w:lvl>
  </w:abstractNum>
  <w:abstractNum w:abstractNumId="297">
    <w:nsid w:val="558BB10D"/>
    <w:multiLevelType w:val="hybridMultilevel"/>
    <w:lvl w:ilvl="0">
      <w:lvlJc w:val="left"/>
      <w:lvlText w:val="%1"/>
      <w:numFmt w:val="lowerLetter"/>
      <w:start w:val="1"/>
    </w:lvl>
    <w:lvl w:ilvl="1">
      <w:lvlJc w:val="left"/>
      <w:lvlText w:val="(%2)"/>
      <w:numFmt w:val="lowerLetter"/>
      <w:start w:val="1"/>
    </w:lvl>
  </w:abstractNum>
  <w:abstractNum w:abstractNumId="298">
    <w:nsid w:val="43B27FA7"/>
    <w:multiLevelType w:val="hybridMultilevel"/>
    <w:lvl w:ilvl="0">
      <w:lvlJc w:val="left"/>
      <w:lvlText w:val="(%1)"/>
      <w:numFmt w:val="lowerLetter"/>
      <w:start w:val="35"/>
    </w:lvl>
    <w:lvl w:ilvl="1">
      <w:lvlJc w:val="left"/>
      <w:lvlText w:val="%2"/>
      <w:numFmt w:val="lowerLetter"/>
      <w:start w:val="1"/>
    </w:lvl>
  </w:abstractNum>
  <w:abstractNum w:abstractNumId="299">
    <w:nsid w:val="27FADEFA"/>
    <w:multiLevelType w:val="hybridMultilevel"/>
    <w:lvl w:ilvl="0">
      <w:lvlJc w:val="left"/>
      <w:lvlText w:val="%1"/>
      <w:numFmt w:val="lowerLetter"/>
      <w:start w:val="1"/>
    </w:lvl>
    <w:lvl w:ilvl="1">
      <w:lvlJc w:val="left"/>
      <w:lvlText w:val="(%2)"/>
      <w:numFmt w:val="lowerLetter"/>
      <w:start w:val="3"/>
    </w:lvl>
  </w:abstractNum>
  <w:abstractNum w:abstractNumId="300">
    <w:nsid w:val="78BB805A"/>
    <w:multiLevelType w:val="hybridMultilevel"/>
    <w:lvl w:ilvl="0">
      <w:lvlJc w:val="left"/>
      <w:lvlText w:val="(%1)"/>
      <w:numFmt w:val="lowerLetter"/>
      <w:start w:val="9"/>
    </w:lvl>
    <w:lvl w:ilvl="1">
      <w:lvlJc w:val="left"/>
      <w:lvlText w:val="(%2)"/>
      <w:numFmt w:val="lowerLetter"/>
      <w:start w:val="6"/>
    </w:lvl>
  </w:abstractNum>
  <w:abstractNum w:abstractNumId="301">
    <w:nsid w:val="62548FD8"/>
    <w:multiLevelType w:val="hybridMultilevel"/>
    <w:lvl w:ilvl="0">
      <w:lvlJc w:val="left"/>
      <w:lvlText w:val="(%1)"/>
      <w:numFmt w:val="lowerLetter"/>
      <w:start w:val="7"/>
    </w:lvl>
  </w:abstractNum>
  <w:abstractNum w:abstractNumId="302">
    <w:nsid w:val="FA085B0"/>
    <w:multiLevelType w:val="hybridMultilevel"/>
    <w:lvl w:ilvl="0">
      <w:lvlJc w:val="left"/>
      <w:lvlText w:val="(%1)"/>
      <w:numFmt w:val="lowerLetter"/>
      <w:start w:val="2"/>
    </w:lvl>
  </w:abstractNum>
  <w:abstractNum w:abstractNumId="303">
    <w:nsid w:val="4E5DCB5"/>
    <w:multiLevelType w:val="hybridMultilevel"/>
    <w:lvl w:ilvl="0">
      <w:lvlJc w:val="left"/>
      <w:lvlText w:val="(%1)"/>
      <w:numFmt w:val="lowerLetter"/>
      <w:start w:val="1"/>
    </w:lvl>
  </w:abstractNum>
  <w:abstractNum w:abstractNumId="304">
    <w:nsid w:val="41E96BDB"/>
    <w:multiLevelType w:val="hybridMultilevel"/>
    <w:lvl w:ilvl="0">
      <w:lvlJc w:val="left"/>
      <w:lvlText w:val="(%1)"/>
      <w:numFmt w:val="lowerLetter"/>
      <w:start w:val="1"/>
    </w:lvl>
  </w:abstractNum>
  <w:abstractNum w:abstractNumId="305">
    <w:nsid w:val="331C4250"/>
    <w:multiLevelType w:val="hybridMultilevel"/>
    <w:lvl w:ilvl="0">
      <w:lvlJc w:val="left"/>
      <w:lvlText w:val="(%1)"/>
      <w:numFmt w:val="lowerLetter"/>
      <w:start w:val="2"/>
    </w:lvl>
  </w:abstractNum>
  <w:abstractNum w:abstractNumId="306">
    <w:nsid w:val="1B1493C2"/>
    <w:multiLevelType w:val="hybridMultilevel"/>
    <w:lvl w:ilvl="0">
      <w:lvlJc w:val="left"/>
      <w:lvlText w:val="(%1)"/>
      <w:numFmt w:val="lowerLetter"/>
      <w:start w:val="1"/>
    </w:lvl>
  </w:abstractNum>
  <w:abstractNum w:abstractNumId="307">
    <w:nsid w:val="39F06DFD"/>
    <w:multiLevelType w:val="hybridMultilevel"/>
    <w:lvl w:ilvl="0">
      <w:lvlJc w:val="left"/>
      <w:lvlText w:val="(%1)"/>
      <w:numFmt w:val="lowerLetter"/>
      <w:start w:val="1"/>
    </w:lvl>
  </w:abstractNum>
  <w:abstractNum w:abstractNumId="308">
    <w:nsid w:val="14802F5D"/>
    <w:multiLevelType w:val="hybridMultilevel"/>
    <w:lvl w:ilvl="0">
      <w:lvlJc w:val="left"/>
      <w:lvlText w:val="(%1)"/>
      <w:numFmt w:val="upperLetter"/>
      <w:start w:val="1"/>
    </w:lvl>
  </w:abstractNum>
  <w:abstractNum w:abstractNumId="309">
    <w:nsid w:val="2774A209"/>
    <w:multiLevelType w:val="hybridMultilevel"/>
    <w:lvl w:ilvl="0">
      <w:lvlJc w:val="left"/>
      <w:lvlText w:val="(%1)"/>
      <w:numFmt w:val="lowerLetter"/>
      <w:start w:val="1"/>
    </w:lvl>
  </w:abstractNum>
  <w:abstractNum w:abstractNumId="310">
    <w:nsid w:val="3785655A"/>
    <w:multiLevelType w:val="hybridMultilevel"/>
    <w:lvl w:ilvl="0">
      <w:lvlJc w:val="left"/>
      <w:lvlText w:val="(%1)"/>
      <w:numFmt w:val="lowerLetter"/>
      <w:start w:val="1"/>
    </w:lvl>
  </w:abstractNum>
  <w:abstractNum w:abstractNumId="311">
    <w:nsid w:val="B2172A"/>
    <w:multiLevelType w:val="hybridMultilevel"/>
    <w:lvl w:ilvl="0">
      <w:lvlJc w:val="left"/>
      <w:lvlText w:val="(%1)"/>
      <w:numFmt w:val="lowerLetter"/>
      <w:start w:val="1"/>
    </w:lvl>
  </w:abstractNum>
  <w:abstractNum w:abstractNumId="312">
    <w:nsid w:val="532C34A5"/>
    <w:multiLevelType w:val="hybridMultilevel"/>
    <w:lvl w:ilvl="0">
      <w:lvlJc w:val="left"/>
      <w:lvlText w:val="(%1)"/>
      <w:numFmt w:val="lowerLetter"/>
      <w:start w:val="1"/>
    </w:lvl>
  </w:abstractNum>
  <w:abstractNum w:abstractNumId="313">
    <w:nsid w:val="102809E2"/>
    <w:multiLevelType w:val="hybridMultilevel"/>
    <w:lvl w:ilvl="0">
      <w:lvlJc w:val="left"/>
      <w:lvlText w:val="(%1)"/>
      <w:numFmt w:val="lowerLetter"/>
      <w:start w:val="13"/>
    </w:lvl>
  </w:abstractNum>
  <w:abstractNum w:abstractNumId="314">
    <w:nsid w:val="3B2125A3"/>
    <w:multiLevelType w:val="hybridMultilevel"/>
    <w:lvl w:ilvl="0">
      <w:lvlJc w:val="left"/>
      <w:lvlText w:val="(%1)"/>
      <w:numFmt w:val="lowerLetter"/>
      <w:start w:val="1"/>
    </w:lvl>
  </w:abstractNum>
  <w:abstractNum w:abstractNumId="315">
    <w:nsid w:val="AC68FFB"/>
    <w:multiLevelType w:val="hybridMultilevel"/>
    <w:lvl w:ilvl="0">
      <w:lvlJc w:val="left"/>
      <w:lvlText w:val="(%1)"/>
      <w:numFmt w:val="lowerRoman"/>
      <w:start w:val="2"/>
    </w:lvl>
  </w:abstractNum>
  <w:abstractNum w:abstractNumId="316">
    <w:nsid w:val="63DF3FB7"/>
    <w:multiLevelType w:val="hybridMultilevel"/>
    <w:lvl w:ilvl="0">
      <w:lvlJc w:val="left"/>
      <w:lvlText w:val="%1"/>
      <w:numFmt w:val="lowerLetter"/>
      <w:start w:val="1"/>
    </w:lvl>
    <w:lvl w:ilvl="1">
      <w:lvlJc w:val="left"/>
      <w:lvlText w:val="(%2)"/>
      <w:numFmt w:val="lowerLetter"/>
      <w:start w:val="1"/>
    </w:lvl>
  </w:abstractNum>
  <w:abstractNum w:abstractNumId="317">
    <w:nsid w:val="64996E13"/>
    <w:multiLevelType w:val="hybridMultilevel"/>
    <w:lvl w:ilvl="0">
      <w:lvlJc w:val="left"/>
      <w:lvlText w:val="(%1)"/>
      <w:numFmt w:val="lowerLetter"/>
      <w:start w:val="25"/>
    </w:lvl>
    <w:lvl w:ilvl="1">
      <w:lvlJc w:val="left"/>
      <w:lvlText w:val="(%2)"/>
      <w:numFmt w:val="lowerLetter"/>
      <w:start w:val="3"/>
    </w:lvl>
  </w:abstractNum>
  <w:abstractNum w:abstractNumId="318">
    <w:nsid w:val="57A37D47"/>
    <w:multiLevelType w:val="hybridMultilevel"/>
    <w:lvl w:ilvl="0">
      <w:lvlJc w:val="left"/>
      <w:lvlText w:val="(%1)"/>
      <w:numFmt w:val="lowerLetter"/>
      <w:start w:val="9"/>
    </w:lvl>
    <w:lvl w:ilvl="1">
      <w:lvlJc w:val="left"/>
      <w:lvlText w:val="%2"/>
      <w:numFmt w:val="lowerLetter"/>
      <w:start w:val="1"/>
    </w:lvl>
  </w:abstractNum>
  <w:abstractNum w:abstractNumId="319">
    <w:nsid w:val="74824D54"/>
    <w:multiLevelType w:val="hybridMultilevel"/>
    <w:lvl w:ilvl="0">
      <w:lvlJc w:val="left"/>
      <w:lvlText w:val="(%1)"/>
      <w:numFmt w:val="lowerLetter"/>
      <w:start w:val="4"/>
    </w:lvl>
  </w:abstractNum>
  <w:abstractNum w:abstractNumId="320">
    <w:nsid w:val="6F00529A"/>
    <w:multiLevelType w:val="hybridMultilevel"/>
    <w:lvl w:ilvl="0">
      <w:lvlJc w:val="left"/>
      <w:lvlText w:val="(%1)"/>
      <w:numFmt w:val="lowerLetter"/>
      <w:start w:val="1"/>
    </w:lvl>
  </w:abstractNum>
  <w:abstractNum w:abstractNumId="321">
    <w:nsid w:val="805B331"/>
    <w:multiLevelType w:val="hybridMultilevel"/>
    <w:lvl w:ilvl="0">
      <w:lvlJc w:val="left"/>
      <w:lvlText w:val="(%1)"/>
      <w:numFmt w:val="lowerLetter"/>
      <w:start w:val="3"/>
    </w:lvl>
  </w:abstractNum>
  <w:abstractNum w:abstractNumId="322">
    <w:nsid w:val="60A1463"/>
    <w:multiLevelType w:val="hybridMultilevel"/>
    <w:lvl w:ilvl="0">
      <w:lvlJc w:val="left"/>
      <w:lvlText w:val="(%1)"/>
      <w:numFmt w:val="lowerLetter"/>
      <w:start w:val="1"/>
    </w:lvl>
  </w:abstractNum>
  <w:abstractNum w:abstractNumId="323">
    <w:nsid w:val="43773132"/>
    <w:multiLevelType w:val="hybridMultilevel"/>
    <w:lvl w:ilvl="0">
      <w:lvlJc w:val="left"/>
      <w:lvlText w:val="(%1)"/>
      <w:numFmt w:val="lowerLetter"/>
      <w:start w:val="10"/>
    </w:lvl>
  </w:abstractNum>
  <w:abstractNum w:abstractNumId="324">
    <w:nsid w:val="16AC4B23"/>
    <w:multiLevelType w:val="hybridMultilevel"/>
    <w:lvl w:ilvl="0">
      <w:lvlJc w:val="left"/>
      <w:lvlText w:val="(%1)"/>
      <w:numFmt w:val="lowerLetter"/>
      <w:start w:val="1"/>
    </w:lvl>
  </w:abstractNum>
  <w:abstractNum w:abstractNumId="325">
    <w:nsid w:val="76C44E4E"/>
    <w:multiLevelType w:val="hybridMultilevel"/>
    <w:lvl w:ilvl="0">
      <w:lvlJc w:val="left"/>
      <w:lvlText w:val="(%1)"/>
      <w:numFmt w:val="lowerLetter"/>
      <w:start w:val="1"/>
    </w:lvl>
  </w:abstractNum>
  <w:abstractNum w:abstractNumId="326">
    <w:nsid w:val="E04E6CE"/>
    <w:multiLevelType w:val="hybridMultilevel"/>
    <w:lvl w:ilvl="0">
      <w:lvlJc w:val="left"/>
      <w:lvlText w:val="(%1)"/>
      <w:numFmt w:val="lowerLetter"/>
      <w:start w:val="1"/>
    </w:lvl>
  </w:abstractNum>
  <w:abstractNum w:abstractNumId="327">
    <w:nsid w:val="31A9DB76"/>
    <w:multiLevelType w:val="hybridMultilevel"/>
    <w:lvl w:ilvl="0">
      <w:lvlJc w:val="left"/>
      <w:lvlText w:val="(%1)"/>
      <w:numFmt w:val="lowerLetter"/>
      <w:start w:val="2"/>
    </w:lvl>
  </w:abstractNum>
  <w:abstractNum w:abstractNumId="328">
    <w:nsid w:val="4C4FFF5B"/>
    <w:multiLevelType w:val="hybridMultilevel"/>
    <w:lvl w:ilvl="0">
      <w:lvlJc w:val="left"/>
      <w:lvlText w:val="(%1)"/>
      <w:numFmt w:val="lowerLetter"/>
      <w:start w:val="2"/>
    </w:lvl>
  </w:abstractNum>
  <w:abstractNum w:abstractNumId="329">
    <w:nsid w:val="51B76675"/>
    <w:multiLevelType w:val="hybridMultilevel"/>
    <w:lvl w:ilvl="0">
      <w:lvlJc w:val="left"/>
      <w:lvlText w:val="(%1)"/>
      <w:numFmt w:val="lowerLetter"/>
      <w:start w:val="1"/>
    </w:lvl>
  </w:abstractNum>
  <w:abstractNum w:abstractNumId="330">
    <w:nsid w:val="59A4BA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1">
    <w:nsid w:val="450B7FB6"/>
    <w:multiLevelType w:val="hybridMultilevel"/>
    <w:lvl w:ilvl="0">
      <w:lvlJc w:val="left"/>
      <w:lvlText w:val="%1"/>
      <w:numFmt w:val="lowerLetter"/>
      <w:start w:val="1"/>
    </w:lvl>
    <w:lvl w:ilvl="1">
      <w:lvlJc w:val="left"/>
      <w:lvlText w:val="(%2)"/>
      <w:numFmt w:val="lowerRoman"/>
      <w:start w:val="2"/>
    </w:lvl>
  </w:abstractNum>
  <w:abstractNum w:abstractNumId="332">
    <w:nsid w:val="340BF64D"/>
    <w:multiLevelType w:val="hybridMultilevel"/>
    <w:lvl w:ilvl="0">
      <w:lvlJc w:val="left"/>
      <w:lvlText w:val="(%1)"/>
      <w:numFmt w:val="lowerLetter"/>
      <w:start w:val="2"/>
    </w:lvl>
    <w:lvl w:ilvl="1">
      <w:lvlJc w:val="left"/>
      <w:lvlText w:val="%2"/>
      <w:numFmt w:val="lowerRoman"/>
      <w:start w:val="1"/>
    </w:lvl>
  </w:abstractNum>
  <w:abstractNum w:abstractNumId="333">
    <w:nsid w:val="69454021"/>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34">
    <w:nsid w:val="49F15C6B"/>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35">
    <w:nsid w:val="75F5622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36">
    <w:nsid w:val="1C618271"/>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337">
    <w:nsid w:val="6505F02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38">
    <w:nsid w:val="2FE5D025"/>
    <w:multiLevelType w:val="hybridMultilevel"/>
    <w:lvl w:ilvl="0">
      <w:lvlJc w:val="left"/>
      <w:lvlText w:val="%1."/>
      <w:numFmt w:val="decimal"/>
      <w:start w:val="5"/>
    </w:lvl>
  </w:abstractNum>
  <w:abstractNum w:abstractNumId="339">
    <w:nsid w:val="30E1B1CF"/>
    <w:multiLevelType w:val="hybridMultilevel"/>
    <w:lvl w:ilvl="0">
      <w:lvlJc w:val="left"/>
      <w:lvlText w:val="%1."/>
      <w:numFmt w:val="decimal"/>
      <w:start w:val="8"/>
    </w:lvl>
  </w:abstractNum>
  <w:abstractNum w:abstractNumId="340">
    <w:nsid w:val="C7A9237"/>
    <w:multiLevelType w:val="hybridMultilevel"/>
    <w:lvl w:ilvl="0">
      <w:lvlJc w:val="left"/>
      <w:lvlText w:val="%1."/>
      <w:numFmt w:val="decimal"/>
      <w:start w:val="1"/>
    </w:lvl>
  </w:abstractNum>
  <w:abstractNum w:abstractNumId="341">
    <w:nsid w:val="676B35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2">
    <w:nsid w:val="3193C8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3">
    <w:nsid w:val="5FA6C6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4">
    <w:nsid w:val="77933F6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5">
    <w:nsid w:val="6CB4EE9C"/>
    <w:multiLevelType w:val="hybridMultilevel"/>
    <w:lvl w:ilvl="0">
      <w:lvlJc w:val="left"/>
      <w:lvlText w:val="(%1)"/>
      <w:numFmt w:val="lowerLetter"/>
      <w:start w:val="3"/>
    </w:lvl>
  </w:abstractNum>
  <w:abstractNum w:abstractNumId="346">
    <w:nsid w:val="6A6D56D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47">
    <w:nsid w:val="5B727F19"/>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2"/>
    </w:lvl>
  </w:abstractNum>
  <w:abstractNum w:abstractNumId="348">
    <w:nsid w:val="514E5CB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49">
    <w:nsid w:val="4210D41E"/>
    <w:multiLevelType w:val="hybridMultilevel"/>
    <w:lvl w:ilvl="0">
      <w:lvlJc w:val="left"/>
      <w:lvlText w:val="(%1)"/>
      <w:numFmt w:val="lowerLetter"/>
      <w:start w:val="2"/>
    </w:lvl>
  </w:abstractNum>
  <w:abstractNum w:abstractNumId="350">
    <w:nsid w:val="4FF4CC6D"/>
    <w:multiLevelType w:val="hybridMultilevel"/>
    <w:lvl w:ilvl="0">
      <w:lvlJc w:val="left"/>
      <w:lvlText w:val="(%1)"/>
      <w:numFmt w:val="lowerLetter"/>
      <w:start w:val="9"/>
    </w:lvl>
  </w:abstractNum>
  <w:abstractNum w:abstractNumId="351">
    <w:nsid w:val="404EAF4A"/>
    <w:multiLevelType w:val="hybridMultilevel"/>
    <w:lvl w:ilvl="0">
      <w:lvlJc w:val="left"/>
      <w:lvlText w:val="%1"/>
      <w:numFmt w:val="decimal"/>
      <w:start w:val="1"/>
    </w:lvl>
    <w:lvl w:ilvl="1">
      <w:lvlJc w:val="left"/>
      <w:lvlText w:val="(%2)"/>
      <w:numFmt w:val="lowerLetter"/>
      <w:start w:val="18"/>
    </w:lvl>
  </w:abstractNum>
  <w:abstractNum w:abstractNumId="352">
    <w:nsid w:val="4A16874F"/>
    <w:multiLevelType w:val="hybridMultilevel"/>
    <w:lvl w:ilvl="0">
      <w:lvlJc w:val="left"/>
      <w:lvlText w:val="%1."/>
      <w:numFmt w:val="decimal"/>
      <w:start w:val="7"/>
    </w:lvl>
    <w:lvl w:ilvl="1">
      <w:lvlJc w:val="left"/>
      <w:lvlText w:val="(%2)"/>
      <w:numFmt w:val="lowerLetter"/>
      <w:start w:val="1"/>
    </w:lvl>
  </w:abstractNum>
  <w:abstractNum w:abstractNumId="353">
    <w:nsid w:val="55FEE0D1"/>
    <w:multiLevelType w:val="hybridMultilevel"/>
    <w:lvl w:ilvl="0">
      <w:lvlJc w:val="left"/>
      <w:lvlText w:val="(%1)"/>
      <w:numFmt w:val="lowerLetter"/>
      <w:start w:val="3"/>
    </w:lvl>
  </w:abstractNum>
  <w:abstractNum w:abstractNumId="354">
    <w:nsid w:val="3C5E07C"/>
    <w:multiLevelType w:val="hybridMultilevel"/>
    <w:lvl w:ilvl="0">
      <w:lvlJc w:val="left"/>
      <w:lvlText w:val="%1"/>
      <w:numFmt w:val="decimal"/>
      <w:start w:val="1"/>
    </w:lvl>
    <w:lvl w:ilvl="1">
      <w:lvlJc w:val="left"/>
      <w:lvlText w:val="(%2)"/>
      <w:numFmt w:val="lowerLetter"/>
      <w:start w:val="6"/>
    </w:lvl>
  </w:abstractNum>
  <w:abstractNum w:abstractNumId="355">
    <w:nsid w:val="60C2D273"/>
    <w:multiLevelType w:val="hybridMultilevel"/>
    <w:lvl w:ilvl="0">
      <w:lvlJc w:val="left"/>
      <w:lvlText w:val="%1."/>
      <w:numFmt w:val="decimal"/>
      <w:start w:val="8"/>
    </w:lvl>
    <w:lvl w:ilvl="1">
      <w:lvlJc w:val="left"/>
      <w:lvlText w:val="%2"/>
      <w:numFmt w:val="lowerLetter"/>
      <w:start w:val="1"/>
    </w:lvl>
  </w:abstractNum>
  <w:abstractNum w:abstractNumId="356">
    <w:nsid w:val="4CC32F1F"/>
    <w:multiLevelType w:val="hybridMultilevel"/>
    <w:lvl w:ilvl="0">
      <w:lvlJc w:val="left"/>
      <w:lvlText w:val="%1."/>
      <w:numFmt w:val="decimal"/>
      <w:start w:val="10"/>
    </w:lvl>
    <w:lvl w:ilvl="1">
      <w:lvlJc w:val="left"/>
      <w:lvlText w:val="(%2)"/>
      <w:numFmt w:val="lowerLetter"/>
      <w:start w:val="1"/>
    </w:lvl>
  </w:abstractNum>
  <w:abstractNum w:abstractNumId="357">
    <w:nsid w:val="11CAC74A"/>
    <w:multiLevelType w:val="hybridMultilevel"/>
    <w:lvl w:ilvl="0">
      <w:lvlJc w:val="left"/>
      <w:lvlText w:val="(%1)"/>
      <w:numFmt w:val="lowerLetter"/>
      <w:start w:val="8"/>
    </w:lvl>
  </w:abstractNum>
  <w:abstractNum w:abstractNumId="358">
    <w:nsid w:val="126CADE9"/>
    <w:multiLevelType w:val="hybridMultilevel"/>
    <w:lvl w:ilvl="0">
      <w:lvlJc w:val="left"/>
      <w:lvlText w:val="(%1)"/>
      <w:numFmt w:val="lowerLetter"/>
      <w:start w:val="13"/>
    </w:lvl>
  </w:abstractNum>
  <w:abstractNum w:abstractNumId="359">
    <w:nsid w:val="19132E7B"/>
    <w:multiLevelType w:val="hybridMultilevel"/>
    <w:lvl w:ilvl="0">
      <w:lvlJc w:val="left"/>
      <w:lvlText w:val="%1."/>
      <w:numFmt w:val="decimal"/>
      <w:start w:val="11"/>
    </w:lvl>
  </w:abstractNum>
  <w:abstractNum w:abstractNumId="360">
    <w:nsid w:val="63822DC0"/>
    <w:multiLevelType w:val="hybridMultilevel"/>
    <w:lvl w:ilvl="0">
      <w:lvlJc w:val="left"/>
      <w:lvlText w:val="%1."/>
      <w:numFmt w:val="upperLetter"/>
      <w:start w:val="1"/>
    </w:lvl>
    <w:lvl w:ilvl="1">
      <w:lvlJc w:val="left"/>
      <w:lvlText w:val="☐"/>
      <w:numFmt w:val="bullet"/>
      <w:start w:val="1"/>
    </w:lvl>
  </w:abstractNum>
  <w:abstractNum w:abstractNumId="361">
    <w:nsid w:val="6C11685A"/>
    <w:multiLevelType w:val="hybridMultilevel"/>
    <w:lvl w:ilvl="0">
      <w:lvlJc w:val="left"/>
      <w:lvlText w:val="%1."/>
      <w:numFmt w:val="decimal"/>
      <w:start w:val="1"/>
    </w:lvl>
  </w:abstractNum>
  <w:abstractNum w:abstractNumId="362">
    <w:nsid w:val="5E1EAE31"/>
    <w:multiLevelType w:val="hybridMultilevel"/>
    <w:lvl w:ilvl="0">
      <w:lvlJc w:val="left"/>
      <w:lvlText w:val="%1."/>
      <w:numFmt w:val="upperLetter"/>
      <w:start w:val="2"/>
    </w:lvl>
    <w:lvl w:ilvl="1">
      <w:lvlJc w:val="left"/>
      <w:lvlText w:val="☐"/>
      <w:numFmt w:val="bullet"/>
      <w:start w:val="1"/>
    </w:lvl>
  </w:abstractNum>
  <w:abstractNum w:abstractNumId="363">
    <w:nsid w:val="178E240D"/>
    <w:multiLevelType w:val="hybridMultilevel"/>
    <w:lvl w:ilvl="0">
      <w:lvlJc w:val="left"/>
      <w:lvlText w:val="%1."/>
      <w:numFmt w:val="decimal"/>
      <w:start w:val="1"/>
    </w:lvl>
  </w:abstractNum>
  <w:abstractNum w:abstractNumId="364">
    <w:nsid w:val="5556A87B"/>
    <w:multiLevelType w:val="hybridMultilevel"/>
    <w:lvl w:ilvl="0">
      <w:lvlJc w:val="left"/>
      <w:lvlText w:val="☐"/>
      <w:numFmt w:val="bullet"/>
      <w:start w:val="1"/>
    </w:lvl>
  </w:abstractNum>
  <w:abstractNum w:abstractNumId="365">
    <w:nsid w:val="28100A9C"/>
    <w:multiLevelType w:val="hybridMultilevel"/>
    <w:lvl w:ilvl="0">
      <w:lvlJc w:val="left"/>
      <w:lvlText w:val="%1"/>
      <w:numFmt w:val="lowerLetter"/>
      <w:start w:val="1"/>
    </w:lvl>
    <w:lvl w:ilvl="1">
      <w:lvlJc w:val="left"/>
      <w:lvlText w:val="%2."/>
      <w:numFmt w:val="decimal"/>
      <w:start w:val="1"/>
    </w:lvl>
  </w:abstractNum>
  <w:abstractNum w:abstractNumId="366">
    <w:nsid w:val="D838636"/>
    <w:multiLevelType w:val="hybridMultilevel"/>
    <w:lvl w:ilvl="0">
      <w:lvlJc w:val="left"/>
      <w:lvlText w:val="(%1)"/>
      <w:numFmt w:val="lowerLetter"/>
      <w:start w:val="2"/>
    </w:lvl>
    <w:lvl w:ilvl="1">
      <w:lvlJc w:val="left"/>
      <w:lvlText w:val="%2."/>
      <w:numFmt w:val="decimal"/>
      <w:start w:val="3"/>
    </w:lvl>
  </w:abstractNum>
  <w:abstractNum w:abstractNumId="367">
    <w:nsid w:val="71B82AED"/>
    <w:multiLevelType w:val="hybridMultilevel"/>
    <w:lvl w:ilvl="0">
      <w:lvlJc w:val="left"/>
      <w:lvlText w:val="%1."/>
      <w:numFmt w:val="decimal"/>
      <w:start w:val="4"/>
    </w:lvl>
    <w:lvl w:ilvl="1">
      <w:lvlJc w:val="left"/>
      <w:lvlText w:val="(%2)"/>
      <w:numFmt w:val="lowerLetter"/>
      <w:start w:val="1"/>
    </w:lvl>
  </w:abstractNum>
  <w:abstractNum w:abstractNumId="368">
    <w:nsid w:val="D15FACA"/>
    <w:multiLevelType w:val="hybridMultilevel"/>
    <w:lvl w:ilvl="0">
      <w:lvlJc w:val="left"/>
      <w:lvlText w:val="(%1)"/>
      <w:numFmt w:val="lowerLetter"/>
      <w:start w:val="3"/>
    </w:lvl>
  </w:abstractNum>
  <w:abstractNum w:abstractNumId="369">
    <w:nsid w:val="3D69565B"/>
    <w:multiLevelType w:val="hybridMultilevel"/>
    <w:lvl w:ilvl="0">
      <w:lvlJc w:val="left"/>
      <w:lvlText w:val="(%1)"/>
      <w:numFmt w:val="lowerLetter"/>
      <w:start w:val="8"/>
    </w:lvl>
  </w:abstractNum>
  <w:abstractNum w:abstractNumId="370">
    <w:nsid w:val="2299DCBC"/>
    <w:multiLevelType w:val="hybridMultilevel"/>
    <w:lvl w:ilvl="0">
      <w:lvlJc w:val="left"/>
      <w:lvlText w:val="%1."/>
      <w:numFmt w:val="decimal"/>
      <w:start w:val="1"/>
    </w:lvl>
  </w:abstractNum>
  <w:abstractNum w:abstractNumId="371">
    <w:nsid w:val="19908D02"/>
    <w:multiLevelType w:val="hybridMultilevel"/>
    <w:lvl w:ilvl="0">
      <w:lvlJc w:val="left"/>
      <w:lvlText w:val="%1."/>
      <w:numFmt w:val="decimal"/>
      <w:start w:val="3"/>
    </w:lvl>
  </w:abstractNum>
  <w:abstractNum w:abstractNumId="372">
    <w:nsid w:val="24D48BDB"/>
    <w:multiLevelType w:val="hybridMultilevel"/>
    <w:lvl w:ilvl="0">
      <w:lvlJc w:val="left"/>
      <w:lvlText w:val="%1."/>
      <w:numFmt w:val="decimal"/>
      <w:start w:val="10"/>
    </w:lvl>
  </w:abstractNum>
  <w:abstractNum w:abstractNumId="373">
    <w:nsid w:val="542DA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4">
    <w:nsid w:val="793753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5">
    <w:nsid w:val="1C67CB3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76">
    <w:nsid w:val="40E29452"/>
    <w:multiLevelType w:val="hybridMultilevel"/>
    <w:lvl w:ilvl="0">
      <w:lvlJc w:val="left"/>
      <w:lvlText w:val="%1"/>
      <w:numFmt w:val="decimal"/>
      <w:start w:val="1"/>
    </w:lvl>
    <w:lvl w:ilvl="1">
      <w:lvlJc w:val="left"/>
      <w:lvlText w:val="(%2)"/>
      <w:numFmt w:val="lowerLetter"/>
      <w:start w:val="2"/>
    </w:lvl>
  </w:abstractNum>
  <w:abstractNum w:abstractNumId="377">
    <w:nsid w:val="63A4AAB6"/>
    <w:multiLevelType w:val="hybridMultilevel"/>
    <w:lvl w:ilvl="0">
      <w:lvlJc w:val="left"/>
      <w:lvlText w:val="%1."/>
      <w:numFmt w:val="decimal"/>
      <w:start w:val="6"/>
    </w:lvl>
    <w:lvl w:ilvl="1">
      <w:lvlJc w:val="left"/>
      <w:lvlText w:val="(%2)"/>
      <w:numFmt w:val="lowerLetter"/>
      <w:start w:val="1"/>
    </w:lvl>
  </w:abstractNum>
  <w:abstractNum w:abstractNumId="378">
    <w:nsid w:val="77DA4A57"/>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79">
    <w:nsid w:val="1230F10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80">
    <w:nsid w:val="25B57ED4"/>
    <w:multiLevelType w:val="hybridMultilevel"/>
    <w:lvl w:ilvl="0">
      <w:lvlJc w:val="left"/>
      <w:lvlText w:val="%1."/>
      <w:numFmt w:val="decimal"/>
      <w:start w:val="10"/>
    </w:lvl>
    <w:lvl w:ilvl="1">
      <w:lvlJc w:val="left"/>
      <w:lvlText w:val="(%2)"/>
      <w:numFmt w:val="lowerLetter"/>
      <w:start w:val="1"/>
    </w:lvl>
  </w:abstractNum>
  <w:abstractNum w:abstractNumId="381">
    <w:nsid w:val="47CF16C4"/>
    <w:multiLevelType w:val="hybridMultilevel"/>
    <w:lvl w:ilvl="0">
      <w:lvlJc w:val="left"/>
      <w:lvlText w:val="(%1)"/>
      <w:numFmt w:val="lowerRoman"/>
      <w:start w:val="4"/>
    </w:lvl>
  </w:abstractNum>
  <w:abstractNum w:abstractNumId="382">
    <w:nsid w:val="527FA04C"/>
    <w:multiLevelType w:val="hybridMultilevel"/>
    <w:lvl w:ilvl="0">
      <w:lvlJc w:val="left"/>
      <w:lvlText w:val="(%1)"/>
      <w:numFmt w:val="lowerRoman"/>
      <w:start w:val="1"/>
    </w:lvl>
  </w:abstractNum>
  <w:abstractNum w:abstractNumId="383">
    <w:nsid w:val="6FCC0624"/>
    <w:multiLevelType w:val="hybridMultilevel"/>
    <w:lvl w:ilvl="0">
      <w:lvlJc w:val="left"/>
      <w:lvlText w:val="1"/>
      <w:numFmt w:val="bullet"/>
      <w:start w:val="1"/>
    </w:lvl>
  </w:abstractNum>
  <w:abstractNum w:abstractNumId="384">
    <w:nsid w:val="1DCDF795"/>
    <w:multiLevelType w:val="hybridMultilevel"/>
    <w:lvl w:ilvl="0">
      <w:lvlJc w:val="left"/>
      <w:lvlText w:val="(%1)"/>
      <w:numFmt w:val="lowerLetter"/>
      <w:start w:val="1"/>
    </w:lvl>
    <w:lvl w:ilvl="1">
      <w:lvlJc w:val="left"/>
      <w:lvlText w:val="(%2)"/>
      <w:numFmt w:val="lowerLetter"/>
      <w:start w:val="9"/>
    </w:lvl>
  </w:abstractNum>
  <w:abstractNum w:abstractNumId="385">
    <w:nsid w:val="564580C8"/>
    <w:multiLevelType w:val="hybridMultilevel"/>
    <w:lvl w:ilvl="0">
      <w:lvlJc w:val="left"/>
      <w:lvlText w:val="2"/>
      <w:numFmt w:val="bullet"/>
      <w:start w:val="1"/>
    </w:lvl>
  </w:abstractNum>
  <w:abstractNum w:abstractNumId="386">
    <w:nsid w:val="508ED897"/>
    <w:multiLevelType w:val="hybridMultilevel"/>
    <w:lvl w:ilvl="0">
      <w:lvlJc w:val="left"/>
      <w:lvlText w:val="%1"/>
      <w:numFmt w:val="lowerLetter"/>
      <w:start w:val="1"/>
    </w:lvl>
    <w:lvl w:ilvl="1">
      <w:lvlJc w:val="left"/>
      <w:lvlText w:val="(%2)"/>
      <w:numFmt w:val="lowerLetter"/>
      <w:start w:val="35"/>
    </w:lvl>
  </w:abstractNum>
  <w:abstractNum w:abstractNumId="387">
    <w:nsid w:val="6A9126B5"/>
    <w:multiLevelType w:val="hybridMultilevel"/>
    <w:lvl w:ilvl="0">
      <w:lvlJc w:val="left"/>
      <w:lvlText w:val="(%1)"/>
      <w:numFmt w:val="lowerLetter"/>
      <w:start w:val="2"/>
    </w:lvl>
    <w:lvl w:ilvl="1">
      <w:lvlJc w:val="left"/>
      <w:lvlText w:val="%2"/>
      <w:numFmt w:val="lowerLetter"/>
      <w:start w:val="1"/>
    </w:lvl>
  </w:abstractNum>
  <w:abstractNum w:abstractNumId="388">
    <w:nsid w:val="68104812"/>
    <w:multiLevelType w:val="hybridMultilevel"/>
    <w:lvl w:ilvl="0">
      <w:lvlJc w:val="left"/>
      <w:lvlText w:val="(%1)"/>
      <w:numFmt w:val="lowerLetter"/>
      <w:start w:val="35"/>
    </w:lvl>
  </w:abstractNum>
  <w:abstractNum w:abstractNumId="389">
    <w:nsid w:val="62FB8680"/>
    <w:multiLevelType w:val="hybridMultilevel"/>
    <w:lvl w:ilvl="0">
      <w:lvlJc w:val="left"/>
      <w:lvlText w:val="(%1)"/>
      <w:numFmt w:val="lowerLetter"/>
      <w:start w:val="25"/>
    </w:lvl>
  </w:abstractNum>
  <w:abstractNum w:abstractNumId="390">
    <w:nsid w:val="3A45530"/>
    <w:multiLevelType w:val="hybridMultilevel"/>
    <w:lvl w:ilvl="0">
      <w:lvlJc w:val="left"/>
      <w:lvlText w:val="(%1)"/>
      <w:numFmt w:val="lowerLetter"/>
      <w:start w:val="1"/>
    </w:lvl>
  </w:abstractNum>
  <w:abstractNum w:abstractNumId="391">
    <w:nsid w:val="4B9275D2"/>
    <w:multiLevelType w:val="hybridMultilevel"/>
    <w:lvl w:ilvl="0">
      <w:lvlJc w:val="left"/>
      <w:lvlText w:val="(%1)"/>
      <w:numFmt w:val="decimal"/>
      <w:start w:val="90"/>
    </w:lvl>
  </w:abstractNum>
  <w:abstractNum w:abstractNumId="392">
    <w:nsid w:val="4F0CEEDB"/>
    <w:multiLevelType w:val="hybridMultilevel"/>
    <w:lvl w:ilvl="0">
      <w:lvlJc w:val="left"/>
      <w:lvlText w:val="(%1)"/>
      <w:numFmt w:val="upperLetter"/>
      <w:start w:val="2"/>
    </w:lvl>
  </w:abstractNum>
  <w:abstractNum w:abstractNumId="393">
    <w:nsid w:val="61C30361"/>
    <w:multiLevelType w:val="hybridMultilevel"/>
    <w:lvl w:ilvl="0">
      <w:lvlJc w:val="left"/>
      <w:lvlText w:val="(%1)"/>
      <w:numFmt w:val="upperLetter"/>
      <w:start w:val="2"/>
    </w:lvl>
  </w:abstractNum>
  <w:abstractNum w:abstractNumId="394">
    <w:nsid w:val="632099E0"/>
    <w:multiLevelType w:val="hybridMultilevel"/>
    <w:lvl w:ilvl="0">
      <w:lvlJc w:val="left"/>
      <w:lvlText w:val="%1."/>
      <w:numFmt w:val="decimal"/>
      <w:start w:val="1"/>
    </w:lvl>
  </w:abstractNum>
  <w:abstractNum w:abstractNumId="395">
    <w:nsid w:val="24639756"/>
    <w:multiLevelType w:val="hybridMultilevel"/>
    <w:lvl w:ilvl="0">
      <w:lvlJc w:val="left"/>
      <w:lvlText w:val="(%1)"/>
      <w:numFmt w:val="lowerLetter"/>
      <w:start w:val="1"/>
    </w:lvl>
  </w:abstractNum>
  <w:abstractNum w:abstractNumId="396">
    <w:nsid w:val="9D30DFD"/>
    <w:multiLevelType w:val="hybridMultilevel"/>
    <w:lvl w:ilvl="0">
      <w:lvlJc w:val="left"/>
      <w:lvlText w:val="%1"/>
      <w:numFmt w:val="upperLetter"/>
      <w:start w:val="1"/>
    </w:lvl>
    <w:lvl w:ilvl="1">
      <w:lvlJc w:val="left"/>
      <w:lvlText w:val="(%2)"/>
      <w:numFmt w:val="lowerLetter"/>
      <w:start w:val="2"/>
    </w:lvl>
  </w:abstractNum>
  <w:abstractNum w:abstractNumId="397">
    <w:nsid w:val="70A42016"/>
    <w:multiLevelType w:val="hybridMultilevel"/>
    <w:lvl w:ilvl="0">
      <w:lvlJc w:val="left"/>
      <w:lvlText w:val="%1."/>
      <w:numFmt w:val="upperLetter"/>
      <w:start w:val="2"/>
    </w:lvl>
    <w:lvl w:ilvl="1">
      <w:lvlJc w:val="left"/>
      <w:lvlText w:val="%2"/>
      <w:numFmt w:val="lowerLetter"/>
      <w:start w:val="1"/>
    </w:lvl>
  </w:abstractNum>
  <w:abstractNum w:abstractNumId="398">
    <w:nsid w:val="161BC243"/>
    <w:multiLevelType w:val="hybridMultilevel"/>
    <w:lvl w:ilvl="0">
      <w:lvlJc w:val="left"/>
      <w:lvlText w:val="%1."/>
      <w:numFmt w:val="decimal"/>
      <w:start w:val="1"/>
    </w:lvl>
  </w:abstractNum>
  <w:abstractNum w:abstractNumId="399">
    <w:nsid w:val="16E908C8"/>
    <w:multiLevelType w:val="hybridMultilevel"/>
    <w:lvl w:ilvl="0">
      <w:lvlJc w:val="left"/>
      <w:lvlText w:val="%1."/>
      <w:numFmt w:val="decimal"/>
      <w:start w:val="1"/>
    </w:lvl>
  </w:abstractNum>
  <w:abstractNum w:abstractNumId="400">
    <w:nsid w:val="2E0D7671"/>
    <w:multiLevelType w:val="hybridMultilevel"/>
    <w:lvl w:ilvl="0">
      <w:lvlJc w:val="left"/>
      <w:lvlText w:val="%1"/>
      <w:numFmt w:val="lowerRoman"/>
      <w:start w:val="1"/>
    </w:lvl>
    <w:lvl w:ilvl="1">
      <w:lvlJc w:val="left"/>
      <w:lvlText w:val="%2."/>
      <w:numFmt w:val="decimal"/>
      <w:start w:val="4"/>
    </w:lvl>
  </w:abstractNum>
  <w:abstractNum w:abstractNumId="401">
    <w:nsid w:val="38B59EFF"/>
    <w:multiLevelType w:val="hybridMultilevel"/>
    <w:lvl w:ilvl="0">
      <w:lvlJc w:val="left"/>
      <w:lvlText w:val="(%1)"/>
      <w:numFmt w:val="lowerRoman"/>
      <w:start w:val="2"/>
    </w:lvl>
    <w:lvl w:ilvl="1">
      <w:lvlJc w:val="left"/>
      <w:lvlText w:val="%2"/>
      <w:numFmt w:val="decimal"/>
      <w:start w:val="1"/>
    </w:lvl>
  </w:abstractNum>
  <w:abstractNum w:abstractNumId="402">
    <w:nsid w:val="307995CA"/>
    <w:multiLevelType w:val="hybridMultilevel"/>
    <w:lvl w:ilvl="0">
      <w:lvlJc w:val="left"/>
      <w:lvlText w:val="%1"/>
      <w:numFmt w:val="lowerLetter"/>
      <w:start w:val="1"/>
    </w:lvl>
    <w:lvl w:ilvl="1">
      <w:lvlJc w:val="left"/>
      <w:lvlText w:val="%2."/>
      <w:numFmt w:val="decimal"/>
      <w:start w:val="1"/>
    </w:lvl>
  </w:abstractNum>
  <w:abstractNum w:abstractNumId="403">
    <w:nsid w:val="52E2024D"/>
    <w:multiLevelType w:val="hybridMultilevel"/>
    <w:lvl w:ilvl="0">
      <w:lvlJc w:val="left"/>
      <w:lvlText w:val="(%1)"/>
      <w:numFmt w:val="lowerLetter"/>
      <w:start w:val="2"/>
    </w:lvl>
    <w:lvl w:ilvl="1">
      <w:lvlJc w:val="left"/>
      <w:lvlText w:val="%2."/>
      <w:numFmt w:val="decimal"/>
      <w:start w:val="2"/>
    </w:lvl>
  </w:abstractNum>
  <w:abstractNum w:abstractNumId="404">
    <w:nsid w:val="CE344B5"/>
    <w:multiLevelType w:val="hybridMultilevel"/>
    <w:lvl w:ilvl="0">
      <w:lvlJc w:val="left"/>
      <w:lvlText w:val="%1."/>
      <w:numFmt w:val="decimal"/>
      <w:start w:val="1"/>
    </w:lvl>
  </w:abstractNum>
  <w:abstractNum w:abstractNumId="405">
    <w:nsid w:val="29B0E9A8"/>
    <w:multiLevelType w:val="hybridMultilevel"/>
    <w:lvl w:ilvl="0">
      <w:lvlJc w:val="left"/>
      <w:lvlText w:val="%1."/>
      <w:numFmt w:val="decimal"/>
      <w:start w:val="1"/>
    </w:lvl>
  </w:abstractNum>
  <w:abstractNum w:abstractNumId="406">
    <w:nsid w:val="6F49CD8A"/>
    <w:multiLevelType w:val="hybridMultilevel"/>
    <w:lvl w:ilvl="0">
      <w:lvlJc w:val="left"/>
      <w:lvlText w:val="(%1)"/>
      <w:numFmt w:val="lowerLetter"/>
      <w:start w:val="1"/>
    </w:lvl>
  </w:abstractNum>
  <w:abstractNum w:abstractNumId="407">
    <w:nsid w:val="4DC5D907"/>
    <w:multiLevelType w:val="hybridMultilevel"/>
    <w:lvl w:ilvl="0">
      <w:lvlJc w:val="left"/>
      <w:lvlText w:val="(%1)"/>
      <w:numFmt w:val="decimal"/>
      <w:start w:val="1"/>
    </w:lvl>
  </w:abstractNum>
  <w:abstractNum w:abstractNumId="408">
    <w:nsid w:val="D55945E"/>
    <w:multiLevelType w:val="hybridMultilevel"/>
    <w:lvl w:ilvl="0">
      <w:lvlJc w:val="left"/>
      <w:lvlText w:val="(%1)"/>
      <w:numFmt w:val="upperLetter"/>
      <w:start w:val="1"/>
    </w:lvl>
  </w:abstractNum>
  <w:abstractNum w:abstractNumId="409">
    <w:nsid w:val="672417E1"/>
    <w:multiLevelType w:val="hybridMultilevel"/>
    <w:lvl w:ilvl="0">
      <w:lvlJc w:val="left"/>
      <w:lvlText w:val="(%1)"/>
      <w:numFmt w:val="upperLetter"/>
      <w:start w:val="4"/>
    </w:lvl>
  </w:abstractNum>
  <w:abstractNum w:abstractNumId="410">
    <w:nsid w:val="5FF6CA09"/>
    <w:multiLevelType w:val="hybridMultilevel"/>
    <w:lvl w:ilvl="0">
      <w:lvlJc w:val="left"/>
      <w:lvlText w:val="(%1)"/>
      <w:numFmt w:val="decimal"/>
      <w:start w:val="3"/>
    </w:lvl>
  </w:abstractNum>
  <w:abstractNum w:abstractNumId="411">
    <w:nsid w:val="330B1333"/>
    <w:multiLevelType w:val="hybridMultilevel"/>
    <w:lvl w:ilvl="0">
      <w:lvlJc w:val="left"/>
      <w:lvlText w:val="(%1)"/>
      <w:numFmt w:val="lowerLetter"/>
      <w:start w:val="2"/>
    </w:lvl>
  </w:abstractNum>
  <w:abstractNum w:abstractNumId="412">
    <w:nsid w:val="2EF32EA6"/>
    <w:multiLevelType w:val="hybridMultilevel"/>
    <w:lvl w:ilvl="0">
      <w:lvlJc w:val="left"/>
      <w:lvlText w:val="(%1)"/>
      <w:numFmt w:val="decimal"/>
      <w:start w:val="1"/>
    </w:lvl>
  </w:abstractNum>
  <w:abstractNum w:abstractNumId="413">
    <w:nsid w:val="32766A55"/>
    <w:multiLevelType w:val="hybridMultilevel"/>
    <w:lvl w:ilvl="0">
      <w:lvlJc w:val="left"/>
      <w:lvlText w:val="(%1)"/>
      <w:numFmt w:val="lowerLetter"/>
      <w:start w:val="9"/>
    </w:lvl>
    <w:lvl w:ilvl="1">
      <w:lvlJc w:val="left"/>
      <w:lvlText w:val="(%2)"/>
      <w:numFmt w:val="lowerLetter"/>
      <w:start w:val="3"/>
    </w:lvl>
  </w:abstractNum>
  <w:abstractNum w:abstractNumId="414">
    <w:nsid w:val="22D71957"/>
    <w:multiLevelType w:val="hybridMultilevel"/>
    <w:lvl w:ilvl="0">
      <w:lvlJc w:val="left"/>
      <w:lvlText w:val="(%1)"/>
      <w:numFmt w:val="lowerLetter"/>
      <w:start w:val="1"/>
    </w:lvl>
  </w:abstractNum>
  <w:abstractNum w:abstractNumId="415">
    <w:nsid w:val="4CC1263B"/>
    <w:multiLevelType w:val="hybridMultilevel"/>
    <w:lvl w:ilvl="0">
      <w:lvlJc w:val="left"/>
      <w:lvlText w:val="(%1)"/>
      <w:numFmt w:val="lowerLetter"/>
      <w:start w:val="1"/>
    </w:lvl>
  </w:abstractNum>
  <w:abstractNum w:abstractNumId="416">
    <w:nsid w:val="8BBEB1D"/>
    <w:multiLevelType w:val="hybridMultilevel"/>
    <w:lvl w:ilvl="0">
      <w:lvlJc w:val="left"/>
      <w:lvlText w:val="(%1)"/>
      <w:numFmt w:val="lowerLetter"/>
      <w:start w:val="1"/>
    </w:lvl>
  </w:abstractNum>
  <w:abstractNum w:abstractNumId="417">
    <w:nsid w:val="7365F1EE"/>
    <w:multiLevelType w:val="hybridMultilevel"/>
    <w:lvl w:ilvl="0">
      <w:lvlJc w:val="left"/>
      <w:lvlText w:val="(%1)"/>
      <w:numFmt w:val="decimal"/>
      <w:start w:val="1"/>
    </w:lvl>
  </w:abstractNum>
  <w:abstractNum w:abstractNumId="418">
    <w:nsid w:val="37524CF0"/>
    <w:multiLevelType w:val="hybridMultilevel"/>
    <w:lvl w:ilvl="0">
      <w:lvlJc w:val="left"/>
      <w:lvlText w:val="(%1)"/>
      <w:numFmt w:val="lowerLetter"/>
      <w:start w:val="1"/>
    </w:lvl>
  </w:abstractNum>
  <w:abstractNum w:abstractNumId="419">
    <w:nsid w:val="70CC332F"/>
    <w:multiLevelType w:val="hybridMultilevel"/>
    <w:lvl w:ilvl="0">
      <w:lvlJc w:val="left"/>
      <w:lvlText w:val="(%1)"/>
      <w:numFmt w:val="lowerLetter"/>
      <w:start w:val="9"/>
    </w:lvl>
    <w:lvl w:ilvl="1">
      <w:lvlJc w:val="left"/>
      <w:lvlText w:val="(%2)"/>
      <w:numFmt w:val="lowerLetter"/>
      <w:start w:val="2"/>
    </w:lvl>
  </w:abstractNum>
  <w:abstractNum w:abstractNumId="420">
    <w:nsid w:val="5661786E"/>
    <w:multiLevelType w:val="hybridMultilevel"/>
    <w:lvl w:ilvl="0">
      <w:lvlJc w:val="left"/>
      <w:lvlText w:val="(%1)"/>
      <w:numFmt w:val="lowerLetter"/>
      <w:start w:val="1"/>
    </w:lvl>
  </w:abstractNum>
  <w:abstractNum w:abstractNumId="421">
    <w:nsid w:val="3AF6A220"/>
    <w:multiLevelType w:val="hybridMultilevel"/>
    <w:lvl w:ilvl="0">
      <w:lvlJc w:val="left"/>
      <w:lvlText w:val="(%1)"/>
      <w:numFmt w:val="lowerLetter"/>
      <w:start w:val="1"/>
    </w:lvl>
  </w:abstractNum>
  <w:abstractNum w:abstractNumId="422">
    <w:nsid w:val="3C5EA902"/>
    <w:multiLevelType w:val="hybridMultilevel"/>
    <w:lvl w:ilvl="0">
      <w:lvlJc w:val="left"/>
      <w:lvlText w:val="(%1)"/>
      <w:numFmt w:val="lowerLetter"/>
      <w:start w:val="2"/>
    </w:lvl>
  </w:abstractNum>
  <w:abstractNum w:abstractNumId="423">
    <w:nsid w:val="256E6749"/>
    <w:multiLevelType w:val="hybridMultilevel"/>
    <w:lvl w:ilvl="0">
      <w:lvlJc w:val="left"/>
      <w:lvlText w:val="(%1)"/>
      <w:numFmt w:val="lowerLetter"/>
      <w:start w:val="1"/>
    </w:lvl>
  </w:abstractNum>
  <w:abstractNum w:abstractNumId="424">
    <w:nsid w:val="1CB9A581"/>
    <w:multiLevelType w:val="hybridMultilevel"/>
    <w:lvl w:ilvl="0">
      <w:lvlJc w:val="left"/>
      <w:lvlText w:val="(%1)"/>
      <w:numFmt w:val="lowerLetter"/>
      <w:start w:val="1"/>
    </w:lvl>
    <w:lvl w:ilvl="1">
      <w:lvlJc w:val="left"/>
      <w:lvlText w:val="(%2)"/>
      <w:numFmt w:val="lowerRoman"/>
      <w:start w:val="1"/>
    </w:lvl>
  </w:abstractNum>
  <w:abstractNum w:abstractNumId="425">
    <w:nsid w:val="1F7F42E2"/>
    <w:multiLevelType w:val="hybridMultilevel"/>
    <w:lvl w:ilvl="0">
      <w:lvlJc w:val="left"/>
      <w:lvlText w:val="(%1)"/>
      <w:numFmt w:val="lowerLetter"/>
      <w:start w:val="3"/>
    </w:lvl>
  </w:abstractNum>
  <w:abstractNum w:abstractNumId="426">
    <w:nsid w:val="49D1FEA0"/>
    <w:multiLevelType w:val="hybridMultilevel"/>
    <w:lvl w:ilvl="0">
      <w:lvlJc w:val="left"/>
      <w:lvlText w:val="(%1)"/>
      <w:numFmt w:val="lowerLetter"/>
      <w:start w:val="1"/>
    </w:lvl>
  </w:abstractNum>
  <w:abstractNum w:abstractNumId="427">
    <w:nsid w:val="268CB37F"/>
    <w:multiLevelType w:val="hybridMultilevel"/>
    <w:lvl w:ilvl="0">
      <w:lvlJc w:val="left"/>
      <w:lvlText w:val="(%1)"/>
      <w:numFmt w:val="lowerLetter"/>
      <w:start w:val="3"/>
    </w:lvl>
  </w:abstractNum>
  <w:abstractNum w:abstractNumId="428">
    <w:nsid w:val="102362F8"/>
    <w:multiLevelType w:val="hybridMultilevel"/>
    <w:lvl w:ilvl="0">
      <w:lvlJc w:val="left"/>
      <w:lvlText w:val="(%1)"/>
      <w:numFmt w:val="lowerLetter"/>
      <w:start w:val="1"/>
    </w:lvl>
  </w:abstractNum>
  <w:abstractNum w:abstractNumId="429">
    <w:nsid w:val="5FEDC0E3"/>
    <w:multiLevelType w:val="hybridMultilevel"/>
    <w:lvl w:ilvl="0">
      <w:lvlJc w:val="left"/>
      <w:lvlText w:val="(%1)"/>
      <w:numFmt w:val="lowerLetter"/>
      <w:start w:val="2"/>
    </w:lvl>
  </w:abstractNum>
  <w:abstractNum w:abstractNumId="430">
    <w:nsid w:val="3D75BC47"/>
    <w:multiLevelType w:val="hybridMultilevel"/>
    <w:lvl w:ilvl="0">
      <w:lvlJc w:val="left"/>
      <w:lvlText w:val="(%1)"/>
      <w:numFmt w:val="lowerLetter"/>
      <w:start w:val="3"/>
    </w:lvl>
    <w:lvl w:ilvl="1">
      <w:lvlJc w:val="left"/>
      <w:lvlText w:val="(%2)"/>
      <w:numFmt w:val="lowerRoman"/>
      <w:start w:val="1"/>
    </w:lvl>
  </w:abstractNum>
  <w:abstractNum w:abstractNumId="431">
    <w:nsid w:val="3E30D969"/>
    <w:multiLevelType w:val="hybridMultilevel"/>
    <w:lvl w:ilvl="0">
      <w:lvlJc w:val="left"/>
      <w:lvlText w:val="(%1)"/>
      <w:numFmt w:val="lowerLetter"/>
      <w:start w:val="6"/>
    </w:lvl>
  </w:abstractNum>
  <w:abstractNum w:abstractNumId="432">
    <w:nsid w:val="18A35FE3"/>
    <w:multiLevelType w:val="hybridMultilevel"/>
    <w:lvl w:ilvl="0">
      <w:lvlJc w:val="left"/>
      <w:lvlText w:val="(%1)"/>
      <w:numFmt w:val="lowerLetter"/>
      <w:start w:val="1"/>
    </w:lvl>
  </w:abstractNum>
  <w:abstractNum w:abstractNumId="433">
    <w:nsid w:val="6DEF5211"/>
    <w:multiLevelType w:val="hybridMultilevel"/>
    <w:lvl w:ilvl="0">
      <w:lvlJc w:val="left"/>
      <w:lvlText w:val="%1"/>
      <w:numFmt w:val="lowerLetter"/>
      <w:start w:val="1"/>
    </w:lvl>
    <w:lvl w:ilvl="1">
      <w:lvlJc w:val="left"/>
      <w:lvlText w:val="(%2)"/>
      <w:numFmt w:val="lowerLetter"/>
      <w:start w:val="1"/>
    </w:lvl>
  </w:abstractNum>
  <w:abstractNum w:abstractNumId="434">
    <w:nsid w:val="1112DBB6"/>
    <w:multiLevelType w:val="hybridMultilevel"/>
    <w:lvl w:ilvl="0">
      <w:lvlJc w:val="left"/>
      <w:lvlText w:val="(%1)"/>
      <w:numFmt w:val="lowerLetter"/>
      <w:start w:val="9"/>
    </w:lvl>
    <w:lvl w:ilvl="1">
      <w:lvlJc w:val="left"/>
      <w:lvlText w:val="(%2)"/>
      <w:numFmt w:val="lowerLetter"/>
      <w:start w:val="3"/>
    </w:lvl>
  </w:abstractNum>
  <w:abstractNum w:abstractNumId="435">
    <w:nsid w:val="2586A498"/>
    <w:multiLevelType w:val="hybridMultilevel"/>
    <w:lvl w:ilvl="0">
      <w:lvlJc w:val="left"/>
      <w:lvlText w:val="(%1)"/>
      <w:numFmt w:val="lowerLetter"/>
      <w:start w:val="1"/>
    </w:lvl>
  </w:abstractNum>
  <w:abstractNum w:abstractNumId="436">
    <w:nsid w:val="17A03BB9"/>
    <w:multiLevelType w:val="hybridMultilevel"/>
    <w:lvl w:ilvl="0">
      <w:lvlJc w:val="left"/>
      <w:lvlText w:val="(%1)"/>
      <w:numFmt w:val="lowerLetter"/>
      <w:start w:val="1"/>
    </w:lvl>
  </w:abstractNum>
  <w:abstractNum w:abstractNumId="437">
    <w:nsid w:val="5CA941"/>
    <w:multiLevelType w:val="hybridMultilevel"/>
    <w:lvl w:ilvl="0">
      <w:lvlJc w:val="left"/>
      <w:lvlText w:val="(%1)"/>
      <w:numFmt w:val="lowerLetter"/>
      <w:start w:val="2"/>
    </w:lvl>
  </w:abstractNum>
  <w:abstractNum w:abstractNumId="438">
    <w:nsid w:val="734C7D9F"/>
    <w:multiLevelType w:val="hybridMultilevel"/>
    <w:lvl w:ilvl="0">
      <w:lvlJc w:val="left"/>
      <w:lvlText w:val="(%1)"/>
      <w:numFmt w:val="lowerLetter"/>
      <w:start w:val="1"/>
    </w:lvl>
  </w:abstractNum>
  <w:abstractNum w:abstractNumId="439">
    <w:nsid w:val="24F5D018"/>
    <w:multiLevelType w:val="hybridMultilevel"/>
    <w:lvl w:ilvl="0">
      <w:lvlJc w:val="left"/>
      <w:lvlText w:val="(%1)"/>
      <w:numFmt w:val="lowerLetter"/>
      <w:start w:val="1"/>
    </w:lvl>
  </w:abstractNum>
  <w:abstractNum w:abstractNumId="440">
    <w:nsid w:val="6780C122"/>
    <w:multiLevelType w:val="hybridMultilevel"/>
    <w:lvl w:ilvl="0">
      <w:lvlJc w:val="left"/>
      <w:lvlText w:val="(%1)"/>
      <w:numFmt w:val="lowerLetter"/>
      <w:start w:val="2"/>
    </w:lvl>
  </w:abstractNum>
  <w:abstractNum w:abstractNumId="441">
    <w:nsid w:val="534347A8"/>
    <w:multiLevelType w:val="hybridMultilevel"/>
    <w:lvl w:ilvl="0">
      <w:lvlJc w:val="left"/>
      <w:lvlText w:val="(%1)"/>
      <w:numFmt w:val="lowerLetter"/>
      <w:start w:val="1"/>
    </w:lvl>
    <w:lvl w:ilvl="1">
      <w:lvlJc w:val="left"/>
      <w:lvlText w:val="(%2)"/>
      <w:numFmt w:val="lowerRoman"/>
      <w:start w:val="1"/>
    </w:lvl>
  </w:abstractNum>
  <w:abstractNum w:abstractNumId="442">
    <w:nsid w:val="5800E34B"/>
    <w:multiLevelType w:val="hybridMultilevel"/>
    <w:lvl w:ilvl="0">
      <w:lvlJc w:val="left"/>
      <w:lvlText w:val="(%1)"/>
      <w:numFmt w:val="lowerLetter"/>
      <w:start w:val="1"/>
    </w:lvl>
  </w:abstractNum>
  <w:abstractNum w:abstractNumId="443">
    <w:nsid w:val="1673EFC8"/>
    <w:multiLevelType w:val="hybridMultilevel"/>
    <w:lvl w:ilvl="0">
      <w:lvlJc w:val="left"/>
      <w:lvlText w:val="%1."/>
      <w:numFmt w:val="decimal"/>
      <w:start w:val="1"/>
    </w:lvl>
  </w:abstractNum>
  <w:abstractNum w:abstractNumId="444">
    <w:nsid w:val="5B9B1FD"/>
    <w:multiLevelType w:val="hybridMultilevel"/>
    <w:lvl w:ilvl="0">
      <w:lvlJc w:val="left"/>
      <w:lvlText w:val="(%1)"/>
      <w:numFmt w:val="lowerLetter"/>
      <w:start w:val="1"/>
    </w:lvl>
  </w:abstractNum>
  <w:abstractNum w:abstractNumId="445">
    <w:nsid w:val="7AD7FCA2"/>
    <w:multiLevelType w:val="hybridMultilevel"/>
    <w:lvl w:ilvl="0">
      <w:lvlJc w:val="left"/>
      <w:lvlText w:val="(%1)"/>
      <w:numFmt w:val="lowerLetter"/>
      <w:start w:val="1"/>
    </w:lvl>
  </w:abstractNum>
  <w:abstractNum w:abstractNumId="446">
    <w:nsid w:val="63351604"/>
    <w:multiLevelType w:val="hybridMultilevel"/>
    <w:lvl w:ilvl="0">
      <w:lvlJc w:val="left"/>
      <w:lvlText w:val="(%1)"/>
      <w:numFmt w:val="lowerLetter"/>
      <w:start w:val="1"/>
    </w:lvl>
  </w:abstractNum>
  <w:abstractNum w:abstractNumId="447">
    <w:nsid w:val="E759D1A"/>
    <w:multiLevelType w:val="hybridMultilevel"/>
    <w:lvl w:ilvl="0">
      <w:lvlJc w:val="left"/>
      <w:lvlText w:val="%1"/>
      <w:numFmt w:val="decimal"/>
      <w:start w:val="10"/>
    </w:lvl>
  </w:abstractNum>
  <w:abstractNum w:abstractNumId="448">
    <w:nsid w:val="6E3DEE90"/>
    <w:multiLevelType w:val="hybridMultilevel"/>
    <w:lvl w:ilvl="0">
      <w:lvlJc w:val="left"/>
      <w:lvlText w:val="(%1)"/>
      <w:numFmt w:val="lowerLetter"/>
      <w:start w:val="1"/>
    </w:lvl>
  </w:abstractNum>
  <w:abstractNum w:abstractNumId="449">
    <w:nsid w:val="1A8762F4"/>
    <w:multiLevelType w:val="hybridMultilevel"/>
    <w:lvl w:ilvl="0">
      <w:lvlJc w:val="left"/>
      <w:lvlText w:val="(%1)"/>
      <w:numFmt w:val="lowerLetter"/>
      <w:start w:val="3"/>
    </w:lvl>
  </w:abstractNum>
  <w:abstractNum w:abstractNumId="450">
    <w:nsid w:val="7F41D049"/>
    <w:multiLevelType w:val="hybridMultilevel"/>
    <w:lvl w:ilvl="0">
      <w:lvlJc w:val="left"/>
      <w:lvlText w:val="%1"/>
      <w:numFmt w:val="decimal"/>
      <w:start w:val="1"/>
    </w:lvl>
    <w:lvl w:ilvl="1">
      <w:lvlJc w:val="left"/>
      <w:lvlText w:val="%2."/>
      <w:numFmt w:val="decimal"/>
      <w:start w:val="1"/>
    </w:lvl>
  </w:abstractNum>
  <w:abstractNum w:abstractNumId="451">
    <w:nsid w:val="449F66FE"/>
    <w:multiLevelType w:val="hybridMultilevel"/>
    <w:lvl w:ilvl="0">
      <w:lvlJc w:val="left"/>
      <w:lvlText w:val="%1."/>
      <w:numFmt w:val="decimal"/>
      <w:start w:val="2"/>
    </w:lvl>
    <w:lvl w:ilvl="1">
      <w:lvlJc w:val="left"/>
      <w:lvlText w:val="%2"/>
      <w:numFmt w:val="decimal"/>
      <w:start w:val="1"/>
    </w:lvl>
  </w:abstractNum>
  <w:abstractNum w:abstractNumId="452">
    <w:nsid w:val="557E0515"/>
    <w:multiLevelType w:val="hybridMultilevel"/>
    <w:lvl w:ilvl="0">
      <w:lvlJc w:val="left"/>
      <w:lvlText w:val="%1."/>
      <w:numFmt w:val="decimal"/>
      <w:start w:val="1"/>
    </w:lvl>
  </w:abstractNum>
  <w:abstractNum w:abstractNumId="453">
    <w:nsid w:val="3BA0794B"/>
    <w:multiLevelType w:val="hybridMultilevel"/>
    <w:lvl w:ilvl="0">
      <w:lvlJc w:val="left"/>
      <w:lvlText w:val="%1."/>
      <w:numFmt w:val="decimal"/>
      <w:start w:val="4"/>
    </w:lvl>
  </w:abstractNum>
  <w:abstractNum w:abstractNumId="454">
    <w:nsid w:val="6A0DCE48"/>
    <w:multiLevelType w:val="hybridMultilevel"/>
    <w:lvl w:ilvl="0">
      <w:lvlJc w:val="left"/>
      <w:lvlText w:val="%1"/>
      <w:numFmt w:val="lowerLetter"/>
      <w:start w:val="1"/>
    </w:lvl>
    <w:lvl w:ilvl="1">
      <w:lvlJc w:val="left"/>
      <w:lvlText w:val="%2."/>
      <w:numFmt w:val="decimal"/>
      <w:start w:val="1"/>
    </w:lvl>
  </w:abstractNum>
  <w:abstractNum w:abstractNumId="455">
    <w:nsid w:val="7237AA96"/>
    <w:multiLevelType w:val="hybridMultilevel"/>
    <w:lvl w:ilvl="0">
      <w:lvlJc w:val="left"/>
      <w:lvlText w:val="(%1)"/>
      <w:numFmt w:val="lowerLetter"/>
      <w:start w:val="2"/>
    </w:lvl>
    <w:lvl w:ilvl="1">
      <w:lvlJc w:val="left"/>
      <w:lvlText w:val="%2"/>
      <w:numFmt w:val="decimal"/>
      <w:start w:val="1"/>
    </w:lvl>
  </w:abstractNum>
  <w:abstractNum w:abstractNumId="456">
    <w:nsid w:val="5B1FBC2D"/>
    <w:multiLevelType w:val="hybridMultilevel"/>
    <w:lvl w:ilvl="0">
      <w:lvlJc w:val="left"/>
      <w:lvlText w:val="%1."/>
      <w:numFmt w:val="decimal"/>
      <w:start w:val="2"/>
    </w:lvl>
  </w:abstractNum>
  <w:abstractNum w:abstractNumId="457">
    <w:nsid w:val="33DFCCE8"/>
    <w:multiLevelType w:val="hybridMultilevel"/>
    <w:lvl w:ilvl="0">
      <w:lvlJc w:val="left"/>
      <w:lvlText w:val="%1."/>
      <w:numFmt w:val="decimal"/>
      <w:start w:val="1"/>
    </w:lvl>
  </w:abstractNum>
  <w:abstractNum w:abstractNumId="458">
    <w:nsid w:val="18C45E15"/>
    <w:multiLevelType w:val="hybridMultilevel"/>
    <w:lvl w:ilvl="0">
      <w:lvlJc w:val="left"/>
      <w:lvlText w:val="%1."/>
      <w:numFmt w:val="decimal"/>
      <w:start w:val="1"/>
    </w:lvl>
  </w:abstractNum>
  <w:abstractNum w:abstractNumId="459">
    <w:nsid w:val="6B431F25"/>
    <w:multiLevelType w:val="hybridMultilevel"/>
    <w:lvl w:ilvl="0">
      <w:lvlJc w:val="left"/>
      <w:lvlText w:val="(%1)"/>
      <w:numFmt w:val="lowerLetter"/>
      <w:start w:val="1"/>
    </w:lvl>
  </w:abstractNum>
  <w:abstractNum w:abstractNumId="460">
    <w:nsid w:val="13CD8DCB"/>
    <w:multiLevelType w:val="hybridMultilevel"/>
    <w:lvl w:ilvl="0">
      <w:lvlJc w:val="left"/>
      <w:lvlText w:val="%1"/>
      <w:numFmt w:val="lowerRoman"/>
      <w:start w:val="1"/>
    </w:lvl>
    <w:lvl w:ilvl="1">
      <w:lvlJc w:val="left"/>
      <w:lvlText w:val="(%2)"/>
      <w:numFmt w:val="decimal"/>
      <w:start w:val="1"/>
    </w:lvl>
  </w:abstractNum>
  <w:abstractNum w:abstractNumId="461">
    <w:nsid w:val="563A1A5C"/>
    <w:multiLevelType w:val="hybridMultilevel"/>
    <w:lvl w:ilvl="0">
      <w:lvlJc w:val="left"/>
      <w:lvlText w:val="(%1)"/>
      <w:numFmt w:val="lowerRoman"/>
      <w:start w:val="3"/>
    </w:lvl>
    <w:lvl w:ilvl="1">
      <w:lvlJc w:val="left"/>
      <w:lvlText w:val="%2"/>
      <w:numFmt w:val="decimal"/>
      <w:start w:val="1"/>
    </w:lvl>
  </w:abstractNum>
  <w:abstractNum w:abstractNumId="462">
    <w:nsid w:val="2973F88F"/>
    <w:multiLevelType w:val="hybridMultilevel"/>
    <w:lvl w:ilvl="0">
      <w:lvlJc w:val="left"/>
      <w:lvlText w:val="(%1)"/>
      <w:numFmt w:val="upperLetter"/>
      <w:start w:val="1"/>
    </w:lvl>
  </w:abstractNum>
  <w:abstractNum w:abstractNumId="463">
    <w:nsid w:val="2C70EDAE"/>
    <w:multiLevelType w:val="hybridMultilevel"/>
    <w:lvl w:ilvl="0">
      <w:lvlJc w:val="left"/>
      <w:lvlText w:val="(%1)"/>
      <w:numFmt w:val="lowerRoman"/>
      <w:start w:val="3"/>
    </w:lvl>
    <w:lvl w:ilvl="1">
      <w:lvlJc w:val="left"/>
      <w:lvlText w:val="(%2)"/>
      <w:numFmt w:val="upperLetter"/>
      <w:start w:val="4"/>
    </w:lvl>
  </w:abstractNum>
  <w:abstractNum w:abstractNumId="464">
    <w:nsid w:val="44296C6D"/>
    <w:multiLevelType w:val="hybridMultilevel"/>
    <w:lvl w:ilvl="0">
      <w:lvlJc w:val="left"/>
      <w:lvlText w:val="(%1)"/>
      <w:numFmt w:val="decimal"/>
      <w:start w:val="3"/>
    </w:lvl>
  </w:abstractNum>
  <w:abstractNum w:abstractNumId="465">
    <w:nsid w:val="3A86D445"/>
    <w:multiLevelType w:val="hybridMultilevel"/>
    <w:lvl w:ilvl="0">
      <w:lvlJc w:val="left"/>
      <w:lvlText w:val="(%1)"/>
      <w:numFmt w:val="lowerLetter"/>
      <w:start w:val="2"/>
    </w:lvl>
  </w:abstractNum>
  <w:abstractNum w:abstractNumId="466">
    <w:nsid w:val="51F79246"/>
    <w:multiLevelType w:val="hybridMultilevel"/>
    <w:lvl w:ilvl="0">
      <w:lvlJc w:val="left"/>
      <w:lvlText w:val="(%1)"/>
      <w:numFmt w:val="decimal"/>
      <w:start w:val="1"/>
    </w:lvl>
  </w:abstractNum>
  <w:abstractNum w:abstractNumId="467">
    <w:nsid w:val="5BC9A827"/>
    <w:multiLevelType w:val="hybridMultilevel"/>
    <w:lvl w:ilvl="0">
      <w:lvlJc w:val="left"/>
      <w:lvlText w:val="(%1)"/>
      <w:numFmt w:val="lowerRoman"/>
      <w:start w:val="1"/>
    </w:lvl>
  </w:abstractNum>
  <w:abstractNum w:abstractNumId="468">
    <w:nsid w:val="3AE37D86"/>
    <w:multiLevelType w:val="hybridMultilevel"/>
    <w:lvl w:ilvl="0">
      <w:lvlJc w:val="left"/>
      <w:lvlText w:val="(%1)"/>
      <w:numFmt w:val="lowerLetter"/>
      <w:start w:val="3"/>
    </w:lvl>
  </w:abstractNum>
  <w:abstractNum w:abstractNumId="469">
    <w:nsid w:val="45440FE5"/>
    <w:multiLevelType w:val="hybridMultilevel"/>
    <w:lvl w:ilvl="0">
      <w:lvlJc w:val="left"/>
      <w:lvlText w:val="(%1)"/>
      <w:numFmt w:val="lowerLetter"/>
      <w:start w:val="1"/>
    </w:lvl>
  </w:abstractNum>
  <w:abstractNum w:abstractNumId="470">
    <w:nsid w:val="BF783F"/>
    <w:multiLevelType w:val="hybridMultilevel"/>
    <w:lvl w:ilvl="0">
      <w:lvlJc w:val="left"/>
      <w:lvlText w:val="(%1)"/>
      <w:numFmt w:val="lowerLetter"/>
      <w:start w:val="5"/>
    </w:lvl>
  </w:abstractNum>
  <w:abstractNum w:abstractNumId="471">
    <w:nsid w:val="22643EA9"/>
    <w:multiLevelType w:val="hybridMultilevel"/>
    <w:lvl w:ilvl="0">
      <w:lvlJc w:val="left"/>
      <w:lvlText w:val="%1"/>
      <w:numFmt w:val="lowerRoman"/>
      <w:start w:val="1"/>
    </w:lvl>
    <w:lvl w:ilvl="1">
      <w:lvlJc w:val="left"/>
      <w:lvlText w:val="(%2)"/>
      <w:numFmt w:val="lowerLetter"/>
      <w:start w:val="1"/>
    </w:lvl>
  </w:abstractNum>
  <w:abstractNum w:abstractNumId="472">
    <w:nsid w:val="1887578D"/>
    <w:multiLevelType w:val="hybridMultilevel"/>
    <w:lvl w:ilvl="0">
      <w:lvlJc w:val="left"/>
      <w:lvlText w:val="(%1)"/>
      <w:numFmt w:val="lowerRoman"/>
      <w:start w:val="4"/>
    </w:lvl>
    <w:lvl w:ilvl="1">
      <w:lvlJc w:val="left"/>
      <w:lvlText w:val="(%2)"/>
      <w:numFmt w:val="lowerLetter"/>
      <w:start w:val="2"/>
    </w:lvl>
  </w:abstractNum>
  <w:abstractNum w:abstractNumId="473">
    <w:nsid w:val="58C05B8A"/>
    <w:multiLevelType w:val="hybridMultilevel"/>
    <w:lvl w:ilvl="0">
      <w:lvlJc w:val="left"/>
      <w:lvlText w:val="(%1)"/>
      <w:numFmt w:val="lowerRoman"/>
      <w:start w:val="1"/>
    </w:lvl>
  </w:abstractNum>
  <w:abstractNum w:abstractNumId="474">
    <w:nsid w:val="38D82E71"/>
    <w:multiLevelType w:val="hybridMultilevel"/>
    <w:lvl w:ilvl="0">
      <w:lvlJc w:val="left"/>
      <w:lvlText w:val="(%1)"/>
      <w:numFmt w:val="lowerLetter"/>
      <w:start w:val="1"/>
    </w:lvl>
    <w:lvl w:ilvl="1">
      <w:lvlJc w:val="left"/>
      <w:lvlText w:val="(%2)"/>
      <w:numFmt w:val="decimal"/>
      <w:start w:val="1"/>
    </w:lvl>
  </w:abstractNum>
  <w:abstractNum w:abstractNumId="475">
    <w:nsid w:val="1E41098A"/>
    <w:multiLevelType w:val="hybridMultilevel"/>
    <w:lvl w:ilvl="0">
      <w:lvlJc w:val="left"/>
      <w:lvlText w:val="(%1)"/>
      <w:numFmt w:val="lowerLetter"/>
      <w:start w:val="1"/>
    </w:lvl>
  </w:abstractNum>
  <w:abstractNum w:abstractNumId="476">
    <w:nsid w:val="5398582C"/>
    <w:multiLevelType w:val="hybridMultilevel"/>
    <w:lvl w:ilvl="0">
      <w:lvlJc w:val="left"/>
      <w:lvlText w:val="(%1)"/>
      <w:numFmt w:val="lowerLetter"/>
      <w:start w:val="9"/>
    </w:lvl>
    <w:lvl w:ilvl="1">
      <w:lvlJc w:val="left"/>
      <w:lvlText w:val="(%2)"/>
      <w:numFmt w:val="lowerLetter"/>
      <w:start w:val="2"/>
    </w:lvl>
  </w:abstractNum>
  <w:abstractNum w:abstractNumId="477">
    <w:nsid w:val="1C0D4475"/>
    <w:multiLevelType w:val="hybridMultilevel"/>
    <w:lvl w:ilvl="0">
      <w:lvlJc w:val="left"/>
      <w:lvlText w:val="(%1)"/>
      <w:numFmt w:val="lowerLetter"/>
      <w:start w:val="1"/>
    </w:lvl>
  </w:abstractNum>
  <w:abstractNum w:abstractNumId="478">
    <w:nsid w:val="2CB6A6A4"/>
    <w:multiLevelType w:val="hybridMultilevel"/>
    <w:lvl w:ilvl="0">
      <w:lvlJc w:val="left"/>
      <w:lvlText w:val="(%1)"/>
      <w:numFmt w:val="lowerLetter"/>
      <w:start w:val="1"/>
    </w:lvl>
  </w:abstractNum>
  <w:abstractNum w:abstractNumId="479">
    <w:nsid w:val="41D646BC"/>
    <w:multiLevelType w:val="hybridMultilevel"/>
    <w:lvl w:ilvl="0">
      <w:lvlJc w:val="left"/>
      <w:lvlText w:val="(%1)"/>
      <w:numFmt w:val="lowerLetter"/>
      <w:start w:val="1"/>
    </w:lvl>
  </w:abstractNum>
  <w:abstractNum w:abstractNumId="480">
    <w:nsid w:val="3694A76A"/>
    <w:multiLevelType w:val="hybridMultilevel"/>
    <w:lvl w:ilvl="0">
      <w:lvlJc w:val="left"/>
      <w:lvlText w:val="(%1)"/>
      <w:numFmt w:val="lowerLetter"/>
      <w:start w:val="1"/>
    </w:lvl>
    <w:lvl w:ilvl="1">
      <w:lvlJc w:val="left"/>
      <w:lvlText w:val="(%2)"/>
      <w:numFmt w:val="lowerRoman"/>
      <w:start w:val="1"/>
    </w:lvl>
  </w:abstractNum>
  <w:abstractNum w:abstractNumId="481">
    <w:nsid w:val="2BF876EE"/>
    <w:multiLevelType w:val="hybridMultilevel"/>
    <w:lvl w:ilvl="0">
      <w:lvlJc w:val="left"/>
      <w:lvlText w:val="(%1)"/>
      <w:numFmt w:val="lowerLetter"/>
      <w:start w:val="3"/>
    </w:lvl>
  </w:abstractNum>
  <w:abstractNum w:abstractNumId="482">
    <w:nsid w:val="675ADBA"/>
    <w:multiLevelType w:val="hybridMultilevel"/>
    <w:lvl w:ilvl="0">
      <w:lvlJc w:val="left"/>
      <w:lvlText w:val="%1"/>
      <w:numFmt w:val="lowerRoman"/>
      <w:start w:val="1"/>
    </w:lvl>
    <w:lvl w:ilvl="1">
      <w:lvlJc w:val="left"/>
      <w:lvlText w:val="(%2)"/>
      <w:numFmt w:val="lowerLetter"/>
      <w:start w:val="1"/>
    </w:lvl>
  </w:abstractNum>
  <w:abstractNum w:abstractNumId="483">
    <w:nsid w:val="C12AC7F"/>
    <w:multiLevelType w:val="hybridMultilevel"/>
    <w:lvl w:ilvl="0">
      <w:lvlJc w:val="left"/>
      <w:lvlText w:val="(%1)"/>
      <w:numFmt w:val="lowerRoman"/>
      <w:start w:val="2"/>
    </w:lvl>
    <w:lvl w:ilvl="1">
      <w:lvlJc w:val="left"/>
      <w:lvlText w:val="%2"/>
      <w:numFmt w:val="lowerLetter"/>
      <w:start w:val="1"/>
    </w:lvl>
  </w:abstractNum>
  <w:abstractNum w:abstractNumId="484">
    <w:nsid w:val="6798F039"/>
    <w:multiLevelType w:val="hybridMultilevel"/>
    <w:lvl w:ilvl="0">
      <w:lvlJc w:val="left"/>
      <w:lvlText w:val="1"/>
      <w:numFmt w:val="bullet"/>
      <w:start w:val="1"/>
    </w:lvl>
  </w:abstractNum>
  <w:abstractNum w:abstractNumId="485">
    <w:nsid w:val="70837C02"/>
    <w:multiLevelType w:val="hybridMultilevel"/>
    <w:lvl w:ilvl="0">
      <w:lvlJc w:val="left"/>
      <w:lvlText w:val="(%1)"/>
      <w:numFmt w:val="lowerLetter"/>
      <w:start w:val="3"/>
    </w:lvl>
  </w:abstractNum>
  <w:abstractNum w:abstractNumId="486">
    <w:nsid w:val="7E4A5715"/>
    <w:multiLevelType w:val="hybridMultilevel"/>
    <w:lvl w:ilvl="0">
      <w:lvlJc w:val="left"/>
      <w:lvlText w:val="(%1)"/>
      <w:numFmt w:val="lowerLetter"/>
      <w:start w:val="1"/>
    </w:lvl>
  </w:abstractNum>
  <w:abstractNum w:abstractNumId="487">
    <w:nsid w:val="42B8AC67"/>
    <w:multiLevelType w:val="hybridMultilevel"/>
    <w:lvl w:ilvl="0">
      <w:lvlJc w:val="left"/>
      <w:lvlText w:val="(%1)"/>
      <w:numFmt w:val="lowerLetter"/>
      <w:start w:val="2"/>
    </w:lvl>
  </w:abstractNum>
  <w:abstractNum w:abstractNumId="488">
    <w:nsid w:val="246348EA"/>
    <w:multiLevelType w:val="hybridMultilevel"/>
    <w:lvl w:ilvl="0">
      <w:lvlJc w:val="left"/>
      <w:lvlText w:val="(%1)"/>
      <w:numFmt w:val="lowerLetter"/>
      <w:start w:val="3"/>
    </w:lvl>
    <w:lvl w:ilvl="1">
      <w:lvlJc w:val="left"/>
      <w:lvlText w:val="(%2)"/>
      <w:numFmt w:val="lowerRoman"/>
      <w:start w:val="1"/>
    </w:lvl>
  </w:abstractNum>
  <w:abstractNum w:abstractNumId="489">
    <w:nsid w:val="170EB52B"/>
    <w:multiLevelType w:val="hybridMultilevel"/>
    <w:lvl w:ilvl="0">
      <w:lvlJc w:val="left"/>
      <w:lvlText w:val="(%1)"/>
      <w:numFmt w:val="lowerLetter"/>
      <w:start w:val="6"/>
    </w:lvl>
  </w:abstractNum>
  <w:abstractNum w:abstractNumId="490">
    <w:nsid w:val="2DFBCB8C"/>
    <w:multiLevelType w:val="hybridMultilevel"/>
    <w:lvl w:ilvl="0">
      <w:lvlJc w:val="left"/>
      <w:lvlText w:val="(%1)"/>
      <w:numFmt w:val="lowerLetter"/>
      <w:start w:val="1"/>
    </w:lvl>
  </w:abstractNum>
  <w:abstractNum w:abstractNumId="491">
    <w:nsid w:val="3830D6B6"/>
    <w:multiLevelType w:val="hybridMultilevel"/>
    <w:lvl w:ilvl="0">
      <w:lvlJc w:val="left"/>
      <w:lvlText w:val="%1"/>
      <w:numFmt w:val="lowerLetter"/>
      <w:start w:val="1"/>
    </w:lvl>
    <w:lvl w:ilvl="1">
      <w:lvlJc w:val="left"/>
      <w:lvlText w:val="(%2)"/>
      <w:numFmt w:val="lowerLetter"/>
      <w:start w:val="1"/>
    </w:lvl>
  </w:abstractNum>
  <w:abstractNum w:abstractNumId="492">
    <w:nsid w:val="6D48CF87"/>
    <w:multiLevelType w:val="hybridMultilevel"/>
    <w:lvl w:ilvl="0">
      <w:lvlJc w:val="left"/>
      <w:lvlText w:val="(%1)"/>
      <w:numFmt w:val="lowerLetter"/>
      <w:start w:val="9"/>
    </w:lvl>
    <w:lvl w:ilvl="1">
      <w:lvlJc w:val="left"/>
      <w:lvlText w:val="(%2)"/>
      <w:numFmt w:val="lowerLetter"/>
      <w:start w:val="3"/>
    </w:lvl>
  </w:abstractNum>
  <w:abstractNum w:abstractNumId="493">
    <w:nsid w:val="576FC41B"/>
    <w:multiLevelType w:val="hybridMultilevel"/>
    <w:lvl w:ilvl="0">
      <w:lvlJc w:val="left"/>
      <w:lvlText w:val="(%1)"/>
      <w:numFmt w:val="lowerLetter"/>
      <w:start w:val="1"/>
    </w:lvl>
  </w:abstractNum>
  <w:abstractNum w:abstractNumId="494">
    <w:nsid w:val="64A1C464"/>
    <w:multiLevelType w:val="hybridMultilevel"/>
    <w:lvl w:ilvl="0">
      <w:lvlJc w:val="left"/>
      <w:lvlText w:val="(%1)"/>
      <w:numFmt w:val="lowerLetter"/>
      <w:start w:val="1"/>
    </w:lvl>
  </w:abstractNum>
  <w:abstractNum w:abstractNumId="495">
    <w:nsid w:val="31723BF5"/>
    <w:multiLevelType w:val="hybridMultilevel"/>
    <w:lvl w:ilvl="0">
      <w:lvlJc w:val="left"/>
      <w:lvlText w:val="(%1)"/>
      <w:numFmt w:val="lowerLetter"/>
      <w:start w:val="2"/>
    </w:lvl>
  </w:abstractNum>
  <w:abstractNum w:abstractNumId="496">
    <w:nsid w:val="11F69861"/>
    <w:multiLevelType w:val="hybridMultilevel"/>
    <w:lvl w:ilvl="0">
      <w:lvlJc w:val="left"/>
      <w:lvlText w:val="(%1)"/>
      <w:numFmt w:val="lowerLetter"/>
      <w:start w:val="1"/>
    </w:lvl>
  </w:abstractNum>
  <w:abstractNum w:abstractNumId="497">
    <w:nsid w:val="369956AB"/>
    <w:multiLevelType w:val="hybridMultilevel"/>
    <w:lvl w:ilvl="0">
      <w:lvlJc w:val="left"/>
      <w:lvlText w:val="(%1)"/>
      <w:numFmt w:val="lowerLetter"/>
      <w:start w:val="1"/>
    </w:lvl>
  </w:abstractNum>
  <w:abstractNum w:abstractNumId="498">
    <w:nsid w:val="D3BE41C"/>
    <w:multiLevelType w:val="hybridMultilevel"/>
    <w:lvl w:ilvl="0">
      <w:lvlJc w:val="left"/>
      <w:lvlText w:val="(%1)"/>
      <w:numFmt w:val="lowerLetter"/>
      <w:start w:val="2"/>
    </w:lvl>
  </w:abstractNum>
  <w:abstractNum w:abstractNumId="499">
    <w:nsid w:val="4CDA15E7"/>
    <w:multiLevelType w:val="hybridMultilevel"/>
    <w:lvl w:ilvl="0">
      <w:lvlJc w:val="left"/>
      <w:lvlText w:val="(%1)"/>
      <w:numFmt w:val="lowerLetter"/>
      <w:start w:val="1"/>
    </w:lvl>
    <w:lvl w:ilvl="1">
      <w:lvlJc w:val="left"/>
      <w:lvlText w:val="(%2)"/>
      <w:numFmt w:val="lowerRoman"/>
      <w:start w:val="1"/>
    </w:lvl>
  </w:abstractNum>
  <w:abstractNum w:abstractNumId="500">
    <w:nsid w:val="7BDD6690"/>
    <w:multiLevelType w:val="hybridMultilevel"/>
    <w:lvl w:ilvl="0">
      <w:lvlJc w:val="left"/>
      <w:lvlText w:val="(%1)"/>
      <w:numFmt w:val="lowerLetter"/>
      <w:start w:val="1"/>
    </w:lvl>
  </w:abstractNum>
  <w:abstractNum w:abstractNumId="501">
    <w:nsid w:val="DFB5C5B"/>
    <w:multiLevelType w:val="hybridMultilevel"/>
    <w:lvl w:ilvl="0">
      <w:lvlJc w:val="left"/>
      <w:lvlText w:val="%1."/>
      <w:numFmt w:val="decimal"/>
      <w:start w:val="1"/>
    </w:lvl>
  </w:abstractNum>
  <w:abstractNum w:abstractNumId="502">
    <w:nsid w:val="6F3E549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3">
    <w:nsid w:val="1464BE1E"/>
    <w:multiLevelType w:val="hybridMultilevel"/>
    <w:lvl w:ilvl="0">
      <w:lvlJc w:val="left"/>
      <w:lvlText w:val="%1."/>
      <w:numFmt w:val="lowerLetter"/>
      <w:start w:val="2"/>
    </w:lvl>
  </w:abstractNum>
  <w:abstractNum w:abstractNumId="504">
    <w:nsid w:val="66BBB7E5"/>
    <w:multiLevelType w:val="hybridMultilevel"/>
    <w:lvl w:ilvl="0">
      <w:lvlJc w:val="left"/>
      <w:lvlText w:val="%1"/>
      <w:numFmt w:val="decimal"/>
      <w:start w:val="1"/>
    </w:lvl>
    <w:lvl w:ilvl="1">
      <w:lvlJc w:val="left"/>
      <w:lvlText w:val="%2."/>
      <w:numFmt w:val="lowerLetter"/>
      <w:start w:val="8"/>
    </w:lvl>
  </w:abstractNum>
  <w:abstractNum w:abstractNumId="505">
    <w:nsid w:val="28168302"/>
    <w:multiLevelType w:val="hybridMultilevel"/>
    <w:lvl w:ilvl="0">
      <w:lvlJc w:val="left"/>
      <w:lvlText w:val="%1."/>
      <w:numFmt w:val="decimal"/>
      <w:start w:val="6"/>
    </w:lvl>
    <w:lvl w:ilvl="1">
      <w:lvlJc w:val="left"/>
      <w:lvlText w:val="%2."/>
      <w:numFmt w:val="lowerLetter"/>
      <w:start w:val="1"/>
    </w:lvl>
  </w:abstractNum>
  <w:abstractNum w:abstractNumId="506">
    <w:nsid w:val="32A5C7A8"/>
    <w:multiLevelType w:val="hybridMultilevel"/>
    <w:lvl w:ilvl="0">
      <w:lvlJc w:val="left"/>
      <w:lvlText w:val="(%1)"/>
      <w:numFmt w:val="lowerRoman"/>
      <w:start w:val="4"/>
    </w:lvl>
    <w:lvl w:ilvl="1">
      <w:lvlJc w:val="left"/>
      <w:lvlText w:val="%2."/>
      <w:numFmt w:val="lowerLetter"/>
      <w:start w:val="2"/>
    </w:lvl>
  </w:abstractNum>
  <w:abstractNum w:abstractNumId="507">
    <w:nsid w:val="3A541011"/>
    <w:multiLevelType w:val="hybridMultilevel"/>
    <w:lvl w:ilvl="0">
      <w:lvlJc w:val="left"/>
      <w:lvlText w:val="%1."/>
      <w:numFmt w:val="lowerLetter"/>
      <w:start w:val="8"/>
    </w:lvl>
  </w:abstractNum>
  <w:abstractNum w:abstractNumId="508">
    <w:nsid w:val="4423C777"/>
    <w:multiLevelType w:val="hybridMultilevel"/>
    <w:lvl w:ilvl="0">
      <w:lvlJc w:val="left"/>
      <w:lvlText w:val="%1"/>
      <w:numFmt w:val="decimal"/>
      <w:start w:val="1"/>
    </w:lvl>
    <w:lvl w:ilvl="1">
      <w:lvlJc w:val="left"/>
      <w:lvlText w:val="%2."/>
      <w:numFmt w:val="lowerLetter"/>
      <w:start w:val="17"/>
    </w:lvl>
  </w:abstractNum>
  <w:abstractNum w:abstractNumId="509">
    <w:nsid w:val="5F5C6E4D"/>
    <w:multiLevelType w:val="hybridMultilevel"/>
    <w:lvl w:ilvl="0">
      <w:lvlJc w:val="left"/>
      <w:lvlText w:val="%1."/>
      <w:numFmt w:val="decimal"/>
      <w:start w:val="7"/>
    </w:lvl>
    <w:lvl w:ilvl="1">
      <w:lvlJc w:val="left"/>
      <w:lvlText w:val="%2."/>
      <w:numFmt w:val="lowerLetter"/>
      <w:start w:val="1"/>
    </w:lvl>
  </w:abstractNum>
  <w:abstractNum w:abstractNumId="510">
    <w:nsid w:val="7C2A56CD"/>
    <w:multiLevelType w:val="hybridMultilevel"/>
    <w:lvl w:ilvl="0">
      <w:lvlJc w:val="left"/>
      <w:lvlText w:val="%1."/>
      <w:numFmt w:val="lowerLetter"/>
      <w:start w:val="2"/>
    </w:lvl>
  </w:abstractNum>
  <w:abstractNum w:abstractNumId="511">
    <w:nsid w:val="7AB86EE1"/>
    <w:multiLevelType w:val="hybridMultilevel"/>
    <w:lvl w:ilvl="0">
      <w:lvlJc w:val="left"/>
      <w:lvlText w:val="%1."/>
      <w:numFmt w:val="lowerLetter"/>
      <w:start w:val="5"/>
    </w:lvl>
  </w:abstractNum>
  <w:abstractNum w:abstractNumId="512">
    <w:nsid w:val="B54E53B"/>
    <w:multiLevelType w:val="hybridMultilevel"/>
    <w:lvl w:ilvl="0">
      <w:lvlJc w:val="left"/>
      <w:lvlText w:val="%1."/>
      <w:numFmt w:val="decimal"/>
      <w:start w:val="8"/>
    </w:lvl>
  </w:abstractNum>
  <w:abstractNum w:abstractNumId="513">
    <w:nsid w:val="2A00487"/>
    <w:multiLevelType w:val="hybridMultilevel"/>
    <w:lvl w:ilvl="0">
      <w:lvlJc w:val="left"/>
      <w:lvlText w:val="%1"/>
      <w:numFmt w:val="decimal"/>
      <w:start w:val="1"/>
    </w:lvl>
    <w:lvl w:ilvl="1">
      <w:lvlJc w:val="left"/>
      <w:lvlText w:val="%2."/>
      <w:numFmt w:val="decimal"/>
      <w:start w:val="9"/>
    </w:lvl>
  </w:abstractNum>
  <w:abstractNum w:abstractNumId="514">
    <w:nsid w:val="6CB1B60"/>
    <w:multiLevelType w:val="hybridMultilevel"/>
    <w:lvl w:ilvl="0">
      <w:lvlJc w:val="left"/>
      <w:lvlText w:val="%1."/>
      <w:numFmt w:val="decimal"/>
      <w:start w:val="10"/>
    </w:lvl>
    <w:lvl w:ilvl="1">
      <w:lvlJc w:val="left"/>
      <w:lvlText w:val="%2"/>
      <w:numFmt w:val="decimal"/>
      <w:start w:val="1"/>
    </w:lvl>
  </w:abstractNum>
  <w:abstractNum w:abstractNumId="515">
    <w:nsid w:val="72EDD574"/>
    <w:multiLevelType w:val="hybridMultilevel"/>
    <w:lvl w:ilvl="0">
      <w:lvlJc w:val="left"/>
      <w:lvlText w:val="%1."/>
      <w:numFmt w:val="lowerLetter"/>
      <w:start w:val="1"/>
    </w:lvl>
  </w:abstractNum>
  <w:abstractNum w:abstractNumId="516">
    <w:nsid w:val="7323808A"/>
    <w:multiLevelType w:val="hybridMultilevel"/>
    <w:lvl w:ilvl="0">
      <w:lvlJc w:val="left"/>
      <w:lvlText w:val="%1."/>
      <w:numFmt w:val="lowerLetter"/>
      <w:start w:val="7"/>
    </w:lvl>
  </w:abstractNum>
  <w:abstractNum w:abstractNumId="517">
    <w:nsid w:val="5157276"/>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3"/>
    </w:lvl>
  </w:abstractNum>
  <w:abstractNum w:abstractNumId="518">
    <w:nsid w:val="35A681DB"/>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519">
    <w:nsid w:val="1786C974"/>
    <w:multiLevelType w:val="hybridMultilevel"/>
    <w:lvl w:ilvl="0">
      <w:lvlJc w:val="left"/>
      <w:lvlText w:val="%1."/>
      <w:numFmt w:val="upperLetter"/>
      <w:start w:val="1"/>
    </w:lvl>
    <w:lvl w:ilvl="1">
      <w:lvlJc w:val="left"/>
      <w:lvlText w:val="£"/>
      <w:numFmt w:val="bullet"/>
      <w:start w:val="1"/>
    </w:lvl>
  </w:abstractNum>
  <w:abstractNum w:abstractNumId="520">
    <w:nsid w:val="1C2427A1"/>
    <w:multiLevelType w:val="hybridMultilevel"/>
    <w:lvl w:ilvl="0">
      <w:lvlJc w:val="left"/>
      <w:lvlText w:val="%1."/>
      <w:numFmt w:val="decimal"/>
      <w:start w:val="1"/>
    </w:lvl>
  </w:abstractNum>
  <w:abstractNum w:abstractNumId="521">
    <w:nsid w:val="63A24D68"/>
    <w:multiLevelType w:val="hybridMultilevel"/>
    <w:lvl w:ilvl="0">
      <w:lvlJc w:val="left"/>
      <w:lvlText w:val="%1."/>
      <w:numFmt w:val="upperLetter"/>
      <w:start w:val="2"/>
    </w:lvl>
    <w:lvl w:ilvl="1">
      <w:lvlJc w:val="left"/>
      <w:lvlText w:val="£"/>
      <w:numFmt w:val="bullet"/>
      <w:start w:val="1"/>
    </w:lvl>
  </w:abstractNum>
  <w:abstractNum w:abstractNumId="522">
    <w:nsid w:val="4FB7A02A"/>
    <w:multiLevelType w:val="hybridMultilevel"/>
    <w:lvl w:ilvl="0">
      <w:lvlJc w:val="left"/>
      <w:lvlText w:val="%1."/>
      <w:numFmt w:val="decimal"/>
      <w:start w:val="1"/>
    </w:lvl>
  </w:abstractNum>
  <w:abstractNum w:abstractNumId="523">
    <w:nsid w:val="96CF728"/>
    <w:multiLevelType w:val="hybridMultilevel"/>
    <w:lvl w:ilvl="0">
      <w:lvlJc w:val="left"/>
      <w:lvlText w:val="£"/>
      <w:numFmt w:val="bullet"/>
      <w:start w:val="1"/>
    </w:lvl>
  </w:abstractNum>
  <w:abstractNum w:abstractNumId="524">
    <w:nsid w:val="3B121183"/>
    <w:multiLevelType w:val="hybridMultilevel"/>
    <w:lvl w:ilvl="0">
      <w:lvlJc w:val="left"/>
      <w:lvlText w:val="(%1)"/>
      <w:numFmt w:val="lowerLetter"/>
      <w:start w:val="1"/>
    </w:lvl>
    <w:lvl w:ilvl="1">
      <w:lvlJc w:val="left"/>
      <w:lvlText w:val="(%2)"/>
      <w:numFmt w:val="lowerLetter"/>
      <w:start w:val="1"/>
    </w:lvl>
  </w:abstractNum>
  <w:abstractNum w:abstractNumId="525">
    <w:nsid w:val="3459648F"/>
    <w:multiLevelType w:val="hybridMultilevel"/>
    <w:lvl w:ilvl="0">
      <w:lvlJc w:val="left"/>
      <w:lvlText w:val="(%1)"/>
      <w:numFmt w:val="lowerLetter"/>
      <w:start w:val="5"/>
    </w:lvl>
  </w:abstractNum>
  <w:abstractNum w:abstractNumId="526">
    <w:nsid w:val="3ADF331D"/>
    <w:multiLevelType w:val="hybridMultilevel"/>
    <w:lvl w:ilvl="0">
      <w:lvlJc w:val="left"/>
      <w:lvlText w:val="*"/>
      <w:numFmt w:val="bullet"/>
      <w:start w:val="1"/>
    </w:lvl>
  </w:abstractNum>
  <w:abstractNum w:abstractNumId="527">
    <w:nsid w:val="4D08A9E4"/>
    <w:multiLevelType w:val="hybridMultilevel"/>
    <w:lvl w:ilvl="0">
      <w:lvlJc w:val="left"/>
      <w:lvlText w:val="**"/>
      <w:numFmt w:val="bullet"/>
      <w:start w:val="1"/>
    </w:lvl>
  </w:abstractNum>
  <w:abstractNum w:abstractNumId="528">
    <w:nsid w:val="6AF2BB3A"/>
    <w:multiLevelType w:val="hybridMultilevel"/>
    <w:lvl w:ilvl="0">
      <w:lvlJc w:val="left"/>
      <w:lvlText w:val="***"/>
      <w:numFmt w:val="bullet"/>
      <w:start w:val="1"/>
    </w:lvl>
  </w:abstractNum>
  <w:abstractNum w:abstractNumId="529">
    <w:nsid w:val="481B1739"/>
    <w:multiLevelType w:val="hybridMultilevel"/>
    <w:lvl w:ilvl="0">
      <w:lvlJc w:val="left"/>
      <w:lvlText w:val="†"/>
      <w:numFmt w:val="bullet"/>
      <w:start w:val="1"/>
    </w:lvl>
  </w:abstractNum>
  <w:abstractNum w:abstractNumId="530">
    <w:nsid w:val="19E2BFC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31">
    <w:nsid w:val="66D021C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532">
    <w:nsid w:val="561673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533">
    <w:nsid w:val="921145C"/>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4"/>
      <w:numFmt w:val="lowerRoman"/>
      <w:start w:val="1"/>
    </w:lvl>
  </w:abstractNum>
  <w:abstractNum w:abstractNumId="534">
    <w:nsid w:val="7B34DFE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51" Type="http://schemas.openxmlformats.org/officeDocument/2006/relationships/image" Target="media/image638.png"/><Relationship Id="rId652" Type="http://schemas.openxmlformats.org/officeDocument/2006/relationships/image" Target="media/image639.png"/><Relationship Id="rId653" Type="http://schemas.openxmlformats.org/officeDocument/2006/relationships/image" Target="media/image640.png"/><Relationship Id="rId654" Type="http://schemas.openxmlformats.org/officeDocument/2006/relationships/image" Target="media/image641.png"/><Relationship Id="rId645" Type="http://schemas.openxmlformats.org/officeDocument/2006/relationships/hyperlink" Target="http://www.sec.gov/Archives/edgar/data/1816736/000121390020022350/ea125578ex3-1_fsdevelop.htm" TargetMode="External"/><Relationship Id="rId646" Type="http://schemas.openxmlformats.org/officeDocument/2006/relationships/hyperlink" Target="http://www.sec.gov/Archives/edgar/data/1816736/000121390020020902/fs12020a1ex3-4_fsdevelopmnt.htm" TargetMode="External"/><Relationship Id="rId647" Type="http://schemas.openxmlformats.org/officeDocument/2006/relationships/hyperlink" Target="http://www.sec.gov/Archives/edgar/data/1816736/000121390020032122/ea128463ex10-3_fsdevelopment.htm" TargetMode="External"/><Relationship Id="rId648" Type="http://schemas.openxmlformats.org/officeDocument/2006/relationships/hyperlink" Target="http://www.sec.gov/Archives/edgar/data/1816736/000121390020034347/fs42020ex10-5_geminifsdev.htm" TargetMode="External"/><Relationship Id="rId649" Type="http://schemas.openxmlformats.org/officeDocument/2006/relationships/hyperlink" Target="http://www.sec.gov/Archives/edgar/data/1816736/000121390020041408/fs42020a1ex10-7_gemini.htm" TargetMode="External"/><Relationship Id="rId650" Type="http://schemas.openxmlformats.org/officeDocument/2006/relationships/hyperlink" Target="http://www.sec.gov/Archives/edgar/data/1816736/000121390020034347/fs42020_geminifsdevcorp.htm#T1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2021-01-12T05:11:19Z</dcterms:created>
  <dcterms:modified xsi:type="dcterms:W3CDTF">2021-01-12T05:11:19Z</dcterms:modified>
</cp:coreProperties>
</file>