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60"/>
        <w:spacing w:after="0" w:line="241"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10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06" w:right="59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750,000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4"/>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4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Adage Capital Partners GP, L.L.C.</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750,000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3" w:hanging="263"/>
        <w:spacing w:after="0" w:line="282" w:lineRule="exact"/>
        <w:tabs>
          <w:tab w:leader="none" w:pos="263" w:val="left"/>
        </w:tabs>
        <w:numPr>
          <w:ilvl w:val="0"/>
          <w:numId w:val="7"/>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33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Adage Capital Management,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8"/>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750,000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0"/>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1"/>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750,000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13"/>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 OF REPORTING PERSON</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750,000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750,000</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3" w:hanging="263"/>
        <w:spacing w:after="0" w:line="282" w:lineRule="exact"/>
        <w:tabs>
          <w:tab w:leader="none" w:pos="263" w:val="left"/>
        </w:tabs>
        <w:numPr>
          <w:ilvl w:val="0"/>
          <w:numId w:val="16"/>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468"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10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name of the issuer is Disc Medicine,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6" w:lineRule="exact"/>
        <w:rPr>
          <w:sz w:val="20"/>
          <w:szCs w:val="20"/>
          <w:color w:val="auto"/>
        </w:rPr>
      </w:pPr>
    </w:p>
    <w:p>
      <w:pPr>
        <w:ind w:left="1800" w:right="360"/>
        <w:spacing w:after="0" w:line="246" w:lineRule="auto"/>
        <w:rPr>
          <w:sz w:val="20"/>
          <w:szCs w:val="20"/>
          <w:color w:val="auto"/>
        </w:rPr>
      </w:pPr>
      <w:r>
        <w:rPr>
          <w:rFonts w:ascii="Times New Roman" w:cs="Times New Roman" w:eastAsia="Times New Roman" w:hAnsi="Times New Roman"/>
          <w:sz w:val="20"/>
          <w:szCs w:val="20"/>
          <w:color w:val="auto"/>
        </w:rPr>
        <w:t>The Company’s principal executive offices are located at 321 Arsenal Street, Suite 101, Watertown, Massachusetts 02472.</w:t>
      </w:r>
    </w:p>
    <w:p>
      <w:pPr>
        <w:spacing w:after="0" w:line="19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07" w:lineRule="exact"/>
        <w:rPr>
          <w:sz w:val="20"/>
          <w:szCs w:val="20"/>
          <w:color w:val="auto"/>
        </w:rPr>
      </w:pPr>
    </w:p>
    <w:p>
      <w:pPr>
        <w:ind w:left="2580" w:right="520" w:hanging="787"/>
        <w:spacing w:after="0" w:line="269" w:lineRule="auto"/>
        <w:tabs>
          <w:tab w:leader="none" w:pos="2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 Delaware limited partnership (“</w:t>
      </w:r>
      <w:r>
        <w:rPr>
          <w:rFonts w:ascii="Times New Roman" w:cs="Times New Roman" w:eastAsia="Times New Roman" w:hAnsi="Times New Roman"/>
          <w:sz w:val="20"/>
          <w:szCs w:val="20"/>
          <w:u w:val="single" w:color="auto"/>
          <w:color w:val="auto"/>
        </w:rPr>
        <w:t>ACP</w:t>
      </w:r>
      <w:r>
        <w:rPr>
          <w:rFonts w:ascii="Times New Roman" w:cs="Times New Roman" w:eastAsia="Times New Roman" w:hAnsi="Times New Roman"/>
          <w:sz w:val="20"/>
          <w:szCs w:val="20"/>
          <w:color w:val="auto"/>
        </w:rPr>
        <w:t>”) with respect to the Common Stock directly owned by it;</w:t>
      </w:r>
    </w:p>
    <w:p>
      <w:pPr>
        <w:spacing w:after="0" w:line="172" w:lineRule="exact"/>
        <w:rPr>
          <w:rFonts w:ascii="Times New Roman" w:cs="Times New Roman" w:eastAsia="Times New Roman" w:hAnsi="Times New Roman"/>
          <w:sz w:val="20"/>
          <w:szCs w:val="20"/>
          <w:color w:val="auto"/>
        </w:rPr>
      </w:pPr>
    </w:p>
    <w:p>
      <w:pPr>
        <w:ind w:left="2580" w:right="160" w:hanging="787"/>
        <w:spacing w:after="0" w:line="295" w:lineRule="auto"/>
        <w:tabs>
          <w:tab w:leader="none" w:pos="25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Adage Capital Partners GP, L.L.C., a limited liability company organized under the laws of the State of Delaware (“</w:t>
      </w:r>
      <w:r>
        <w:rPr>
          <w:rFonts w:ascii="Times New Roman" w:cs="Times New Roman" w:eastAsia="Times New Roman" w:hAnsi="Times New Roman"/>
          <w:sz w:val="19"/>
          <w:szCs w:val="19"/>
          <w:u w:val="single" w:color="auto"/>
          <w:color w:val="auto"/>
        </w:rPr>
        <w:t>ACPGP</w:t>
      </w:r>
      <w:r>
        <w:rPr>
          <w:rFonts w:ascii="Times New Roman" w:cs="Times New Roman" w:eastAsia="Times New Roman" w:hAnsi="Times New Roman"/>
          <w:sz w:val="19"/>
          <w:szCs w:val="19"/>
          <w:color w:val="auto"/>
        </w:rPr>
        <w:t>”), as general partner of ACP with respect to the Common Stock directly owned by ACP;</w:t>
      </w:r>
    </w:p>
    <w:p>
      <w:pPr>
        <w:spacing w:after="0" w:line="151" w:lineRule="exact"/>
        <w:rPr>
          <w:rFonts w:ascii="Times New Roman" w:cs="Times New Roman" w:eastAsia="Times New Roman" w:hAnsi="Times New Roman"/>
          <w:sz w:val="19"/>
          <w:szCs w:val="19"/>
          <w:color w:val="auto"/>
        </w:rPr>
      </w:pPr>
    </w:p>
    <w:p>
      <w:pPr>
        <w:ind w:left="2580" w:right="440" w:hanging="787"/>
        <w:spacing w:after="0" w:line="269" w:lineRule="auto"/>
        <w:tabs>
          <w:tab w:leader="none" w:pos="2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Management, L.P., a Delaware limited partnership (“</w:t>
      </w:r>
      <w:r>
        <w:rPr>
          <w:rFonts w:ascii="Times New Roman" w:cs="Times New Roman" w:eastAsia="Times New Roman" w:hAnsi="Times New Roman"/>
          <w:sz w:val="20"/>
          <w:szCs w:val="20"/>
          <w:u w:val="single" w:color="auto"/>
          <w:color w:val="auto"/>
        </w:rPr>
        <w:t>ACM</w:t>
      </w:r>
      <w:r>
        <w:rPr>
          <w:rFonts w:ascii="Times New Roman" w:cs="Times New Roman" w:eastAsia="Times New Roman" w:hAnsi="Times New Roman"/>
          <w:sz w:val="20"/>
          <w:szCs w:val="20"/>
          <w:color w:val="auto"/>
        </w:rPr>
        <w:t>”), as the investment manager of ACP, with respect to the Common Stock directly owned by ACP;</w:t>
      </w:r>
    </w:p>
    <w:p>
      <w:pPr>
        <w:spacing w:after="0" w:line="172" w:lineRule="exact"/>
        <w:rPr>
          <w:rFonts w:ascii="Times New Roman" w:cs="Times New Roman" w:eastAsia="Times New Roman" w:hAnsi="Times New Roman"/>
          <w:sz w:val="20"/>
          <w:szCs w:val="20"/>
          <w:color w:val="auto"/>
        </w:rPr>
      </w:pPr>
    </w:p>
    <w:p>
      <w:pPr>
        <w:ind w:left="2580" w:right="180" w:hanging="787"/>
        <w:spacing w:after="0" w:line="266" w:lineRule="auto"/>
        <w:tabs>
          <w:tab w:leader="none" w:pos="258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Robert Atchinson (“</w:t>
      </w:r>
      <w:r>
        <w:rPr>
          <w:rFonts w:ascii="Times New Roman" w:cs="Times New Roman" w:eastAsia="Times New Roman" w:hAnsi="Times New Roman"/>
          <w:sz w:val="19"/>
          <w:szCs w:val="19"/>
          <w:u w:val="single" w:color="auto"/>
          <w:color w:val="auto"/>
        </w:rPr>
        <w:t>Mr. Atchinson</w:t>
      </w:r>
      <w:r>
        <w:rPr>
          <w:rFonts w:ascii="Times New Roman" w:cs="Times New Roman" w:eastAsia="Times New Roman" w:hAnsi="Times New Roman"/>
          <w:sz w:val="19"/>
          <w:szCs w:val="19"/>
          <w:color w:val="auto"/>
        </w:rPr>
        <w:t>”), as (1) managing member of Adage Capital Advisors, L.L.C., a limited liability company organized under the laws of the State of Delaware (“</w:t>
      </w:r>
      <w:r>
        <w:rPr>
          <w:rFonts w:ascii="Times New Roman" w:cs="Times New Roman" w:eastAsia="Times New Roman" w:hAnsi="Times New Roman"/>
          <w:sz w:val="19"/>
          <w:szCs w:val="19"/>
          <w:u w:val="single" w:color="auto"/>
          <w:color w:val="auto"/>
        </w:rPr>
        <w:t>ACA</w:t>
      </w:r>
      <w:r>
        <w:rPr>
          <w:rFonts w:ascii="Times New Roman" w:cs="Times New Roman" w:eastAsia="Times New Roman" w:hAnsi="Times New Roman"/>
          <w:sz w:val="19"/>
          <w:szCs w:val="19"/>
          <w:color w:val="auto"/>
        </w:rPr>
        <w:t>”), managing member of ACPGP and (2) managing member of Adage Capital Partners LLC, a Delaware limited liability company (“</w:t>
      </w:r>
      <w:r>
        <w:rPr>
          <w:rFonts w:ascii="Times New Roman" w:cs="Times New Roman" w:eastAsia="Times New Roman" w:hAnsi="Times New Roman"/>
          <w:sz w:val="19"/>
          <w:szCs w:val="19"/>
          <w:u w:val="single" w:color="auto"/>
          <w:color w:val="auto"/>
        </w:rPr>
        <w:t>ACPLLC</w:t>
      </w:r>
      <w:r>
        <w:rPr>
          <w:rFonts w:ascii="Times New Roman" w:cs="Times New Roman" w:eastAsia="Times New Roman" w:hAnsi="Times New Roman"/>
          <w:sz w:val="19"/>
          <w:szCs w:val="19"/>
          <w:color w:val="auto"/>
        </w:rPr>
        <w:t>”), general partner of ACM, with respect to the Common Stock directly owned by ACP; and</w:t>
      </w:r>
    </w:p>
    <w:p>
      <w:pPr>
        <w:spacing w:after="0" w:line="178" w:lineRule="exact"/>
        <w:rPr>
          <w:rFonts w:ascii="Times New Roman" w:cs="Times New Roman" w:eastAsia="Times New Roman" w:hAnsi="Times New Roman"/>
          <w:sz w:val="19"/>
          <w:szCs w:val="19"/>
          <w:color w:val="auto"/>
        </w:rPr>
      </w:pPr>
    </w:p>
    <w:p>
      <w:pPr>
        <w:ind w:left="2580" w:right="240" w:hanging="787"/>
        <w:spacing w:after="0" w:line="254" w:lineRule="auto"/>
        <w:tabs>
          <w:tab w:leader="none" w:pos="2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Phillip Gross (“</w:t>
      </w:r>
      <w:r>
        <w:rPr>
          <w:rFonts w:ascii="Times New Roman" w:cs="Times New Roman" w:eastAsia="Times New Roman" w:hAnsi="Times New Roman"/>
          <w:sz w:val="20"/>
          <w:szCs w:val="20"/>
          <w:u w:val="single" w:color="auto"/>
          <w:color w:val="auto"/>
        </w:rPr>
        <w:t>Mr. Gross</w:t>
      </w:r>
      <w:r>
        <w:rPr>
          <w:rFonts w:ascii="Times New Roman" w:cs="Times New Roman" w:eastAsia="Times New Roman" w:hAnsi="Times New Roman"/>
          <w:sz w:val="20"/>
          <w:szCs w:val="20"/>
          <w:color w:val="auto"/>
        </w:rPr>
        <w:t>”), as (1) managing member of ACA, managing member of ACPGP and (2) managing member of ACPLLC, general partner of ACM, with respect to the Common Stock directly owned by ACP.</w:t>
      </w:r>
    </w:p>
    <w:p>
      <w:pPr>
        <w:spacing w:after="0" w:line="188" w:lineRule="exact"/>
        <w:rPr>
          <w:sz w:val="20"/>
          <w:szCs w:val="20"/>
          <w:color w:val="auto"/>
        </w:rPr>
      </w:pPr>
    </w:p>
    <w:p>
      <w:pPr>
        <w:ind w:left="1800" w:right="120"/>
        <w:spacing w:after="0" w:line="254" w:lineRule="auto"/>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 Any disclosures herein with respect to persons other than the Reporting Persons are made on information and belief after making inquiry to the appropriate party.</w:t>
      </w:r>
    </w:p>
    <w:p>
      <w:pPr>
        <w:spacing w:after="0" w:line="188" w:lineRule="exact"/>
        <w:rPr>
          <w:sz w:val="20"/>
          <w:szCs w:val="20"/>
          <w:color w:val="auto"/>
        </w:rPr>
      </w:pPr>
    </w:p>
    <w:p>
      <w:pPr>
        <w:ind w:left="1800" w:right="44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 beneficial ownership of the securities reported herein.</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6" w:lineRule="exact"/>
        <w:rPr>
          <w:sz w:val="20"/>
          <w:szCs w:val="20"/>
          <w:color w:val="auto"/>
        </w:rPr>
      </w:pPr>
    </w:p>
    <w:p>
      <w:pPr>
        <w:ind w:left="1800" w:right="540"/>
        <w:spacing w:after="0" w:line="246"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ectPr>
          <w:pgSz w:w="11900" w:h="16838" w:orient="portrait"/>
          <w:cols w:equalWidth="0" w:num="1">
            <w:col w:w="11240"/>
          </w:cols>
          <w:pgMar w:left="320" w:top="468"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8 of 10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CITIZENSHIP</w:t>
      </w:r>
    </w:p>
    <w:p>
      <w:pPr>
        <w:spacing w:after="0" w:line="26" w:lineRule="exact"/>
        <w:rPr>
          <w:sz w:val="20"/>
          <w:szCs w:val="20"/>
          <w:color w:val="auto"/>
        </w:rPr>
      </w:pPr>
    </w:p>
    <w:p>
      <w:pPr>
        <w:ind w:left="1800" w:right="300"/>
        <w:spacing w:after="0" w:line="242" w:lineRule="auto"/>
        <w:rPr>
          <w:sz w:val="20"/>
          <w:szCs w:val="20"/>
          <w:color w:val="auto"/>
        </w:rPr>
      </w:pPr>
      <w:r>
        <w:rPr>
          <w:rFonts w:ascii="Times New Roman" w:cs="Times New Roman" w:eastAsia="Times New Roman" w:hAnsi="Times New Roman"/>
          <w:sz w:val="20"/>
          <w:szCs w:val="20"/>
          <w:color w:val="auto"/>
        </w:rPr>
        <w:t>ACP and ACM are limited partnerships organized under the laws of the State of Delaware. ACPGP is limited liability companies organized under the laws of the State of Delaware. Messrs. Gross and Atchinson are citizens of the United States.</w:t>
      </w:r>
    </w:p>
    <w:p>
      <w:pPr>
        <w:spacing w:after="0" w:line="196"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780" w:type="dxa"/>
            <w:vAlign w:val="bottom"/>
            <w:gridSpan w:val="5"/>
          </w:tcPr>
          <w:p>
            <w:pPr>
              <w:ind w:left="440"/>
              <w:spacing w:after="0" w:line="212" w:lineRule="exact"/>
              <w:rPr>
                <w:sz w:val="20"/>
                <w:szCs w:val="20"/>
                <w:color w:val="auto"/>
              </w:rPr>
            </w:pPr>
            <w:r>
              <w:rPr>
                <w:rFonts w:ascii="Times New Roman" w:cs="Times New Roman" w:eastAsia="Times New Roman" w:hAnsi="Times New Roman"/>
                <w:sz w:val="20"/>
                <w:szCs w:val="20"/>
                <w:color w:val="auto"/>
              </w:rPr>
              <w:t>Common Stock, par value $0.0001 per share (the “Common Stock”).</w:t>
            </w: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38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r>
      <w:tr>
        <w:trPr>
          <w:trHeight w:val="258"/>
        </w:trPr>
        <w:tc>
          <w:tcPr>
            <w:tcW w:w="1260" w:type="dxa"/>
            <w:vAlign w:val="bottom"/>
          </w:tcPr>
          <w:p>
            <w:pPr>
              <w:spacing w:after="0"/>
              <w:rPr>
                <w:sz w:val="22"/>
                <w:szCs w:val="22"/>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20"/>
                <w:szCs w:val="20"/>
                <w:color w:val="auto"/>
              </w:rPr>
              <w:t>254604101</w:t>
            </w:r>
          </w:p>
        </w:tc>
        <w:tc>
          <w:tcPr>
            <w:tcW w:w="2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160" w:type="dxa"/>
            <w:vAlign w:val="bottom"/>
          </w:tcPr>
          <w:p>
            <w:pPr>
              <w:spacing w:after="0"/>
              <w:rPr>
                <w:sz w:val="22"/>
                <w:szCs w:val="22"/>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80" w:type="dxa"/>
            <w:vAlign w:val="bottom"/>
            <w:gridSpan w:val="5"/>
          </w:tcPr>
          <w:p>
            <w:pPr>
              <w:ind w:left="440"/>
              <w:spacing w:after="0"/>
              <w:rPr>
                <w:sz w:val="20"/>
                <w:szCs w:val="20"/>
                <w:color w:val="auto"/>
              </w:rPr>
            </w:pPr>
            <w:r>
              <w:rPr>
                <w:rFonts w:ascii="Times New Roman" w:cs="Times New Roman" w:eastAsia="Times New Roman" w:hAnsi="Times New Roman"/>
                <w:sz w:val="20"/>
                <w:szCs w:val="20"/>
                <w:b w:val="1"/>
                <w:bCs w:val="1"/>
                <w:color w:val="auto"/>
                <w:w w:val="98"/>
              </w:rPr>
              <w:t>IF THIS STATEMENT IS FILED PURSUANT TO Rules 13d-1(b), OR 13d-2(b) OR (c), CHECK WHETHER</w:t>
            </w:r>
          </w:p>
        </w:tc>
      </w:tr>
      <w:tr>
        <w:trPr>
          <w:trHeight w:val="202"/>
        </w:trPr>
        <w:tc>
          <w:tcPr>
            <w:tcW w:w="1260" w:type="dxa"/>
            <w:vAlign w:val="bottom"/>
          </w:tcPr>
          <w:p>
            <w:pPr>
              <w:spacing w:after="0"/>
              <w:rPr>
                <w:sz w:val="17"/>
                <w:szCs w:val="17"/>
                <w:color w:val="auto"/>
              </w:rPr>
            </w:pPr>
          </w:p>
        </w:tc>
        <w:tc>
          <w:tcPr>
            <w:tcW w:w="9780" w:type="dxa"/>
            <w:vAlign w:val="bottom"/>
            <w:gridSpan w:val="5"/>
          </w:tcPr>
          <w:p>
            <w:pPr>
              <w:ind w:left="440"/>
              <w:spacing w:after="0" w:line="203" w:lineRule="exact"/>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334"/>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6"/>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6"/>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An investment adviser in accordance with Rule 13d-1(b)(1)(ii)(E);</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tc>
      </w:tr>
      <w:tr>
        <w:trPr>
          <w:trHeight w:val="387"/>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A church plan that is excluded from the definition of an investment company under Section 3(c)(14)</w:t>
            </w:r>
          </w:p>
        </w:tc>
      </w:tr>
      <w:tr>
        <w:trPr>
          <w:trHeight w:val="258"/>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of the Investment Company Act;</w:t>
            </w:r>
          </w:p>
        </w:tc>
      </w:tr>
      <w:tr>
        <w:trPr>
          <w:trHeight w:val="503"/>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(j)</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 non-U.S. institution in accordance with Rule 13d-1(b)(1)(ii)(J);</w:t>
            </w:r>
          </w:p>
        </w:tc>
      </w:tr>
      <w:tr>
        <w:trPr>
          <w:trHeight w:val="44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(k)</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Group, in accordance with Rule 13d-1(b)(1)(ii)(K).</w:t>
            </w:r>
          </w:p>
        </w:tc>
      </w:tr>
    </w:tbl>
    <w:p>
      <w:pPr>
        <w:spacing w:after="0" w:line="144"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 xml:space="preserve">If filing as a non-U.S. institution in accordance with Rule 13d-1(b)(1)(ii)(J), please specify the type of institution: </w:t>
      </w:r>
      <w:r>
        <w:rPr>
          <w:rFonts w:ascii="Times New Roman" w:cs="Times New Roman" w:eastAsia="Times New Roman" w:hAnsi="Times New Roman"/>
          <w:sz w:val="20"/>
          <w:szCs w:val="20"/>
          <w:u w:val="single" w:color="auto"/>
          <w:color w:val="auto"/>
        </w:rPr>
        <w:t>Not applicable.</w:t>
      </w:r>
    </w:p>
    <w:p>
      <w:pPr>
        <w:sectPr>
          <w:pgSz w:w="11900" w:h="16838" w:orient="portrait"/>
          <w:cols w:equalWidth="0" w:num="1">
            <w:col w:w="11240"/>
          </w:cols>
          <w:pgMar w:left="320" w:top="468"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9 of 10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58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such Reporting Person.</w:t>
      </w:r>
    </w:p>
    <w:p>
      <w:pPr>
        <w:spacing w:after="0" w:line="173" w:lineRule="exact"/>
        <w:rPr>
          <w:sz w:val="20"/>
          <w:szCs w:val="20"/>
          <w:color w:val="auto"/>
        </w:rPr>
      </w:pPr>
    </w:p>
    <w:p>
      <w:pPr>
        <w:ind w:left="1800" w:right="240"/>
        <w:spacing w:after="0" w:line="254" w:lineRule="auto"/>
        <w:rPr>
          <w:sz w:val="20"/>
          <w:szCs w:val="20"/>
          <w:color w:val="auto"/>
        </w:rPr>
      </w:pPr>
      <w:r>
        <w:rPr>
          <w:rFonts w:ascii="Times New Roman" w:cs="Times New Roman" w:eastAsia="Times New Roman" w:hAnsi="Times New Roman"/>
          <w:sz w:val="20"/>
          <w:szCs w:val="20"/>
          <w:color w:val="auto"/>
        </w:rPr>
        <w:t>The percentage set forth in this Schedule 13G/A is calculated based upon 24,140,428 shares of Common Stock as of November 7, 2023 as reported to be outstanding in the Company’s Quarterly Report on Form 10-Q for the period ended September 30, 2023 and filed with the Securities and Exchange Commission on November 9, 2023.</w:t>
      </w:r>
    </w:p>
    <w:p>
      <w:pPr>
        <w:spacing w:after="0" w:line="184"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800" w:right="200"/>
        <w:spacing w:after="0" w:line="254" w:lineRule="exact"/>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0"/>
          <w:szCs w:val="20"/>
          <w:color w:val="auto"/>
        </w:rPr>
        <w:t>☒</w:t>
      </w:r>
    </w:p>
    <w:p>
      <w:pPr>
        <w:spacing w:after="0" w:line="168"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right="2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SECURITY BEING REPORTED ON BY THE PARENT HOLDING COMPANY OR CONTROL PERSON </w:t>
      </w: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800" w:right="18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68"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254604101</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10 of 10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7,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2"/>
      <w:numFmt w:val="bullet"/>
      <w:start w:val="1"/>
    </w:lvl>
  </w:abstractNum>
  <w:abstractNum w:abstractNumId="14">
    <w:nsid w:val="6B68079A"/>
    <w:multiLevelType w:val="hybridMultilevel"/>
    <w:lvl w:ilvl="0">
      <w:lvlJc w:val="left"/>
      <w:lvlText w:val="3"/>
      <w:numFmt w:val="bullet"/>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2024-02-07T06:26:07Z</dcterms:created>
  <dcterms:modified xsi:type="dcterms:W3CDTF">2024-02-07T06:26:07Z</dcterms:modified>
</cp:coreProperties>
</file>