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Filed Pursuant to Rule 424(b)(5)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333-275652</w:t>
      </w:r>
    </w:p>
    <w:p>
      <w:pPr>
        <w:ind w:left="120"/>
        <w:spacing w:after="0" w:line="234" w:lineRule="auto"/>
        <w:rPr>
          <w:sz w:val="20"/>
          <w:szCs w:val="20"/>
          <w:color w:val="auto"/>
        </w:rPr>
      </w:pPr>
      <w:r>
        <w:rPr>
          <w:rFonts w:ascii="Arial" w:cs="Arial" w:eastAsia="Arial" w:hAnsi="Arial"/>
          <w:sz w:val="18"/>
          <w:szCs w:val="18"/>
          <w:b w:val="1"/>
          <w:bCs w:val="1"/>
          <w:color w:val="auto"/>
        </w:rPr>
        <w:t>PROSPECTUS SUPPLEMENT</w:t>
      </w:r>
    </w:p>
    <w:p>
      <w:pPr>
        <w:spacing w:after="0" w:line="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(To Prospectus dated November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1702435</wp:posOffset>
            </wp:positionH>
            <wp:positionV relativeFrom="paragraph">
              <wp:posOffset>229235</wp:posOffset>
            </wp:positionV>
            <wp:extent cx="373761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3761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Up to $192,832,832</w:t>
      </w: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187325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120" w:right="60"/>
        <w:spacing w:after="0" w:line="229" w:lineRule="auto"/>
        <w:rPr>
          <w:sz w:val="20"/>
          <w:szCs w:val="20"/>
          <w:color w:val="auto"/>
        </w:rPr>
      </w:pPr>
      <w:r>
        <w:rPr>
          <w:rFonts w:ascii="Arial" w:cs="Arial" w:eastAsia="Arial" w:hAnsi="Arial"/>
          <w:sz w:val="18"/>
          <w:szCs w:val="18"/>
          <w:color w:val="auto"/>
        </w:rPr>
        <w:t>We have entered into an amendment dated, December 5, 2023, or the amendment, to the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or the sales agreement and the sales agreement as amended by the amendment, the amended sales agreement, with Jefferies LLC, or Jefferies, relating to the offer and sale of shares of our common stock, par value $0.0001 per share, common stock, from time to time through Jefferies, acting as our agent, or directly to Jefferies, as principal, to increase the aggregate offering price of the shares of our common stock that we may issue and sell from time to time under the sales agreement from $59,700,000 to $ 200,000,000. As of the date of this prospectus supplement, we have issued and sold shares of our common stock having an aggregate offering price of $7,167,167.89 pursuant to the sales agreement and a prospectus supplement dated October 10, 2023, or the prior prospectus, under our shelf registration statement on Form S-3 (Registration Statement No. 333-269272), or the prior prospectus. We suspended and terminated the prior prospectus supplement effective as of the date of this prospectus supplement. The $192,832,832 of shares of our common stock which may be offered and sold pursuant the amended sales agreement will be offered and sold under this prospectus supplement and the accompanying base prospectus dated November 29, 2023.</w:t>
      </w:r>
    </w:p>
    <w:p>
      <w:pPr>
        <w:spacing w:after="0" w:line="129" w:lineRule="exact"/>
        <w:rPr>
          <w:sz w:val="24"/>
          <w:szCs w:val="24"/>
          <w:color w:val="auto"/>
        </w:rPr>
      </w:pPr>
    </w:p>
    <w:p>
      <w:pPr>
        <w:ind w:left="120" w:right="200"/>
        <w:spacing w:after="0" w:line="271" w:lineRule="auto"/>
        <w:rPr>
          <w:sz w:val="20"/>
          <w:szCs w:val="20"/>
          <w:color w:val="auto"/>
        </w:rPr>
      </w:pPr>
      <w:r>
        <w:rPr>
          <w:rFonts w:ascii="Arial" w:cs="Arial" w:eastAsia="Arial" w:hAnsi="Arial"/>
          <w:sz w:val="18"/>
          <w:szCs w:val="18"/>
          <w:color w:val="auto"/>
        </w:rPr>
        <w:t>Our common stock is listed on The Nasdaq Global Market under the symbol “IRON.” On December 4, 2023, the closing sale price of our common stock on The Nasdaq Global Market was $55.60 per share.</w:t>
      </w:r>
    </w:p>
    <w:p>
      <w:pPr>
        <w:spacing w:after="0" w:line="100" w:lineRule="exact"/>
        <w:rPr>
          <w:sz w:val="24"/>
          <w:szCs w:val="24"/>
          <w:color w:val="auto"/>
        </w:rPr>
      </w:pPr>
    </w:p>
    <w:p>
      <w:pPr>
        <w:ind w:left="120" w:right="20"/>
        <w:spacing w:after="0" w:line="242" w:lineRule="auto"/>
        <w:rPr>
          <w:sz w:val="20"/>
          <w:szCs w:val="20"/>
          <w:color w:val="auto"/>
        </w:rPr>
      </w:pPr>
      <w:r>
        <w:rPr>
          <w:rFonts w:ascii="Arial" w:cs="Arial" w:eastAsia="Arial" w:hAnsi="Arial"/>
          <w:sz w:val="18"/>
          <w:szCs w:val="18"/>
          <w:color w:val="auto"/>
        </w:rPr>
        <w:t>Sales of our common stock, if any, under this prospectus supplement and the accompanying base prospectus will be made by any method permitted that is deemed to be an “at the market offering” as defined in Rule 415(a)(4) promulgated under the Securities Act of 1933, as amended (the “Securities Act”). Jefferies is not required to sell any specific number or dollar amount of securities, but will act as a sales agent using commercially reasonable efforts consistent with its normal sales and trading practices to sell on our behalf all of the shares of common stock requested to be sold by us, on mutually agreed terms between Jefferies and us. There is no arrangement for funds to be received in any escrow, trust or similar arrangement.</w:t>
      </w:r>
    </w:p>
    <w:p>
      <w:pPr>
        <w:spacing w:after="0" w:line="125" w:lineRule="exact"/>
        <w:rPr>
          <w:sz w:val="24"/>
          <w:szCs w:val="24"/>
          <w:color w:val="auto"/>
        </w:rPr>
      </w:pPr>
    </w:p>
    <w:p>
      <w:pPr>
        <w:ind w:left="120" w:right="140"/>
        <w:spacing w:after="0" w:line="242" w:lineRule="auto"/>
        <w:rPr>
          <w:sz w:val="20"/>
          <w:szCs w:val="20"/>
          <w:color w:val="auto"/>
        </w:rPr>
      </w:pPr>
      <w:r>
        <w:rPr>
          <w:rFonts w:ascii="Arial" w:cs="Arial" w:eastAsia="Arial" w:hAnsi="Arial"/>
          <w:sz w:val="18"/>
          <w:szCs w:val="18"/>
          <w:color w:val="auto"/>
        </w:rPr>
        <w:t>Jefferies will be entitled to compensation at a commission rate of up to 3.0% of the gross proceeds of any shares of common stock sold under the amended sales agreement. In connection with the sale of our common stock on our behalf, Jefferies may be deemed to be an “underwriter” within the meaning of the Securities Act and the compensation of Jefferies may be deemed to be underwriting commissions or discounts. We have also agreed to provide indemnification and contribution to Jefferies with respect to certain liabilities, including liabilities under the Securities Act and the Securities Exchange Act of 1934, as amended, or the Exchange Act. See “Plan of Distribution” beginning on page S-13 for additional information regarding the compensation to be paid to Jefferies.</w:t>
      </w:r>
    </w:p>
    <w:p>
      <w:pPr>
        <w:spacing w:after="0" w:line="125" w:lineRule="exact"/>
        <w:rPr>
          <w:sz w:val="24"/>
          <w:szCs w:val="24"/>
          <w:color w:val="auto"/>
        </w:rPr>
      </w:pPr>
    </w:p>
    <w:p>
      <w:pPr>
        <w:ind w:left="120" w:right="20"/>
        <w:spacing w:after="0" w:line="253" w:lineRule="auto"/>
        <w:rPr>
          <w:sz w:val="20"/>
          <w:szCs w:val="20"/>
          <w:color w:val="auto"/>
        </w:rPr>
      </w:pPr>
      <w:r>
        <w:rPr>
          <w:rFonts w:ascii="Arial" w:cs="Arial" w:eastAsia="Arial" w:hAnsi="Arial"/>
          <w:sz w:val="18"/>
          <w:szCs w:val="18"/>
          <w:color w:val="auto"/>
        </w:rPr>
        <w:t>We are an “emerging growth company” and a “smaller reporting company” under the federal securities laws and, as such, we have elected to comply with certain reduced public company reporting requirements for this prospectus supplement. See “Prospectus Supplement Summary—Implications of Being an Emerging Growth Company and a Smaller Reporting Company.”</w:t>
      </w:r>
    </w:p>
    <w:p>
      <w:pPr>
        <w:spacing w:after="0" w:line="223" w:lineRule="exact"/>
        <w:rPr>
          <w:sz w:val="24"/>
          <w:szCs w:val="24"/>
          <w:color w:val="auto"/>
        </w:rPr>
      </w:pPr>
    </w:p>
    <w:p>
      <w:pPr>
        <w:ind w:left="120" w:right="420"/>
        <w:spacing w:after="0" w:line="257" w:lineRule="auto"/>
        <w:rPr>
          <w:sz w:val="20"/>
          <w:szCs w:val="20"/>
          <w:color w:val="auto"/>
        </w:rPr>
      </w:pPr>
      <w:r>
        <w:rPr>
          <w:rFonts w:ascii="Arial" w:cs="Arial" w:eastAsia="Arial" w:hAnsi="Arial"/>
          <w:sz w:val="18"/>
          <w:szCs w:val="18"/>
          <w:b w:val="1"/>
          <w:bCs w:val="1"/>
          <w:color w:val="auto"/>
        </w:rPr>
        <w:t>Investing in our common stock involves a high degree of risk.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xml:space="preserve"> ” beginning on page S-7 of this prospectus supplement, and under similar headings in the other documents that are incorporated by reference into this prospectus supplement concerning factors you should consider before investing in our common stock.</w:t>
      </w:r>
    </w:p>
    <w:p>
      <w:pPr>
        <w:spacing w:after="0" w:line="105" w:lineRule="exact"/>
        <w:rPr>
          <w:sz w:val="24"/>
          <w:szCs w:val="24"/>
          <w:color w:val="auto"/>
        </w:rPr>
      </w:pPr>
    </w:p>
    <w:p>
      <w:pPr>
        <w:ind w:left="120" w:right="40"/>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8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Jefferies</w:t>
      </w: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The date of this prospectus supplement is December 5, 2023.</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46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rPr>
              <w:t>ABOUT THIS PROSPECTUS SUPPLEMENT</w:t>
            </w:r>
          </w:p>
        </w:tc>
        <w:tc>
          <w:tcPr>
            <w:tcW w:w="4660" w:type="dxa"/>
            <w:vAlign w:val="bottom"/>
            <w:gridSpan w:val="4"/>
          </w:tcPr>
          <w:p>
            <w:pPr>
              <w:spacing w:after="0"/>
              <w:rPr>
                <w:sz w:val="16"/>
                <w:szCs w:val="16"/>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S-ii</w:t>
            </w:r>
          </w:p>
        </w:tc>
      </w:tr>
      <w:tr>
        <w:trPr>
          <w:trHeight w:val="385"/>
        </w:trPr>
        <w:tc>
          <w:tcPr>
            <w:tcW w:w="8120" w:type="dxa"/>
            <w:vAlign w:val="bottom"/>
            <w:gridSpan w:val="13"/>
          </w:tcPr>
          <w:p>
            <w:pPr>
              <w:spacing w:after="0"/>
              <w:rPr>
                <w:sz w:val="20"/>
                <w:szCs w:val="20"/>
                <w:color w:val="auto"/>
              </w:rPr>
            </w:pPr>
            <w:r>
              <w:rPr>
                <w:rFonts w:ascii="Arial" w:cs="Arial" w:eastAsia="Arial" w:hAnsi="Arial"/>
                <w:sz w:val="17"/>
                <w:szCs w:val="17"/>
                <w:color w:val="0000EE"/>
              </w:rPr>
              <w:t>CAUTIONARY NOTE REGARDING FORWARD-LOOKING STATEMENTS</w:t>
            </w:r>
          </w:p>
        </w:tc>
        <w:tc>
          <w:tcPr>
            <w:tcW w:w="2900" w:type="dxa"/>
            <w:vAlign w:val="bottom"/>
          </w:tcPr>
          <w:p>
            <w:pPr>
              <w:jc w:val="right"/>
              <w:spacing w:after="0"/>
              <w:rPr>
                <w:sz w:val="20"/>
                <w:szCs w:val="20"/>
                <w:color w:val="auto"/>
              </w:rPr>
            </w:pPr>
            <w:r>
              <w:rPr>
                <w:rFonts w:ascii="Arial" w:cs="Arial" w:eastAsia="Arial" w:hAnsi="Arial"/>
                <w:sz w:val="17"/>
                <w:szCs w:val="17"/>
                <w:color w:val="auto"/>
              </w:rPr>
              <w:t>S-iv</w:t>
            </w:r>
          </w:p>
        </w:tc>
      </w:tr>
      <w:tr>
        <w:trPr>
          <w:trHeight w:val="385"/>
        </w:trPr>
        <w:tc>
          <w:tcPr>
            <w:tcW w:w="33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9"/>
              </w:rPr>
              <w:t>PROSPECTUS SUPPLEMENT SUMMARY</w:t>
            </w:r>
          </w:p>
        </w:tc>
        <w:tc>
          <w:tcPr>
            <w:tcW w:w="2340" w:type="dxa"/>
            <w:vAlign w:val="bottom"/>
            <w:tcBorders>
              <w:top w:val="single" w:sz="8" w:color="0000EE"/>
            </w:tcBorders>
            <w:gridSpan w:val="4"/>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w:t>
            </w:r>
          </w:p>
        </w:tc>
      </w:tr>
      <w:tr>
        <w:trPr>
          <w:trHeight w:val="385"/>
        </w:trPr>
        <w:tc>
          <w:tcPr>
            <w:tcW w:w="8120" w:type="dxa"/>
            <w:vAlign w:val="bottom"/>
            <w:gridSpan w:val="13"/>
          </w:tcPr>
          <w:p>
            <w:pPr>
              <w:spacing w:after="0"/>
              <w:rPr>
                <w:sz w:val="20"/>
                <w:szCs w:val="20"/>
                <w:color w:val="auto"/>
              </w:rPr>
            </w:pPr>
            <w:r>
              <w:rPr>
                <w:rFonts w:ascii="Arial" w:cs="Arial" w:eastAsia="Arial" w:hAnsi="Arial"/>
                <w:sz w:val="17"/>
                <w:szCs w:val="17"/>
                <w:color w:val="0000EE"/>
              </w:rPr>
              <w:t>RISK FACTORS</w:t>
            </w:r>
          </w:p>
        </w:tc>
        <w:tc>
          <w:tcPr>
            <w:tcW w:w="2900" w:type="dxa"/>
            <w:vAlign w:val="bottom"/>
          </w:tcPr>
          <w:p>
            <w:pPr>
              <w:jc w:val="right"/>
              <w:spacing w:after="0"/>
              <w:rPr>
                <w:sz w:val="20"/>
                <w:szCs w:val="20"/>
                <w:color w:val="auto"/>
              </w:rPr>
            </w:pPr>
            <w:r>
              <w:rPr>
                <w:rFonts w:ascii="Arial" w:cs="Arial" w:eastAsia="Arial" w:hAnsi="Arial"/>
                <w:sz w:val="17"/>
                <w:szCs w:val="17"/>
                <w:color w:val="auto"/>
              </w:rPr>
              <w:t>S-7</w:t>
            </w:r>
          </w:p>
        </w:tc>
      </w:tr>
      <w:tr>
        <w:trPr>
          <w:trHeight w:val="20"/>
        </w:trPr>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85"/>
        </w:trPr>
        <w:tc>
          <w:tcPr>
            <w:tcW w:w="164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USE OF PROCEEDS</w:t>
            </w:r>
          </w:p>
        </w:tc>
        <w:tc>
          <w:tcPr>
            <w:tcW w:w="6480" w:type="dxa"/>
            <w:vAlign w:val="bottom"/>
            <w:gridSpan w:val="7"/>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S-9</w:t>
            </w:r>
          </w:p>
        </w:tc>
      </w:tr>
      <w:tr>
        <w:trPr>
          <w:trHeight w:val="385"/>
        </w:trPr>
        <w:tc>
          <w:tcPr>
            <w:tcW w:w="82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rPr>
              <w:t>DILUTION</w:t>
            </w:r>
          </w:p>
        </w:tc>
        <w:tc>
          <w:tcPr>
            <w:tcW w:w="7300" w:type="dxa"/>
            <w:vAlign w:val="bottom"/>
            <w:gridSpan w:val="11"/>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S-10</w:t>
            </w:r>
          </w:p>
        </w:tc>
      </w:tr>
      <w:tr>
        <w:trPr>
          <w:trHeight w:val="385"/>
        </w:trPr>
        <w:tc>
          <w:tcPr>
            <w:tcW w:w="8120" w:type="dxa"/>
            <w:vAlign w:val="bottom"/>
            <w:gridSpan w:val="13"/>
          </w:tcPr>
          <w:p>
            <w:pPr>
              <w:spacing w:after="0"/>
              <w:rPr>
                <w:sz w:val="20"/>
                <w:szCs w:val="20"/>
                <w:color w:val="auto"/>
              </w:rPr>
            </w:pPr>
            <w:r>
              <w:rPr>
                <w:rFonts w:ascii="Arial" w:cs="Arial" w:eastAsia="Arial" w:hAnsi="Arial"/>
                <w:sz w:val="17"/>
                <w:szCs w:val="17"/>
                <w:color w:val="0000EE"/>
              </w:rPr>
              <w:t>DIVIDEND POLICY</w:t>
            </w:r>
          </w:p>
        </w:tc>
        <w:tc>
          <w:tcPr>
            <w:tcW w:w="2900" w:type="dxa"/>
            <w:vAlign w:val="bottom"/>
          </w:tcPr>
          <w:p>
            <w:pPr>
              <w:jc w:val="right"/>
              <w:spacing w:after="0"/>
              <w:rPr>
                <w:sz w:val="20"/>
                <w:szCs w:val="20"/>
                <w:color w:val="auto"/>
              </w:rPr>
            </w:pPr>
            <w:r>
              <w:rPr>
                <w:rFonts w:ascii="Arial" w:cs="Arial" w:eastAsia="Arial" w:hAnsi="Arial"/>
                <w:sz w:val="17"/>
                <w:szCs w:val="17"/>
                <w:color w:val="auto"/>
              </w:rPr>
              <w:t>S-12</w:t>
            </w:r>
          </w:p>
        </w:tc>
      </w:tr>
      <w:tr>
        <w:trPr>
          <w:trHeight w:val="20"/>
        </w:trPr>
        <w:tc>
          <w:tcPr>
            <w:tcW w:w="8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85"/>
        </w:trPr>
        <w:tc>
          <w:tcPr>
            <w:tcW w:w="198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9"/>
              </w:rPr>
              <w:t>PLAN OF DISTRIBUTION</w:t>
            </w:r>
          </w:p>
        </w:tc>
        <w:tc>
          <w:tcPr>
            <w:tcW w:w="6140" w:type="dxa"/>
            <w:vAlign w:val="bottom"/>
            <w:gridSpan w:val="6"/>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S-13</w:t>
            </w:r>
          </w:p>
        </w:tc>
      </w:tr>
      <w:tr>
        <w:trPr>
          <w:trHeight w:val="385"/>
        </w:trPr>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8"/>
              </w:rPr>
              <w:t>LEGAL MATTERS</w:t>
            </w:r>
          </w:p>
        </w:tc>
        <w:tc>
          <w:tcPr>
            <w:tcW w:w="6720" w:type="dxa"/>
            <w:vAlign w:val="bottom"/>
            <w:gridSpan w:val="9"/>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S-15</w:t>
            </w:r>
          </w:p>
        </w:tc>
      </w:tr>
      <w:tr>
        <w:trPr>
          <w:trHeight w:val="385"/>
        </w:trPr>
        <w:tc>
          <w:tcPr>
            <w:tcW w:w="8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EXPERTS</w:t>
            </w:r>
          </w:p>
        </w:tc>
        <w:tc>
          <w:tcPr>
            <w:tcW w:w="7320" w:type="dxa"/>
            <w:vAlign w:val="bottom"/>
            <w:gridSpan w:val="12"/>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S-16</w:t>
            </w:r>
          </w:p>
        </w:tc>
      </w:tr>
      <w:tr>
        <w:trPr>
          <w:trHeight w:val="385"/>
        </w:trPr>
        <w:tc>
          <w:tcPr>
            <w:tcW w:w="370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9"/>
              </w:rPr>
              <w:t>WHERE YOU CAN FIND MORE INFORMATION</w:t>
            </w:r>
          </w:p>
        </w:tc>
        <w:tc>
          <w:tcPr>
            <w:tcW w:w="4420" w:type="dxa"/>
            <w:vAlign w:val="bottom"/>
            <w:gridSpan w:val="3"/>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7"/>
                <w:szCs w:val="17"/>
                <w:color w:val="auto"/>
              </w:rPr>
              <w:t>S-17</w:t>
            </w:r>
          </w:p>
        </w:tc>
      </w:tr>
      <w:tr>
        <w:trPr>
          <w:trHeight w:val="385"/>
        </w:trPr>
        <w:tc>
          <w:tcPr>
            <w:tcW w:w="8120" w:type="dxa"/>
            <w:vAlign w:val="bottom"/>
            <w:gridSpan w:val="13"/>
          </w:tcPr>
          <w:p>
            <w:pPr>
              <w:spacing w:after="0"/>
              <w:rPr>
                <w:sz w:val="20"/>
                <w:szCs w:val="20"/>
                <w:color w:val="auto"/>
              </w:rPr>
            </w:pPr>
            <w:r>
              <w:rPr>
                <w:rFonts w:ascii="Arial" w:cs="Arial" w:eastAsia="Arial" w:hAnsi="Arial"/>
                <w:sz w:val="17"/>
                <w:szCs w:val="17"/>
                <w:color w:val="0000EE"/>
              </w:rPr>
              <w:t>INCORPORATION OF CERTAIN INFORMATION BY REFERENCE</w:t>
            </w:r>
          </w:p>
        </w:tc>
        <w:tc>
          <w:tcPr>
            <w:tcW w:w="2900" w:type="dxa"/>
            <w:vAlign w:val="bottom"/>
          </w:tcPr>
          <w:p>
            <w:pPr>
              <w:jc w:val="right"/>
              <w:spacing w:after="0"/>
              <w:rPr>
                <w:sz w:val="20"/>
                <w:szCs w:val="20"/>
                <w:color w:val="auto"/>
              </w:rPr>
            </w:pPr>
            <w:r>
              <w:rPr>
                <w:rFonts w:ascii="Arial" w:cs="Arial" w:eastAsia="Arial" w:hAnsi="Arial"/>
                <w:sz w:val="17"/>
                <w:szCs w:val="17"/>
                <w:color w:val="auto"/>
              </w:rPr>
              <w:t>S-18</w:t>
            </w:r>
          </w:p>
        </w:tc>
      </w:tr>
      <w:tr>
        <w:trPr>
          <w:trHeight w:val="236"/>
        </w:trPr>
        <w:tc>
          <w:tcPr>
            <w:tcW w:w="80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42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340" w:type="dxa"/>
            <w:vAlign w:val="bottom"/>
            <w:tcBorders>
              <w:top w:val="single" w:sz="8" w:color="0000EE"/>
              <w:bottom w:val="single" w:sz="8" w:color="auto"/>
            </w:tcBorders>
          </w:tcPr>
          <w:p>
            <w:pPr>
              <w:spacing w:after="0"/>
              <w:rPr>
                <w:sz w:val="20"/>
                <w:szCs w:val="20"/>
                <w:color w:val="auto"/>
              </w:rPr>
            </w:pPr>
          </w:p>
        </w:tc>
        <w:tc>
          <w:tcPr>
            <w:tcW w:w="132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240" w:type="dxa"/>
            <w:vAlign w:val="bottom"/>
            <w:tcBorders>
              <w:top w:val="single" w:sz="8" w:color="0000EE"/>
              <w:bottom w:val="single" w:sz="8" w:color="auto"/>
            </w:tcBorders>
          </w:tcPr>
          <w:p>
            <w:pPr>
              <w:spacing w:after="0"/>
              <w:rPr>
                <w:sz w:val="20"/>
                <w:szCs w:val="20"/>
                <w:color w:val="auto"/>
              </w:rPr>
            </w:pPr>
          </w:p>
        </w:tc>
        <w:tc>
          <w:tcPr>
            <w:tcW w:w="1400" w:type="dxa"/>
            <w:vAlign w:val="bottom"/>
            <w:tcBorders>
              <w:top w:val="single" w:sz="8" w:color="0000EE"/>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r>
      <w:tr>
        <w:trPr>
          <w:trHeight w:val="290"/>
        </w:trPr>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10560" w:type="dxa"/>
            <w:vAlign w:val="bottom"/>
            <w:gridSpan w:val="18"/>
          </w:tcPr>
          <w:p>
            <w:pPr>
              <w:spacing w:after="0"/>
              <w:rPr>
                <w:sz w:val="20"/>
                <w:szCs w:val="20"/>
                <w:color w:val="auto"/>
              </w:rPr>
            </w:pPr>
            <w:r>
              <w:rPr>
                <w:rFonts w:ascii="Arial" w:cs="Arial" w:eastAsia="Arial" w:hAnsi="Arial"/>
                <w:sz w:val="18"/>
                <w:szCs w:val="18"/>
                <w:b w:val="1"/>
                <w:bCs w:val="1"/>
                <w:color w:val="auto"/>
              </w:rPr>
              <w:t>Prospectus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60" w:type="dxa"/>
            <w:vAlign w:val="bottom"/>
          </w:tcPr>
          <w:p>
            <w:pPr>
              <w:spacing w:after="0"/>
              <w:rPr>
                <w:sz w:val="19"/>
                <w:szCs w:val="19"/>
                <w:color w:val="auto"/>
              </w:rPr>
            </w:pPr>
          </w:p>
        </w:tc>
      </w:tr>
      <w:tr>
        <w:trPr>
          <w:trHeight w:val="358"/>
        </w:trPr>
        <w:tc>
          <w:tcPr>
            <w:tcW w:w="10560" w:type="dxa"/>
            <w:vAlign w:val="bottom"/>
            <w:gridSpan w:val="18"/>
          </w:tcPr>
          <w:p>
            <w:pPr>
              <w:spacing w:after="0"/>
              <w:rPr>
                <w:sz w:val="20"/>
                <w:szCs w:val="20"/>
                <w:color w:val="auto"/>
              </w:rPr>
            </w:pPr>
            <w:r>
              <w:rPr>
                <w:rFonts w:ascii="Arial" w:cs="Arial" w:eastAsia="Arial" w:hAnsi="Arial"/>
                <w:sz w:val="17"/>
                <w:szCs w:val="17"/>
                <w:color w:val="0000EE"/>
              </w:rPr>
              <w:t>ABOUT THIS PROSPECTUS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r>
      <w:tr>
        <w:trPr>
          <w:trHeight w:val="20"/>
        </w:trPr>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85"/>
        </w:trPr>
        <w:tc>
          <w:tcPr>
            <w:tcW w:w="370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w w:val="99"/>
              </w:rPr>
              <w:t>WHERE YOU CAN FIND MORE INFORMATION</w:t>
            </w:r>
          </w:p>
        </w:tc>
        <w:tc>
          <w:tcPr>
            <w:tcW w:w="6860" w:type="dxa"/>
            <w:vAlign w:val="bottom"/>
            <w:gridSpan w:val="3"/>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r>
      <w:tr>
        <w:trPr>
          <w:trHeight w:val="385"/>
        </w:trPr>
        <w:tc>
          <w:tcPr>
            <w:tcW w:w="5100" w:type="dxa"/>
            <w:vAlign w:val="bottom"/>
            <w:tcBorders>
              <w:bottom w:val="single" w:sz="8" w:color="0000EE"/>
            </w:tcBorders>
            <w:gridSpan w:val="16"/>
          </w:tcPr>
          <w:p>
            <w:pPr>
              <w:spacing w:after="0"/>
              <w:rPr>
                <w:sz w:val="20"/>
                <w:szCs w:val="20"/>
                <w:color w:val="auto"/>
              </w:rPr>
            </w:pPr>
            <w:r>
              <w:rPr>
                <w:rFonts w:ascii="Arial" w:cs="Arial" w:eastAsia="Arial" w:hAnsi="Arial"/>
                <w:sz w:val="17"/>
                <w:szCs w:val="17"/>
                <w:color w:val="0000EE"/>
                <w:w w:val="99"/>
              </w:rPr>
              <w:t>INCORPORATION OF CERTAIN INFORMATION BY REFERENCE</w:t>
            </w:r>
          </w:p>
        </w:tc>
        <w:tc>
          <w:tcPr>
            <w:tcW w:w="5460" w:type="dxa"/>
            <w:vAlign w:val="bottom"/>
            <w:gridSpan w:val="2"/>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r>
      <w:tr>
        <w:trPr>
          <w:trHeight w:val="385"/>
        </w:trPr>
        <w:tc>
          <w:tcPr>
            <w:tcW w:w="10560" w:type="dxa"/>
            <w:vAlign w:val="bottom"/>
            <w:gridSpan w:val="18"/>
          </w:tcPr>
          <w:p>
            <w:pPr>
              <w:spacing w:after="0"/>
              <w:rPr>
                <w:sz w:val="20"/>
                <w:szCs w:val="20"/>
                <w:color w:val="auto"/>
              </w:rPr>
            </w:pPr>
            <w:r>
              <w:rPr>
                <w:rFonts w:ascii="Arial" w:cs="Arial" w:eastAsia="Arial" w:hAnsi="Arial"/>
                <w:sz w:val="17"/>
                <w:szCs w:val="17"/>
                <w:color w:val="0000EE"/>
              </w:rPr>
              <w:t>SPECIAL NOTE REGARDING FORWARD-LOOKING STATEMENTS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r>
      <w:tr>
        <w:trPr>
          <w:trHeight w:val="385"/>
        </w:trPr>
        <w:tc>
          <w:tcPr>
            <w:tcW w:w="18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7"/>
                <w:szCs w:val="17"/>
                <w:color w:val="0000EE"/>
                <w:w w:val="98"/>
              </w:rPr>
              <w:t>ABOUT THE COMPANY</w:t>
            </w:r>
          </w:p>
        </w:tc>
        <w:tc>
          <w:tcPr>
            <w:tcW w:w="3360" w:type="dxa"/>
            <w:vAlign w:val="bottom"/>
            <w:tcBorders>
              <w:top w:val="single" w:sz="8" w:color="0000EE"/>
            </w:tcBorders>
            <w:gridSpan w:val="11"/>
          </w:tcPr>
          <w:p>
            <w:pPr>
              <w:spacing w:after="0"/>
              <w:rPr>
                <w:sz w:val="24"/>
                <w:szCs w:val="24"/>
                <w:color w:val="auto"/>
              </w:rPr>
            </w:pPr>
          </w:p>
        </w:tc>
        <w:tc>
          <w:tcPr>
            <w:tcW w:w="53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r>
      <w:tr>
        <w:trPr>
          <w:trHeight w:val="385"/>
        </w:trPr>
        <w:tc>
          <w:tcPr>
            <w:tcW w:w="10560" w:type="dxa"/>
            <w:vAlign w:val="bottom"/>
            <w:gridSpan w:val="18"/>
          </w:tcPr>
          <w:p>
            <w:pPr>
              <w:spacing w:after="0"/>
              <w:rPr>
                <w:sz w:val="20"/>
                <w:szCs w:val="20"/>
                <w:color w:val="auto"/>
              </w:rPr>
            </w:pPr>
            <w:r>
              <w:rPr>
                <w:rFonts w:ascii="Arial" w:cs="Arial" w:eastAsia="Arial" w:hAnsi="Arial"/>
                <w:sz w:val="17"/>
                <w:szCs w:val="17"/>
                <w:color w:val="0000EE"/>
              </w:rPr>
              <w:t>RISK FACTORS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r>
      <w:tr>
        <w:trPr>
          <w:trHeight w:val="20"/>
        </w:trPr>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85"/>
        </w:trPr>
        <w:tc>
          <w:tcPr>
            <w:tcW w:w="232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8"/>
              </w:rPr>
              <w:t>SELECTED FINANCIAL DATA</w:t>
            </w:r>
          </w:p>
        </w:tc>
        <w:tc>
          <w:tcPr>
            <w:tcW w:w="8240" w:type="dxa"/>
            <w:vAlign w:val="bottom"/>
            <w:gridSpan w:val="8"/>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r>
      <w:tr>
        <w:trPr>
          <w:trHeight w:val="385"/>
        </w:trPr>
        <w:tc>
          <w:tcPr>
            <w:tcW w:w="164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9"/>
              </w:rPr>
              <w:t>USE OF PROCEEDS</w:t>
            </w:r>
          </w:p>
        </w:tc>
        <w:tc>
          <w:tcPr>
            <w:tcW w:w="8920" w:type="dxa"/>
            <w:vAlign w:val="bottom"/>
            <w:gridSpan w:val="13"/>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r>
      <w:tr>
        <w:trPr>
          <w:trHeight w:val="385"/>
        </w:trPr>
        <w:tc>
          <w:tcPr>
            <w:tcW w:w="10560" w:type="dxa"/>
            <w:vAlign w:val="bottom"/>
            <w:gridSpan w:val="18"/>
          </w:tcPr>
          <w:p>
            <w:pPr>
              <w:spacing w:after="0"/>
              <w:rPr>
                <w:sz w:val="20"/>
                <w:szCs w:val="20"/>
                <w:color w:val="auto"/>
              </w:rPr>
            </w:pPr>
            <w:r>
              <w:rPr>
                <w:rFonts w:ascii="Arial" w:cs="Arial" w:eastAsia="Arial" w:hAnsi="Arial"/>
                <w:sz w:val="17"/>
                <w:szCs w:val="17"/>
                <w:color w:val="0000EE"/>
              </w:rPr>
              <w:t>DIVIDEND POLICY</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r>
      <w:tr>
        <w:trPr>
          <w:trHeight w:val="20"/>
        </w:trPr>
        <w:tc>
          <w:tcPr>
            <w:tcW w:w="8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85"/>
        </w:trPr>
        <w:tc>
          <w:tcPr>
            <w:tcW w:w="10560" w:type="dxa"/>
            <w:vAlign w:val="bottom"/>
            <w:gridSpan w:val="18"/>
          </w:tcPr>
          <w:p>
            <w:pPr>
              <w:spacing w:after="0"/>
              <w:rPr>
                <w:sz w:val="20"/>
                <w:szCs w:val="20"/>
                <w:color w:val="auto"/>
              </w:rPr>
            </w:pPr>
            <w:r>
              <w:rPr>
                <w:rFonts w:ascii="Arial" w:cs="Arial" w:eastAsia="Arial" w:hAnsi="Arial"/>
                <w:sz w:val="17"/>
                <w:szCs w:val="17"/>
                <w:color w:val="0000EE"/>
              </w:rPr>
              <w:t>GENERAL DESCRIPTION OF SECURITIES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r>
      <w:tr>
        <w:trPr>
          <w:trHeight w:val="385"/>
        </w:trPr>
        <w:tc>
          <w:tcPr>
            <w:tcW w:w="3380" w:type="dxa"/>
            <w:vAlign w:val="bottom"/>
            <w:tcBorders>
              <w:top w:val="single" w:sz="8" w:color="0000EE"/>
            </w:tcBorders>
            <w:gridSpan w:val="14"/>
          </w:tcPr>
          <w:p>
            <w:pPr>
              <w:spacing w:after="0"/>
              <w:rPr>
                <w:sz w:val="20"/>
                <w:szCs w:val="20"/>
                <w:color w:val="auto"/>
              </w:rPr>
            </w:pPr>
            <w:r>
              <w:rPr>
                <w:rFonts w:ascii="Arial" w:cs="Arial" w:eastAsia="Arial" w:hAnsi="Arial"/>
                <w:sz w:val="17"/>
                <w:szCs w:val="17"/>
                <w:color w:val="0000EE"/>
              </w:rPr>
              <w:t>DESCRIPTION OF CAPITAL STOCK</w:t>
            </w:r>
          </w:p>
        </w:tc>
        <w:tc>
          <w:tcPr>
            <w:tcW w:w="7180" w:type="dxa"/>
            <w:vAlign w:val="bottom"/>
            <w:gridSpan w:val="4"/>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r>
      <w:tr>
        <w:trPr>
          <w:trHeight w:val="20"/>
        </w:trPr>
        <w:tc>
          <w:tcPr>
            <w:tcW w:w="8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85"/>
        </w:trPr>
        <w:tc>
          <w:tcPr>
            <w:tcW w:w="10560" w:type="dxa"/>
            <w:vAlign w:val="bottom"/>
            <w:gridSpan w:val="18"/>
          </w:tcPr>
          <w:p>
            <w:pPr>
              <w:spacing w:after="0"/>
              <w:rPr>
                <w:sz w:val="20"/>
                <w:szCs w:val="20"/>
                <w:color w:val="auto"/>
              </w:rPr>
            </w:pPr>
            <w:r>
              <w:rPr>
                <w:rFonts w:ascii="Arial" w:cs="Arial" w:eastAsia="Arial" w:hAnsi="Arial"/>
                <w:sz w:val="17"/>
                <w:szCs w:val="17"/>
                <w:color w:val="0000EE"/>
              </w:rPr>
              <w:t>DESCRIPTION OF DEBT SECURITIES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25</w:t>
            </w:r>
          </w:p>
        </w:tc>
      </w:tr>
      <w:tr>
        <w:trPr>
          <w:trHeight w:val="385"/>
        </w:trPr>
        <w:tc>
          <w:tcPr>
            <w:tcW w:w="3020" w:type="dxa"/>
            <w:vAlign w:val="bottom"/>
            <w:tcBorders>
              <w:top w:val="single" w:sz="8" w:color="0000EE"/>
            </w:tcBorders>
            <w:gridSpan w:val="13"/>
          </w:tcPr>
          <w:p>
            <w:pPr>
              <w:spacing w:after="0"/>
              <w:rPr>
                <w:sz w:val="20"/>
                <w:szCs w:val="20"/>
                <w:color w:val="auto"/>
              </w:rPr>
            </w:pPr>
            <w:r>
              <w:rPr>
                <w:rFonts w:ascii="Arial" w:cs="Arial" w:eastAsia="Arial" w:hAnsi="Arial"/>
                <w:sz w:val="17"/>
                <w:szCs w:val="17"/>
                <w:color w:val="0000EE"/>
              </w:rPr>
              <w:t>DESCRIPTION OF WARRANTS</w:t>
            </w:r>
          </w:p>
        </w:tc>
        <w:tc>
          <w:tcPr>
            <w:tcW w:w="7540" w:type="dxa"/>
            <w:vAlign w:val="bottom"/>
            <w:gridSpan w:val="5"/>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32</w:t>
            </w:r>
          </w:p>
        </w:tc>
      </w:tr>
      <w:tr>
        <w:trPr>
          <w:trHeight w:val="385"/>
        </w:trPr>
        <w:tc>
          <w:tcPr>
            <w:tcW w:w="2460" w:type="dxa"/>
            <w:vAlign w:val="bottom"/>
            <w:tcBorders>
              <w:top w:val="single" w:sz="8" w:color="0000EE"/>
            </w:tcBorders>
            <w:gridSpan w:val="11"/>
          </w:tcPr>
          <w:p>
            <w:pPr>
              <w:spacing w:after="0"/>
              <w:rPr>
                <w:sz w:val="20"/>
                <w:szCs w:val="20"/>
                <w:color w:val="auto"/>
              </w:rPr>
            </w:pPr>
            <w:r>
              <w:rPr>
                <w:rFonts w:ascii="Arial" w:cs="Arial" w:eastAsia="Arial" w:hAnsi="Arial"/>
                <w:sz w:val="17"/>
                <w:szCs w:val="17"/>
                <w:color w:val="0000EE"/>
              </w:rPr>
              <w:t>DESCRIPTION OF UNITS</w:t>
            </w:r>
          </w:p>
        </w:tc>
        <w:tc>
          <w:tcPr>
            <w:tcW w:w="8100" w:type="dxa"/>
            <w:vAlign w:val="bottom"/>
            <w:gridSpan w:val="7"/>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33</w:t>
            </w:r>
          </w:p>
        </w:tc>
      </w:tr>
      <w:tr>
        <w:trPr>
          <w:trHeight w:val="385"/>
        </w:trPr>
        <w:tc>
          <w:tcPr>
            <w:tcW w:w="19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7"/>
                <w:szCs w:val="17"/>
                <w:color w:val="0000EE"/>
                <w:w w:val="99"/>
              </w:rPr>
              <w:t>PLAN OF DISTRIBUTION</w:t>
            </w:r>
          </w:p>
        </w:tc>
        <w:tc>
          <w:tcPr>
            <w:tcW w:w="20" w:type="dxa"/>
            <w:vAlign w:val="bottom"/>
            <w:tcBorders>
              <w:top w:val="single" w:sz="8" w:color="0000EE"/>
            </w:tcBorders>
          </w:tcPr>
          <w:p>
            <w:pPr>
              <w:spacing w:after="0"/>
              <w:rPr>
                <w:sz w:val="24"/>
                <w:szCs w:val="24"/>
                <w:color w:val="auto"/>
              </w:rPr>
            </w:pPr>
          </w:p>
        </w:tc>
        <w:tc>
          <w:tcPr>
            <w:tcW w:w="8560" w:type="dxa"/>
            <w:vAlign w:val="bottom"/>
            <w:gridSpan w:val="10"/>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36</w:t>
            </w:r>
          </w:p>
        </w:tc>
      </w:tr>
      <w:tr>
        <w:trPr>
          <w:trHeight w:val="385"/>
        </w:trPr>
        <w:tc>
          <w:tcPr>
            <w:tcW w:w="140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98"/>
              </w:rPr>
              <w:t>LEGAL MATTERS</w:t>
            </w:r>
          </w:p>
        </w:tc>
        <w:tc>
          <w:tcPr>
            <w:tcW w:w="9160" w:type="dxa"/>
            <w:vAlign w:val="bottom"/>
            <w:gridSpan w:val="15"/>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39</w:t>
            </w:r>
          </w:p>
        </w:tc>
      </w:tr>
      <w:tr>
        <w:trPr>
          <w:trHeight w:val="385"/>
        </w:trPr>
        <w:tc>
          <w:tcPr>
            <w:tcW w:w="10560" w:type="dxa"/>
            <w:vAlign w:val="bottom"/>
            <w:gridSpan w:val="18"/>
          </w:tcPr>
          <w:p>
            <w:pPr>
              <w:spacing w:after="0"/>
              <w:rPr>
                <w:sz w:val="20"/>
                <w:szCs w:val="20"/>
                <w:color w:val="auto"/>
              </w:rPr>
            </w:pPr>
            <w:r>
              <w:rPr>
                <w:rFonts w:ascii="Arial" w:cs="Arial" w:eastAsia="Arial" w:hAnsi="Arial"/>
                <w:sz w:val="17"/>
                <w:szCs w:val="17"/>
                <w:color w:val="0000EE"/>
              </w:rPr>
              <w:t>EXPERTS</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39</w:t>
            </w:r>
          </w:p>
        </w:tc>
      </w:tr>
      <w:tr>
        <w:trPr>
          <w:trHeight w:val="236"/>
        </w:trPr>
        <w:tc>
          <w:tcPr>
            <w:tcW w:w="800" w:type="dxa"/>
            <w:vAlign w:val="bottom"/>
            <w:tcBorders>
              <w:top w:val="single" w:sz="8" w:color="0000EE"/>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316"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color w:val="auto"/>
        </w:rPr>
        <w:t>This prospectus supplement is part of a registration statement on Form S-3 that we filed with the Securities and Exchange Commission, or the SEC, using a “shelf” registration process on November 20, 2023, which was declared effective on November 29, 2023.</w:t>
      </w:r>
    </w:p>
    <w:p>
      <w:pPr>
        <w:spacing w:after="0" w:line="105"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of shares of our common stock having an aggregate offering price of up to $192,832,832 from time to time at prices and on terms to be determined by market conditions at the time of offering. The second part is the accompanying base prospectus, which provides more general information, some of which may not apply to this offering.</w:t>
      </w:r>
    </w:p>
    <w:p>
      <w:pPr>
        <w:spacing w:after="0" w:line="123"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Before buying any of the shares of common stock offered hereby, we urge you to read carefully this prospectus supplement and the accompanying base prospectus, together with the information incorporated herein by reference as described below under the heading “Incorporation of Certain Information by Reference.” These documents contain important information that you should consider when making your investment decision. To the extent there is a conflict between the information contained in this prospectus supplement, on the one hand, and the accompanying base prospectus or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 for example, a document incorporated by reference in this prospectus—the statement in the document having the later date modifies or supersedes the earlier statement.</w:t>
      </w:r>
    </w:p>
    <w:p>
      <w:pPr>
        <w:spacing w:after="0" w:line="133"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have not, and Jefferies has not, authorized anyone to provide you with information other than the information that we have provided or incorporated by reference in this prospectus supplement or the accompanying base prospectus and your reliance on any unauthorized information or representation is at your own risk. This prospectus supplement may be used only in jurisdictions where offers and sales of these securities are permitted.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w:t>
      </w:r>
    </w:p>
    <w:p>
      <w:pPr>
        <w:spacing w:after="0" w:line="128"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are offering to sell, and seeking offers to buy, shares of common stock only in jurisdictions where offers and sales are permitted. The distribution of this prospectus supplement and the accompanying base prospectus and the offering of the common stock in certain jurisdictions may be restricted by law. No action is being taken in any jurisdiction outside the United States to permit a public offering of the securities or possession or distribution of this prospectus supplement or the accompanying base prospectus in that jurisdiction. Persons outside the United States who come into possession of this prospectus supplement and the accompanying base prospectus must inform themselves about, and observe any restrictions relating to, the offering of the common stock and pre-funded warrants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p>
    <w:p>
      <w:pPr>
        <w:spacing w:after="0" w:line="130"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S-iii</w:t>
      </w:r>
    </w:p>
    <w:p>
      <w:pPr>
        <w:sectPr>
          <w:pgSz w:w="11900" w:h="16838" w:orient="portrait"/>
          <w:cols w:equalWidth="0" w:num="1">
            <w:col w:w="11060"/>
          </w:cols>
          <w:pgMar w:left="320" w:top="455"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6"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color w:val="auto"/>
        </w:rPr>
        <w:t>This prospectus supplement, the accompanying base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base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170" w:lineRule="exact"/>
        <w:rPr>
          <w:sz w:val="20"/>
          <w:szCs w:val="20"/>
          <w:color w:val="auto"/>
        </w:rPr>
      </w:pPr>
    </w:p>
    <w:p>
      <w:pPr>
        <w:ind w:left="980" w:right="60" w:hanging="432"/>
        <w:spacing w:after="0" w:line="246"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efficiently discover and develop product candidates;</w:t>
      </w:r>
    </w:p>
    <w:p>
      <w:pPr>
        <w:spacing w:after="0" w:line="34" w:lineRule="exact"/>
        <w:rPr>
          <w:rFonts w:ascii="MS PGothic" w:cs="MS PGothic" w:eastAsia="MS PGothic" w:hAnsi="MS PGothic"/>
          <w:sz w:val="13"/>
          <w:szCs w:val="13"/>
          <w:color w:val="auto"/>
        </w:rPr>
      </w:pPr>
    </w:p>
    <w:p>
      <w:pPr>
        <w:ind w:left="980" w:right="300" w:hanging="432"/>
        <w:spacing w:after="0" w:line="253"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and the potential to successfully manufacture our drug substances and product candidates for preclinical use, for clinical trials and on a larger scale for commercial use, if approved;</w:t>
      </w:r>
    </w:p>
    <w:p>
      <w:pPr>
        <w:spacing w:after="0" w:line="6" w:lineRule="exact"/>
        <w:rPr>
          <w:rFonts w:ascii="MS PGothic" w:cs="MS PGothic" w:eastAsia="MS PGothic" w:hAnsi="MS PGothic"/>
          <w:sz w:val="13"/>
          <w:szCs w:val="13"/>
          <w:color w:val="auto"/>
        </w:rPr>
      </w:pPr>
    </w:p>
    <w:p>
      <w:pPr>
        <w:ind w:left="980" w:right="540" w:hanging="432"/>
        <w:spacing w:after="0" w:line="253"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obtain funding for our operations necessary to complete further development and commercialization of our product candidates;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regulatory approval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commercialize our products,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pricing and reimbursement of our product candidates,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implementation of our business model, and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covering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estimates of our future expenses, revenues, capital requirements, and our needs for additional financing;</w:t>
      </w:r>
    </w:p>
    <w:p>
      <w:pPr>
        <w:spacing w:after="0" w:line="34" w:lineRule="exact"/>
        <w:rPr>
          <w:rFonts w:ascii="MS PGothic" w:cs="MS PGothic" w:eastAsia="MS PGothic" w:hAnsi="MS PGothic"/>
          <w:sz w:val="13"/>
          <w:szCs w:val="13"/>
          <w:color w:val="auto"/>
        </w:rPr>
      </w:pPr>
    </w:p>
    <w:p>
      <w:pPr>
        <w:ind w:left="980" w:right="160" w:hanging="432"/>
        <w:spacing w:after="0" w:line="253"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future agreements with third parties in connection with the commercialization of product candidates and any other approved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regulatory developments in the United States and foreign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produce our products or product candidates with advantages in turnaround times or manufacturing cost;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attract and retain key scientific or management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impact of laws and regulations;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w:t>
      </w:r>
    </w:p>
    <w:p>
      <w:pPr>
        <w:spacing w:after="0" w:line="34" w:lineRule="exact"/>
        <w:rPr>
          <w:rFonts w:ascii="MS PGothic" w:cs="MS PGothic" w:eastAsia="MS PGothic" w:hAnsi="MS PGothic"/>
          <w:sz w:val="13"/>
          <w:szCs w:val="13"/>
          <w:color w:val="auto"/>
        </w:rPr>
      </w:pPr>
    </w:p>
    <w:p>
      <w:pPr>
        <w:jc w:val="both"/>
        <w:ind w:left="980" w:hanging="432"/>
        <w:spacing w:after="0" w:line="249"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anticipated use of proceeds from this offering;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other risks and uncertainties, including those listed under the caption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56" w:lineRule="exact"/>
        <w:rPr>
          <w:sz w:val="20"/>
          <w:szCs w:val="20"/>
          <w:color w:val="auto"/>
        </w:rPr>
      </w:pPr>
    </w:p>
    <w:p>
      <w:pPr>
        <w:ind w:left="120" w:right="240"/>
        <w:spacing w:after="0" w:line="241" w:lineRule="auto"/>
        <w:rPr>
          <w:sz w:val="20"/>
          <w:szCs w:val="20"/>
          <w:color w:val="auto"/>
        </w:rPr>
      </w:pPr>
      <w:r>
        <w:rPr>
          <w:rFonts w:ascii="Arial" w:cs="Arial" w:eastAsia="Arial" w:hAnsi="Arial"/>
          <w:sz w:val="17"/>
          <w:szCs w:val="17"/>
          <w:color w:val="auto"/>
        </w:rPr>
        <w:t>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12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base prospectus, their estimates, in particular, as they relate to projections, involve numerous assumptions, are subject to risks and uncertainties and are subject to change based on various factors. You should read this prospectus supplement, the accompanying base prospectus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Annual Reports on Form 10-K, Quarterly Reports on Form 10-Q and Current Reports on Form 8-K which are incorporated into this prospectus supplement by reference, and the section of this prospectus supplement and the accompanying base prospectus entitled “Risk Factors.”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13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4133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318" w:lineRule="exact"/>
        <w:rPr>
          <w:sz w:val="20"/>
          <w:szCs w:val="20"/>
          <w:color w:val="auto"/>
        </w:rPr>
      </w:pPr>
    </w:p>
    <w:p>
      <w:pPr>
        <w:ind w:left="300" w:right="80"/>
        <w:spacing w:after="0" w:line="237" w:lineRule="auto"/>
        <w:rPr>
          <w:sz w:val="20"/>
          <w:szCs w:val="20"/>
          <w:color w:val="auto"/>
        </w:rPr>
      </w:pPr>
      <w:r>
        <w:rPr>
          <w:rFonts w:ascii="Arial" w:cs="Arial" w:eastAsia="Arial" w:hAnsi="Arial"/>
          <w:sz w:val="17"/>
          <w:szCs w:val="17"/>
          <w:i w:val="1"/>
          <w:iCs w:val="1"/>
          <w:color w:val="auto"/>
        </w:rPr>
        <w:t>This summary highlights selected information about us and this offering and does not contain all of the information that you should consider before investing in our common stock. You should read this prospectus supplement, the accompanying base prospectus and the documents incorporated by reference herein and therein carefully, especially the discussion of the risks related to investing in our common stock discussed under “Risk Factors” beginning on page S-7 of this prospectus supplement, and in our most recent annual report on Form 10-K and any subsequent Quarterly Reports on Form 10-Q or Current Reports on Form 8-K we file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60"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known as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30"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in EPP patients that is being conducted at sites in the United States. We presented positive initial data from BEACON in June of 2023 at the European Hematology Association 2023 Congress, and BEACON data from all patients will be presented in December 2023 at the 65</w:t>
      </w:r>
      <w:r>
        <w:rPr>
          <w:rFonts w:ascii="Arial" w:cs="Arial" w:eastAsia="Arial" w:hAnsi="Arial"/>
          <w:sz w:val="12"/>
          <w:szCs w:val="12"/>
          <w:color w:val="auto"/>
        </w:rPr>
        <w:t>th</w:t>
      </w:r>
      <w:r>
        <w:rPr>
          <w:rFonts w:ascii="Arial" w:cs="Arial" w:eastAsia="Arial" w:hAnsi="Arial"/>
          <w:sz w:val="17"/>
          <w:szCs w:val="17"/>
          <w:color w:val="auto"/>
        </w:rPr>
        <w:t xml:space="preserve"> American Society of Hematology Annual Meeting and Exposition, or ASH 2023, and we expect to present topline AURORA data in early 2024. We plan to request an end of Phase 2 meeting with the FDA in 2024. We entered into a collaborative research and development agreement with the National Institutes of Health, or NIH, to conduct an NIH-sponsored clinical trial of bitopertin in DBA. The FDA authorized the clinical trial to proceed and we announced on July 27, 2023 that the first patient was enrolled in this trial. We are planning additional trials of bitopertin in other indications.</w:t>
      </w:r>
    </w:p>
    <w:p>
      <w:pPr>
        <w:spacing w:after="0" w:line="128" w:lineRule="exact"/>
        <w:rPr>
          <w:sz w:val="20"/>
          <w:szCs w:val="20"/>
          <w:color w:val="auto"/>
        </w:rPr>
      </w:pPr>
    </w:p>
    <w:p>
      <w:pPr>
        <w:ind w:left="300" w:right="120"/>
        <w:spacing w:after="0" w:line="244" w:lineRule="auto"/>
        <w:rPr>
          <w:sz w:val="20"/>
          <w:szCs w:val="20"/>
          <w:color w:val="auto"/>
        </w:rPr>
      </w:pPr>
      <w:r>
        <w:rPr>
          <w:rFonts w:ascii="Arial" w:cs="Arial" w:eastAsia="Arial" w:hAnsi="Arial"/>
          <w:sz w:val="17"/>
          <w:szCs w:val="17"/>
          <w:color w:val="auto"/>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w:t>
      </w: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27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6273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220"/>
        <w:spacing w:after="0" w:line="249" w:lineRule="auto"/>
        <w:rPr>
          <w:sz w:val="20"/>
          <w:szCs w:val="20"/>
          <w:color w:val="auto"/>
        </w:rPr>
      </w:pPr>
      <w:r>
        <w:rPr>
          <w:rFonts w:ascii="Arial" w:cs="Arial" w:eastAsia="Arial" w:hAnsi="Arial"/>
          <w:sz w:val="17"/>
          <w:szCs w:val="17"/>
          <w:color w:val="auto"/>
        </w:rPr>
        <w:t>June 2022 in patients with MF and anemia, or MF Trial, and initiated a separate Phase 1b/2 clinical trial in February 2023 in patients with non-dialysis dependent CKD and anemia, or CKD Trial. We plan to present initial data from the MF Trial at ASH 2023, and initial data from the 28 mg dose cohort of the patients of the CKD Trial in a management call in December 2023.</w:t>
      </w:r>
    </w:p>
    <w:p>
      <w:pPr>
        <w:spacing w:after="0" w:line="121" w:lineRule="exact"/>
        <w:rPr>
          <w:sz w:val="20"/>
          <w:szCs w:val="20"/>
          <w:color w:val="auto"/>
        </w:rPr>
      </w:pPr>
    </w:p>
    <w:p>
      <w:pPr>
        <w:ind w:left="300" w:right="160"/>
        <w:spacing w:after="0" w:line="244" w:lineRule="auto"/>
        <w:rPr>
          <w:sz w:val="20"/>
          <w:szCs w:val="20"/>
          <w:color w:val="auto"/>
        </w:rPr>
      </w:pPr>
      <w:r>
        <w:rPr>
          <w:rFonts w:ascii="Arial" w:cs="Arial" w:eastAsia="Arial" w:hAnsi="Arial"/>
          <w:sz w:val="17"/>
          <w:szCs w:val="17"/>
          <w:color w:val="auto"/>
        </w:rPr>
        <w:t>In addition, we are developing a preclinical anti-hemojuvelin, or HJV, monoclonal antibody, DISC-0998, which also targets hepcidin 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w:t>
      </w:r>
    </w:p>
    <w:p>
      <w:pPr>
        <w:spacing w:after="0" w:line="123" w:lineRule="exact"/>
        <w:rPr>
          <w:sz w:val="20"/>
          <w:szCs w:val="20"/>
          <w:color w:val="auto"/>
        </w:rPr>
      </w:pPr>
    </w:p>
    <w:p>
      <w:pPr>
        <w:ind w:left="300" w:right="240"/>
        <w:spacing w:after="0" w:line="241" w:lineRule="auto"/>
        <w:rPr>
          <w:sz w:val="20"/>
          <w:szCs w:val="20"/>
          <w:color w:val="auto"/>
        </w:rPr>
      </w:pPr>
      <w:r>
        <w:rPr>
          <w:rFonts w:ascii="Arial" w:cs="Arial" w:eastAsia="Arial" w:hAnsi="Arial"/>
          <w:sz w:val="17"/>
          <w:szCs w:val="17"/>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we initiated a Phase 1 clinical trial in healthy adult volunteers in October 2023. We were granted fast track designation by the FDA for DISC-3405 for the treatment of PV in September 2023. We expect to develop DISC-3405 for the treatment of PV and other hematologic disorders.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with Gemini</w:t>
      </w:r>
    </w:p>
    <w:p>
      <w:pPr>
        <w:spacing w:after="0" w:line="60"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128" w:lineRule="exact"/>
        <w:rPr>
          <w:sz w:val="20"/>
          <w:szCs w:val="20"/>
          <w:color w:val="auto"/>
        </w:rPr>
      </w:pPr>
    </w:p>
    <w:p>
      <w:pPr>
        <w:ind w:left="300" w:right="120"/>
        <w:spacing w:after="0" w:line="249" w:lineRule="auto"/>
        <w:rPr>
          <w:sz w:val="20"/>
          <w:szCs w:val="20"/>
          <w:color w:val="auto"/>
        </w:rPr>
      </w:pPr>
      <w:r>
        <w:rPr>
          <w:rFonts w:ascii="Arial" w:cs="Arial" w:eastAsia="Arial" w:hAnsi="Arial"/>
          <w:sz w:val="17"/>
          <w:szCs w:val="17"/>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121" w:lineRule="exact"/>
        <w:rPr>
          <w:sz w:val="20"/>
          <w:szCs w:val="20"/>
          <w:color w:val="auto"/>
        </w:rPr>
      </w:pPr>
    </w:p>
    <w:p>
      <w:pPr>
        <w:ind w:left="300" w:right="20"/>
        <w:spacing w:after="0" w:line="235" w:lineRule="auto"/>
        <w:rPr>
          <w:sz w:val="20"/>
          <w:szCs w:val="20"/>
          <w:color w:val="auto"/>
        </w:rPr>
      </w:pPr>
      <w:r>
        <w:rPr>
          <w:rFonts w:ascii="Arial" w:cs="Arial" w:eastAsia="Arial" w:hAnsi="Arial"/>
          <w:sz w:val="17"/>
          <w:szCs w:val="17"/>
          <w:color w:val="auto"/>
        </w:rPr>
        <w:t>Pursuant to the terms of the Merger Agreement, at the effective time of the merger (the “Effective Time”), each person who as of immediately prior to the Effective Time was a stockholder of record of Gemini or had the right to receive Gemini’s common stock received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(specifically, Gemini’s intellectual property assets, which the Company assumed in the merger) during the period that is one year after the closing of the merger, calculated in accordance with the CVR Agreement. In accordance with the CVR Agreement, the holders of the CVRs would receive proceeds from any disposition of the Gemini pre-merger assets, net of costs incurred by the Company in performance of its obligations under the CVR Agreement in excess of $250,000, paid in the form of common stock in the Company calculated based on the amount equal to such proceeds divided by the volume weighted average stock price of the Company for the five trading days prior to the issuance of the payment to the holders of the CVRs. In the event that Gemini’s pre-merger assets are disposed in the one-year period after the closing of the merger, and the Company receives net proceeds from such disposition over time following the initial disposition of such assets, any such proceeds would be similarly distributed to the holders of the CVRs for a period continuing through the tenth anniversary of the closing date of the merger.</w:t>
      </w:r>
    </w:p>
    <w:p>
      <w:pPr>
        <w:spacing w:after="0" w:line="128" w:lineRule="exact"/>
        <w:rPr>
          <w:sz w:val="20"/>
          <w:szCs w:val="20"/>
          <w:color w:val="auto"/>
        </w:rPr>
      </w:pPr>
    </w:p>
    <w:p>
      <w:pPr>
        <w:ind w:left="300" w:right="420"/>
        <w:spacing w:after="0" w:line="267" w:lineRule="auto"/>
        <w:rPr>
          <w:sz w:val="20"/>
          <w:szCs w:val="20"/>
          <w:color w:val="auto"/>
        </w:rPr>
      </w:pPr>
      <w:r>
        <w:rPr>
          <w:rFonts w:ascii="Arial" w:cs="Arial" w:eastAsia="Arial" w:hAnsi="Arial"/>
          <w:sz w:val="17"/>
          <w:szCs w:val="17"/>
          <w:color w:val="auto"/>
        </w:rPr>
        <w:t>To satisfy its obligations with respect to the CVRs and the Gemini IP, the Company hired an outside firm to attempt to sell the Gemini IP, which firm previously was unsuccessful in finding a buyer for the Gemini IP.</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73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80"/>
        <w:spacing w:after="0" w:line="267" w:lineRule="auto"/>
        <w:rPr>
          <w:sz w:val="20"/>
          <w:szCs w:val="20"/>
          <w:color w:val="auto"/>
        </w:rPr>
      </w:pPr>
      <w:r>
        <w:rPr>
          <w:rFonts w:ascii="Arial" w:cs="Arial" w:eastAsia="Arial" w:hAnsi="Arial"/>
          <w:sz w:val="17"/>
          <w:szCs w:val="17"/>
          <w:color w:val="auto"/>
        </w:rPr>
        <w:t>However, in June 2023, the Company received an offer for the Gemini IP and recorded a $1.5 million liability representing the estimated fair value of the Company’s obligation to the holders of the CVRs based on the offer.</w:t>
      </w:r>
    </w:p>
    <w:p>
      <w:pPr>
        <w:spacing w:after="0" w:line="105" w:lineRule="exact"/>
        <w:rPr>
          <w:sz w:val="20"/>
          <w:szCs w:val="20"/>
          <w:color w:val="auto"/>
        </w:rPr>
      </w:pPr>
    </w:p>
    <w:p>
      <w:pPr>
        <w:ind w:left="300" w:right="200"/>
        <w:spacing w:after="0" w:line="244" w:lineRule="auto"/>
        <w:rPr>
          <w:sz w:val="20"/>
          <w:szCs w:val="20"/>
          <w:color w:val="auto"/>
        </w:rPr>
      </w:pPr>
      <w:r>
        <w:rPr>
          <w:rFonts w:ascii="Arial" w:cs="Arial" w:eastAsia="Arial" w:hAnsi="Arial"/>
          <w:sz w:val="17"/>
          <w:szCs w:val="17"/>
          <w:color w:val="auto"/>
        </w:rPr>
        <w:t>As of the date of this prospectus, a sale has not been consummated, no such proceeds have been received by the Company and no distributions have been made to the holders of the CVRs. In the event no net proceeds are received from a disposition of the Gemini pre-merger assets in the one-year period following closing of the merger, the Company’s obligations under the CVR Agreement will expire and the CVRs will be valueless.</w:t>
      </w:r>
    </w:p>
    <w:p>
      <w:pPr>
        <w:spacing w:after="0" w:line="123" w:lineRule="exact"/>
        <w:rPr>
          <w:sz w:val="20"/>
          <w:szCs w:val="20"/>
          <w:color w:val="auto"/>
        </w:rPr>
      </w:pPr>
    </w:p>
    <w:p>
      <w:pPr>
        <w:ind w:left="300"/>
        <w:spacing w:after="0" w:line="244" w:lineRule="auto"/>
        <w:rPr>
          <w:sz w:val="20"/>
          <w:szCs w:val="20"/>
          <w:color w:val="auto"/>
        </w:rPr>
      </w:pPr>
      <w:r>
        <w:rPr>
          <w:rFonts w:ascii="Arial" w:cs="Arial" w:eastAsia="Arial" w:hAnsi="Arial"/>
          <w:sz w:val="17"/>
          <w:szCs w:val="17"/>
          <w:color w:val="auto"/>
        </w:rPr>
        <w:t>Other than pursuant to the CVR Agreement, the Company has no additional obligations or plans with respect to Gemini’s pre-merger assets. The Company has generated no revenue from Gemini’s pre-merger assets and has incurred approximately $1.0 million in aggregate costs (including maintenance of license agreements, storage, legal and other fees) as of September 30, 2023, to maintain Gemini’s pre-merger assets solely in order to fulfill the Company’s obligations under the CVR Agreement.</w:t>
      </w:r>
    </w:p>
    <w:p>
      <w:pPr>
        <w:spacing w:after="0" w:line="123" w:lineRule="exact"/>
        <w:rPr>
          <w:sz w:val="20"/>
          <w:szCs w:val="20"/>
          <w:color w:val="auto"/>
        </w:rPr>
      </w:pPr>
    </w:p>
    <w:p>
      <w:pPr>
        <w:ind w:left="300"/>
        <w:spacing w:after="0" w:line="241" w:lineRule="auto"/>
        <w:rPr>
          <w:sz w:val="20"/>
          <w:szCs w:val="20"/>
          <w:color w:val="auto"/>
        </w:rPr>
      </w:pPr>
      <w:r>
        <w:rPr>
          <w:rFonts w:ascii="Arial" w:cs="Arial" w:eastAsia="Arial" w:hAnsi="Arial"/>
          <w:sz w:val="17"/>
          <w:szCs w:val="17"/>
          <w:color w:val="auto"/>
        </w:rPr>
        <w:t>To illustrate the number of shares of the Company’s common stock that might be distributed under the CVR Agreement, assuming that a CVR payment were to be made on December 4, 2023, assuming (i) net proceeds to the Company of $1.5 million, representing the estimated fair value of the Company’s obligation to holders of the CVRs as of September 30, 2023, and (ii) based on the volume weighted average stock price of the Company for the five trading days prior to December 4, 2023 of $54.68, an aggregate of 27,432 shares of the Company’s common stock would have been issued to holders of CVRs in such case.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60" w:lineRule="exact"/>
        <w:rPr>
          <w:sz w:val="20"/>
          <w:szCs w:val="20"/>
          <w:color w:val="auto"/>
        </w:rPr>
      </w:pPr>
    </w:p>
    <w:p>
      <w:pPr>
        <w:ind w:left="300" w:right="40"/>
        <w:spacing w:after="0" w:line="238" w:lineRule="auto"/>
        <w:rPr>
          <w:sz w:val="20"/>
          <w:szCs w:val="20"/>
          <w:color w:val="auto"/>
        </w:rPr>
      </w:pPr>
      <w:r>
        <w:rPr>
          <w:rFonts w:ascii="Arial" w:cs="Arial" w:eastAsia="Arial" w:hAnsi="Arial"/>
          <w:sz w:val="17"/>
          <w:szCs w:val="17"/>
          <w:color w:val="auto"/>
        </w:rPr>
        <w:t>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or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28" w:lineRule="exact"/>
        <w:rPr>
          <w:sz w:val="20"/>
          <w:szCs w:val="20"/>
          <w:color w:val="auto"/>
        </w:rPr>
      </w:pPr>
    </w:p>
    <w:p>
      <w:pPr>
        <w:ind w:left="300" w:right="220"/>
        <w:spacing w:after="0" w:line="241" w:lineRule="auto"/>
        <w:rPr>
          <w:sz w:val="20"/>
          <w:szCs w:val="20"/>
          <w:color w:val="auto"/>
        </w:rPr>
      </w:pPr>
      <w:r>
        <w:rPr>
          <w:rFonts w:ascii="Arial" w:cs="Arial" w:eastAsia="Arial" w:hAnsi="Arial"/>
          <w:sz w:val="17"/>
          <w:szCs w:val="17"/>
          <w:color w:val="auto"/>
        </w:rPr>
        <w:t>Our principal executive offices are located at 321 Arsenal Street, Suite 101, Watertown, MA 02472, and our telephone number is (617) 674-9274. We maintain an Internet website at the following address: www.discmedicine.com. The information on our website is not incorporated by reference in this Annual Report on Form 10-K or in any other filings we make with the SEC. We do not incorporate the information on or accessible through our website into this prospectus supplement, and you should not consider any information on, or that can be accessed through, our website as part of this prospectus supplement.</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73" w:lineRule="exact"/>
        <w:rPr>
          <w:sz w:val="20"/>
          <w:szCs w:val="20"/>
          <w:color w:val="auto"/>
        </w:rPr>
      </w:pPr>
    </w:p>
    <w:p>
      <w:pPr>
        <w:ind w:left="300" w:right="20"/>
        <w:spacing w:after="0" w:line="249"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161" w:lineRule="exact"/>
        <w:rPr>
          <w:sz w:val="20"/>
          <w:szCs w:val="20"/>
          <w:color w:val="auto"/>
        </w:rPr>
      </w:pPr>
    </w:p>
    <w:p>
      <w:pPr>
        <w:ind w:left="1120" w:right="200" w:hanging="403"/>
        <w:spacing w:after="0" w:line="246"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6"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reduced disclosure about our executive compensation arrangements;</w:t>
      </w:r>
    </w:p>
    <w:p>
      <w:pPr>
        <w:spacing w:after="0" w:line="34" w:lineRule="exact"/>
        <w:rPr>
          <w:rFonts w:ascii="MS PGothic" w:cs="MS PGothic" w:eastAsia="MS PGothic" w:hAnsi="MS PGothic"/>
          <w:sz w:val="13"/>
          <w:szCs w:val="13"/>
          <w:color w:val="auto"/>
        </w:rPr>
      </w:pPr>
    </w:p>
    <w:p>
      <w:pPr>
        <w:ind w:left="1120" w:right="180" w:hanging="403"/>
        <w:spacing w:after="0" w:line="267"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not being required to hold advisory votes on executive compensation or to obtain stockholder approval of any golden parachute arrangements not previously approved; and</w:t>
      </w: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0900"/>
          </w:cols>
          <w:pgMar w:left="320" w:top="455"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01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2601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an exemption from the auditor attestation requirement in the assessment of our internal control over financial reporting.</w:t>
      </w:r>
    </w:p>
    <w:p>
      <w:pPr>
        <w:spacing w:after="0" w:line="156"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w:t>
      </w:r>
    </w:p>
    <w:p>
      <w:pPr>
        <w:spacing w:after="0" w:line="3" w:lineRule="exact"/>
        <w:rPr>
          <w:sz w:val="20"/>
          <w:szCs w:val="20"/>
          <w:color w:val="auto"/>
        </w:rPr>
      </w:pPr>
    </w:p>
    <w:p>
      <w:pPr>
        <w:ind w:left="300" w:right="300"/>
        <w:spacing w:after="0"/>
        <w:rPr>
          <w:sz w:val="20"/>
          <w:szCs w:val="20"/>
          <w:color w:val="auto"/>
        </w:rPr>
      </w:pPr>
      <w:r>
        <w:rPr>
          <w:rFonts w:ascii="Arial" w:cs="Arial" w:eastAsia="Arial" w:hAnsi="Arial"/>
          <w:sz w:val="17"/>
          <w:szCs w:val="17"/>
          <w:color w:val="auto"/>
        </w:rPr>
        <w:t>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27" w:lineRule="exact"/>
        <w:rPr>
          <w:sz w:val="20"/>
          <w:szCs w:val="20"/>
          <w:color w:val="auto"/>
        </w:rPr>
      </w:pPr>
    </w:p>
    <w:p>
      <w:pPr>
        <w:ind w:left="300" w:right="100"/>
        <w:spacing w:after="0" w:line="23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0900"/>
          </w:cols>
          <w:pgMar w:left="320" w:top="455"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58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900"/>
          </w:cols>
          <w:pgMar w:left="320" w:top="455" w:right="679" w:bottom="1440" w:gutter="0" w:footer="0" w:header="0"/>
        </w:sectPr>
      </w:pPr>
    </w:p>
    <w:p>
      <w:pPr>
        <w:spacing w:after="0" w:line="3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having an aggregate offering price of up to $192,832,832.</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40"/>
        <w:spacing w:after="0" w:line="241" w:lineRule="auto"/>
        <w:rPr>
          <w:sz w:val="20"/>
          <w:szCs w:val="20"/>
          <w:color w:val="auto"/>
        </w:rPr>
      </w:pPr>
      <w:r>
        <w:rPr>
          <w:rFonts w:ascii="Arial" w:cs="Arial" w:eastAsia="Arial" w:hAnsi="Arial"/>
          <w:sz w:val="17"/>
          <w:szCs w:val="17"/>
          <w:color w:val="auto"/>
        </w:rPr>
        <w:t>Up to 27,607,294 shares of our common stock, assuming sales of 3,468,216 shares of our common stock in this offering at an offering price of $55.60 per share, which was the last reported sale price of our common stock on The Nasdaq Global Market on December 4, 2023. The actual number of shares of common stock issued will vary depending on the sales price under this offering.</w:t>
      </w:r>
    </w:p>
    <w:p>
      <w:pPr>
        <w:spacing w:after="0" w:line="166" w:lineRule="exact"/>
        <w:rPr>
          <w:sz w:val="20"/>
          <w:szCs w:val="20"/>
          <w:color w:val="auto"/>
        </w:rPr>
      </w:pPr>
    </w:p>
    <w:p>
      <w:pPr>
        <w:sectPr>
          <w:pgSz w:w="11900" w:h="16838" w:orient="portrait"/>
          <w:cols w:equalWidth="0" w:num="2">
            <w:col w:w="4120" w:space="220"/>
            <w:col w:w="6560"/>
          </w:cols>
          <w:pgMar w:left="320" w:top="455" w:right="67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Plan of Distribution</w:t>
      </w:r>
    </w:p>
    <w:p>
      <w:pPr>
        <w:spacing w:after="0" w:line="20" w:lineRule="exact"/>
        <w:rPr>
          <w:sz w:val="20"/>
          <w:szCs w:val="20"/>
          <w:color w:val="auto"/>
        </w:rPr>
      </w:pPr>
      <w:r>
        <w:rPr>
          <w:sz w:val="20"/>
          <w:szCs w:val="20"/>
          <w:color w:val="auto"/>
        </w:rPr>
        <w:br w:type="column"/>
      </w:r>
    </w:p>
    <w:p>
      <w:pPr>
        <w:ind w:right="80"/>
        <w:spacing w:after="0" w:line="244" w:lineRule="auto"/>
        <w:rPr>
          <w:sz w:val="20"/>
          <w:szCs w:val="20"/>
          <w:color w:val="auto"/>
        </w:rPr>
      </w:pPr>
      <w:r>
        <w:rPr>
          <w:rFonts w:ascii="Arial" w:cs="Arial" w:eastAsia="Arial" w:hAnsi="Arial"/>
          <w:sz w:val="17"/>
          <w:szCs w:val="17"/>
          <w:color w:val="auto"/>
        </w:rPr>
        <w:t>“At the market offering” that may be made from time to time on The Nasdaq Global Market or such other national securities exchange on which our common stock is then listed, through our sales agent, Jefferies. See the section entitled “Plan of Distribution” on page S-13 of this prospectus supplement.</w:t>
      </w:r>
    </w:p>
    <w:p>
      <w:pPr>
        <w:spacing w:after="0" w:line="164"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ind w:right="100"/>
        <w:spacing w:after="0" w:line="238"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See “Use of Proceeds” on page S-9 of this prospectus supplement.</w:t>
      </w:r>
    </w:p>
    <w:p>
      <w:pPr>
        <w:spacing w:after="0" w:line="16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7"/>
          <w:szCs w:val="17"/>
          <w:color w:val="auto"/>
        </w:rPr>
        <w:t>You should read the “Risk Factors” section of this prospectus supplement beginning on page S-7 and the other information included in, or incorporated by reference into, this prospectus supplement and the accompanying base prospectus for a discussion of factors to consider before deciding to purchase shares of our common stock.</w:t>
      </w:r>
    </w:p>
    <w:p>
      <w:pPr>
        <w:spacing w:after="0" w:line="164"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IRON</w:t>
      </w:r>
    </w:p>
    <w:p>
      <w:pPr>
        <w:spacing w:after="0" w:line="211"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23" w:lineRule="exact"/>
        <w:rPr>
          <w:sz w:val="20"/>
          <w:szCs w:val="20"/>
          <w:color w:val="auto"/>
        </w:rPr>
      </w:pPr>
    </w:p>
    <w:p>
      <w:pPr>
        <w:jc w:val="both"/>
        <w:ind w:left="300" w:right="120"/>
        <w:spacing w:after="0" w:line="249" w:lineRule="auto"/>
        <w:rPr>
          <w:sz w:val="20"/>
          <w:szCs w:val="20"/>
          <w:color w:val="auto"/>
        </w:rPr>
      </w:pPr>
      <w:r>
        <w:rPr>
          <w:rFonts w:ascii="Arial" w:cs="Arial" w:eastAsia="Arial" w:hAnsi="Arial"/>
          <w:sz w:val="17"/>
          <w:szCs w:val="17"/>
          <w:color w:val="auto"/>
        </w:rPr>
        <w:t>All information in this prospectus supplement related to the number of shares of our common stock to be outstanding immediately after this offering is based on 24,139,078 shares of our common stock outstanding as of September 30, 2023. The number of shares of our common stock outstanding as of September 30, 2023 as used throughout this prospectus supplement, unless otherwise indicated, excludes:</w:t>
      </w:r>
    </w:p>
    <w:p>
      <w:pPr>
        <w:spacing w:after="0" w:line="161" w:lineRule="exact"/>
        <w:rPr>
          <w:sz w:val="20"/>
          <w:szCs w:val="20"/>
          <w:color w:val="auto"/>
        </w:rPr>
      </w:pPr>
    </w:p>
    <w:p>
      <w:pPr>
        <w:ind w:left="1120" w:right="480" w:hanging="403"/>
        <w:spacing w:after="0" w:line="25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2,558,531 shares of common stock issuable upon the exercise of stock options outstanding as of September 30, 2023, at a weighted average exercise price of $15.95 per share;</w:t>
      </w:r>
    </w:p>
    <w:p>
      <w:pPr>
        <w:spacing w:after="0" w:line="6" w:lineRule="exact"/>
        <w:rPr>
          <w:rFonts w:ascii="MS PGothic" w:cs="MS PGothic" w:eastAsia="MS PGothic" w:hAnsi="MS PGothic"/>
          <w:sz w:val="13"/>
          <w:szCs w:val="13"/>
          <w:color w:val="auto"/>
        </w:rPr>
      </w:pPr>
    </w:p>
    <w:p>
      <w:pPr>
        <w:ind w:left="1120" w:right="320" w:hanging="403"/>
        <w:spacing w:after="0" w:line="25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48,730 shares of common stock issuable upon the exercise of stock options granted subsequent to September 30, 2023, at a weighted average exercise price of $48.28 per share;</w:t>
      </w:r>
    </w:p>
    <w:p>
      <w:pPr>
        <w:spacing w:after="0" w:line="6" w:lineRule="exact"/>
        <w:rPr>
          <w:rFonts w:ascii="MS PGothic" w:cs="MS PGothic" w:eastAsia="MS PGothic" w:hAnsi="MS PGothic"/>
          <w:sz w:val="13"/>
          <w:szCs w:val="13"/>
          <w:color w:val="auto"/>
        </w:rPr>
      </w:pPr>
    </w:p>
    <w:p>
      <w:pPr>
        <w:ind w:left="1120" w:hanging="403"/>
        <w:spacing w:after="0" w:line="25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204,081 shares of common stock issuable upon the exercise of pre-funded warrants outstanding as of September 30, 2023, at an exercise price of $0.0001 per share;</w:t>
      </w:r>
    </w:p>
    <w:p>
      <w:pPr>
        <w:spacing w:after="0" w:line="6" w:lineRule="exact"/>
        <w:rPr>
          <w:rFonts w:ascii="MS PGothic" w:cs="MS PGothic" w:eastAsia="MS PGothic" w:hAnsi="MS PGothic"/>
          <w:sz w:val="13"/>
          <w:szCs w:val="13"/>
          <w:color w:val="auto"/>
        </w:rPr>
      </w:pPr>
    </w:p>
    <w:p>
      <w:pPr>
        <w:ind w:left="1120" w:right="540" w:hanging="403"/>
        <w:spacing w:after="0" w:line="267"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1,568,907 shares of common stock available for future issuance under our Amended and Restated 2021 Stock Option and Incentive Plan as of September 30, 2023; and</w:t>
      </w: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0900"/>
          </w:cols>
          <w:pgMar w:left="320" w:top="455" w:right="6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38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9385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20" w:hanging="403"/>
        <w:spacing w:after="0" w:line="267"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222,953 shares of common stock available for future issuance under our Amended and Restated 2021 Employee Stock Purchase Plan as of September 30, 2023.</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stated, all information contained in this prospectus supplement (i) assumes no exercise of stock options after</w:t>
      </w:r>
    </w:p>
    <w:p>
      <w:pPr>
        <w:spacing w:after="0" w:line="10" w:lineRule="exact"/>
        <w:rPr>
          <w:sz w:val="20"/>
          <w:szCs w:val="20"/>
          <w:color w:val="auto"/>
        </w:rPr>
      </w:pPr>
    </w:p>
    <w:p>
      <w:pPr>
        <w:ind w:left="300" w:right="60"/>
        <w:spacing w:after="0" w:line="248" w:lineRule="auto"/>
        <w:rPr>
          <w:sz w:val="20"/>
          <w:szCs w:val="20"/>
          <w:color w:val="auto"/>
        </w:rPr>
      </w:pPr>
      <w:r>
        <w:rPr>
          <w:rFonts w:ascii="Arial" w:cs="Arial" w:eastAsia="Arial" w:hAnsi="Arial"/>
          <w:sz w:val="17"/>
          <w:szCs w:val="17"/>
          <w:color w:val="auto"/>
        </w:rPr>
        <w:t>September 30, 2023 and (ii) reflects an assumed public offering price of $55.60, which was the last reported sale price of our common stock on The Nasdaq Global Market on December 4, 2023.</w:t>
      </w: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Investing in our common stock involves a high degree of risk. Before you decide to invest in our common stock, you should carefully consider the risks and uncertainties described below, in the accompanying base prospectus, and in our most recently filed Annual Report on Form 10-K, Quarterly Report on Form 10-Q and other filings we make with the SEC from time to time, which are incorporated by reference herein in their entirety, together with all other information contained in this prospectus supplement and in our filings with the SEC that we have incorporated by reference in this prospectus supplement. If any of the following risks actually occurs,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Risks Related To Our Common Stock And This Offering</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may suffer immediate and substantial dilution of your investment.</w:t>
      </w:r>
    </w:p>
    <w:p>
      <w:pPr>
        <w:spacing w:after="0" w:line="3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price per share of our common stock in this offering may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shares are issued under outstanding options at exercise prices lower than the price of our common stock in this offering, you will incur further dilution. Assuming that an aggregate of 3,468,216 shares of our common stock are sold at a price of $55.60 per share, the last reported sale price of our common stock on The Nasdaq Global Market on December 4, 2023, for aggregate net proceeds to us of $187.7 million, after deducting commissions and estimated aggregate offering expenses payable by us, investors in this offering would experience immediate dilution of $35.80 per share, representing the difference between our as adjusted net tangible book value per share as of September 30, 2023, after giving effect to this offering and the assumed offering price.</w:t>
      </w:r>
    </w:p>
    <w:p>
      <w:pPr>
        <w:spacing w:after="0" w:line="127" w:lineRule="exact"/>
        <w:rPr>
          <w:sz w:val="20"/>
          <w:szCs w:val="20"/>
          <w:color w:val="auto"/>
        </w:rPr>
      </w:pPr>
    </w:p>
    <w:p>
      <w:pPr>
        <w:jc w:val="both"/>
        <w:ind w:left="120" w:right="180"/>
        <w:spacing w:after="0" w:line="249" w:lineRule="auto"/>
        <w:rPr>
          <w:sz w:val="20"/>
          <w:szCs w:val="20"/>
          <w:color w:val="auto"/>
        </w:rPr>
      </w:pPr>
      <w:r>
        <w:rPr>
          <w:rFonts w:ascii="Arial" w:cs="Arial" w:eastAsia="Arial" w:hAnsi="Arial"/>
          <w:sz w:val="17"/>
          <w:szCs w:val="17"/>
          <w:color w:val="auto"/>
        </w:rPr>
        <w:t>This dilution is due to the substantially lower price paid by some of our investors who purchased shares prior to this offering as compared to the price offered to the public in this offering and the exercise of stock options granted to our employees, directors and consultants. See the section entitled “Dilution” below for a more detailed illustration of the dilution you would incur if you participate in this offering.</w:t>
      </w:r>
    </w:p>
    <w:p>
      <w:pPr>
        <w:spacing w:after="0" w:line="40" w:lineRule="exact"/>
        <w:rPr>
          <w:sz w:val="20"/>
          <w:szCs w:val="20"/>
          <w:color w:val="auto"/>
        </w:rPr>
      </w:pPr>
    </w:p>
    <w:p>
      <w:pPr>
        <w:ind w:left="120" w:right="140"/>
        <w:spacing w:after="0" w:line="258" w:lineRule="auto"/>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use them in ways that you and other stockholders may not approve.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expect to use the net proceeds of this offering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You may experience future dilution as a result of future equity offerings.</w:t>
      </w:r>
    </w:p>
    <w:p>
      <w:pPr>
        <w:spacing w:after="0" w:line="37"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right="240"/>
        <w:spacing w:after="0" w:line="249" w:lineRule="auto"/>
        <w:rPr>
          <w:sz w:val="20"/>
          <w:szCs w:val="20"/>
          <w:color w:val="auto"/>
        </w:rPr>
      </w:pPr>
      <w:r>
        <w:rPr>
          <w:rFonts w:ascii="Arial" w:cs="Arial" w:eastAsia="Arial" w:hAnsi="Arial"/>
          <w:sz w:val="17"/>
          <w:szCs w:val="17"/>
          <w:color w:val="auto"/>
        </w:rPr>
        <w:t>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40" w:lineRule="exact"/>
        <w:rPr>
          <w:sz w:val="20"/>
          <w:szCs w:val="20"/>
          <w:color w:val="auto"/>
        </w:rPr>
      </w:pPr>
    </w:p>
    <w:p>
      <w:pPr>
        <w:ind w:left="120" w:right="80"/>
        <w:spacing w:after="0" w:line="258" w:lineRule="auto"/>
        <w:rPr>
          <w:sz w:val="20"/>
          <w:szCs w:val="20"/>
          <w:color w:val="auto"/>
        </w:rPr>
      </w:pPr>
      <w:r>
        <w:rPr>
          <w:rFonts w:ascii="Arial" w:cs="Arial" w:eastAsia="Arial" w:hAnsi="Arial"/>
          <w:sz w:val="17"/>
          <w:szCs w:val="17"/>
          <w:b w:val="1"/>
          <w:bCs w:val="1"/>
          <w:i w:val="1"/>
          <w:iCs w:val="1"/>
          <w:color w:val="auto"/>
        </w:rPr>
        <w:t>Future sales or issuances of our common stock in the public markets, or the perception of such sales, could depress the trading price of our common stock.</w:t>
      </w:r>
    </w:p>
    <w:p>
      <w:pPr>
        <w:spacing w:after="0" w:line="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actual number of shares we will issue and gross proceeds resulting from those sales, at any one time or in total, is uncertain.</w:t>
      </w:r>
    </w:p>
    <w:p>
      <w:pPr>
        <w:spacing w:after="0" w:line="3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Subject to certain limitations in the amended sales agreement and compliance with applicable law, we have the discretion to deliver a placement notice to Jefferies at any time throughout the term of the amended sales agreement. The number of shares that are sold by Jefferies after delivering a placement notice will fluctuate based on the market price of our common stock during the sales period and limits we set with Jefferies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46" w:lineRule="exact"/>
        <w:rPr>
          <w:sz w:val="20"/>
          <w:szCs w:val="20"/>
          <w:color w:val="auto"/>
        </w:rPr>
      </w:pPr>
    </w:p>
    <w:p>
      <w:pPr>
        <w:ind w:left="120" w:right="200"/>
        <w:spacing w:after="0" w:line="258" w:lineRule="auto"/>
        <w:rPr>
          <w:sz w:val="20"/>
          <w:szCs w:val="20"/>
          <w:color w:val="auto"/>
        </w:rPr>
      </w:pPr>
      <w:r>
        <w:rPr>
          <w:rFonts w:ascii="Arial" w:cs="Arial" w:eastAsia="Arial" w:hAnsi="Arial"/>
          <w:sz w:val="17"/>
          <w:szCs w:val="17"/>
          <w:b w:val="1"/>
          <w:bCs w:val="1"/>
          <w:i w:val="1"/>
          <w:iCs w:val="1"/>
          <w:color w:val="auto"/>
        </w:rPr>
        <w:t>The common stock offered hereby will be sold in “at the market offerings,” and investors who buy shares at different times will likely pay different prices.</w:t>
      </w:r>
    </w:p>
    <w:p>
      <w:pPr>
        <w:spacing w:after="0" w:line="1"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46" w:lineRule="exact"/>
        <w:rPr>
          <w:sz w:val="20"/>
          <w:szCs w:val="20"/>
          <w:color w:val="auto"/>
        </w:rPr>
      </w:pPr>
    </w:p>
    <w:p>
      <w:pPr>
        <w:ind w:left="120" w:right="320"/>
        <w:spacing w:after="0" w:line="258" w:lineRule="auto"/>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including most recently in connection with the COVID-19 pandemic.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27" w:lineRule="exact"/>
        <w:rPr>
          <w:sz w:val="20"/>
          <w:szCs w:val="20"/>
          <w:color w:val="auto"/>
        </w:rPr>
      </w:pPr>
    </w:p>
    <w:p>
      <w:pPr>
        <w:ind w:left="120" w:right="20"/>
        <w:spacing w:after="0" w:line="241" w:lineRule="auto"/>
        <w:rPr>
          <w:sz w:val="20"/>
          <w:szCs w:val="20"/>
          <w:color w:val="auto"/>
        </w:rPr>
      </w:pPr>
      <w:r>
        <w:rPr>
          <w:rFonts w:ascii="Arial" w:cs="Arial" w:eastAsia="Arial" w:hAnsi="Arial"/>
          <w:sz w:val="17"/>
          <w:szCs w:val="17"/>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Pursuant to the amended sales agreement, we may issue and sell shares of our common stock having aggregate sales proceeds of up to $192,832,832 (before deducting sales agent commissions and expenses) from time to time under this prospectus supplement and the accompanying base prospectus. The amount of the net proceeds to us from this offering will depend upon the number of shares of our common stock sold and the price at which they are sold. There can be no assurance that we will be able to sell any shares under or fully utilize the amended sales agreement with Jefferies.</w:t>
      </w:r>
    </w:p>
    <w:p>
      <w:pPr>
        <w:spacing w:after="0" w:line="126" w:lineRule="exact"/>
        <w:rPr>
          <w:sz w:val="20"/>
          <w:szCs w:val="20"/>
          <w:color w:val="auto"/>
        </w:rPr>
      </w:pPr>
    </w:p>
    <w:p>
      <w:pPr>
        <w:ind w:left="120" w:right="60"/>
        <w:spacing w:after="0" w:line="241"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We have not determined the amount of net proceeds to be used specifically for such purposes. As a result, management will retain broad discretion over the allocation of net proceeds.</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Jefferies in any applicable placement notice and the demand for our common stock), the progress of our development, the status of and results from clinical trials and collaborations that we may enter into with third parties for our product candidates and any unforeseen cash needs, including the factors described under “Risk Factors” in this prospectus supplement and the accompanying base prospectus and in the documents incorporated by reference herein. We may find it necessary or advisable to use the net proceeds from this offering for other purposes. As a result, our management will retain broad discretion over the allocation of the net proceeds from this offering.</w:t>
      </w:r>
    </w:p>
    <w:p>
      <w:pPr>
        <w:spacing w:after="0" w:line="133"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We do not expect that the net proceeds from this offering, together with our existing cash and cash equivalents, will be sufficient to enable us to fund the completion of development of any of our product candidates.</w:t>
      </w:r>
    </w:p>
    <w:p>
      <w:pPr>
        <w:spacing w:after="0" w:line="105"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16"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If you invest in this offering, your ownership interest will be diluted immediately to the extent of the difference between the public offering price per share and the as adjusted net tangible book value per share of our common stock after giving effect to this offering.</w:t>
      </w:r>
    </w:p>
    <w:p>
      <w:pPr>
        <w:spacing w:after="0" w:line="105" w:lineRule="exact"/>
        <w:rPr>
          <w:sz w:val="20"/>
          <w:szCs w:val="20"/>
          <w:color w:val="auto"/>
        </w:rPr>
      </w:pPr>
    </w:p>
    <w:p>
      <w:pPr>
        <w:ind w:left="120" w:right="60"/>
        <w:spacing w:after="0" w:line="241" w:lineRule="auto"/>
        <w:rPr>
          <w:sz w:val="20"/>
          <w:szCs w:val="20"/>
          <w:color w:val="auto"/>
        </w:rPr>
      </w:pPr>
      <w:r>
        <w:rPr>
          <w:rFonts w:ascii="Arial" w:cs="Arial" w:eastAsia="Arial" w:hAnsi="Arial"/>
          <w:sz w:val="17"/>
          <w:szCs w:val="17"/>
          <w:color w:val="auto"/>
        </w:rPr>
        <w:t>As of September 30, 2023, we had a net tangible book value of approximately $359.0 million, or $14.87 per share of our common stock, based upon 24,139,078 shares of our common stock outstanding as of that date.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as adjusted net tangible book value per share of our common stock immediately after this offering.</w:t>
      </w:r>
    </w:p>
    <w:p>
      <w:pPr>
        <w:spacing w:after="0" w:line="126"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After giving effect to the sale of our common stock pursuant to this prospectus supplement in the aggregate amount of $192,832,832 at an assumed offering price of $55.60 per share, the last reported sale price of our common stock on The Nasdaq Global Market on December 4, 2023, and after deducting sales agent commissions and estimated aggregate offering expenses payable by us, our as adjusted net tangible book value as of September 30, 2023 would have been $546.7 million, or $19.80 per share of common stock. This represents an immediate increase in the net tangible book value of $4.93 per share to our existing stockholders and an immediate dilution in net tangible book value of $35.80 per share of common stock to investors in this offering based on the assumed offering price. Dilution per share to investors is determined by subtracting as adjusted net tangible book value per share after this offering from the assumed public offering price per share paid by investors. The following table illustrates this per share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Assumed offering price per share</w:t>
            </w:r>
          </w:p>
        </w:tc>
        <w:tc>
          <w:tcPr>
            <w:tcW w:w="14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$55.60</w:t>
            </w: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Historical net tangible book value per share as of September 30, 2023</w:t>
            </w:r>
          </w:p>
        </w:tc>
        <w:tc>
          <w:tcPr>
            <w:tcW w:w="820" w:type="dxa"/>
            <w:vAlign w:val="bottom"/>
            <w:gridSpan w:val="2"/>
          </w:tcPr>
          <w:p>
            <w:pPr>
              <w:jc w:val="right"/>
              <w:ind w:right="195"/>
              <w:spacing w:after="0" w:line="189" w:lineRule="exact"/>
              <w:rPr>
                <w:sz w:val="20"/>
                <w:szCs w:val="20"/>
                <w:color w:val="auto"/>
              </w:rPr>
            </w:pPr>
            <w:r>
              <w:rPr>
                <w:rFonts w:ascii="Arial" w:cs="Arial" w:eastAsia="Arial" w:hAnsi="Arial"/>
                <w:sz w:val="17"/>
                <w:szCs w:val="17"/>
                <w:color w:val="auto"/>
                <w:w w:val="99"/>
              </w:rPr>
              <w:t>$14.87</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in net tangible book value per share attributable to sale of shares of common stock in this offering</w:t>
            </w:r>
          </w:p>
        </w:tc>
        <w:tc>
          <w:tcPr>
            <w:tcW w:w="820" w:type="dxa"/>
            <w:vAlign w:val="bottom"/>
            <w:gridSpan w:val="2"/>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4.93</w:t>
            </w: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9600" w:type="dxa"/>
            <w:vAlign w:val="bottom"/>
          </w:tcPr>
          <w:p>
            <w:pPr>
              <w:spacing w:after="0"/>
              <w:rPr>
                <w:sz w:val="20"/>
                <w:szCs w:val="20"/>
                <w:color w:val="auto"/>
              </w:rPr>
            </w:pPr>
            <w:r>
              <w:rPr>
                <w:rFonts w:ascii="Arial" w:cs="Arial" w:eastAsia="Arial" w:hAnsi="Arial"/>
                <w:sz w:val="17"/>
                <w:szCs w:val="17"/>
                <w:color w:val="auto"/>
              </w:rPr>
              <w:t>As adjusted net tangible book value per share as of September 30, 2023, after this offering</w:t>
            </w:r>
          </w:p>
        </w:tc>
        <w:tc>
          <w:tcPr>
            <w:tcW w:w="54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19.80</w:t>
            </w:r>
          </w:p>
        </w:tc>
        <w:tc>
          <w:tcPr>
            <w:tcW w:w="60" w:type="dxa"/>
            <w:vAlign w:val="bottom"/>
          </w:tcPr>
          <w:p>
            <w:pPr>
              <w:spacing w:after="0"/>
              <w:rPr>
                <w:sz w:val="17"/>
                <w:szCs w:val="17"/>
                <w:color w:val="auto"/>
              </w:rPr>
            </w:pP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in net tangible book value per share to investors purchasing shares in this offering</w:t>
            </w:r>
          </w:p>
        </w:tc>
        <w:tc>
          <w:tcPr>
            <w:tcW w:w="5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35.80</w:t>
            </w:r>
          </w:p>
        </w:tc>
      </w:tr>
      <w:tr>
        <w:trPr>
          <w:trHeight w:val="20"/>
        </w:trPr>
        <w:tc>
          <w:tcPr>
            <w:tcW w:w="9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table above assumes for illustrative purposes that an aggregate of 3,468,216 shares of our common stock are sold pursuant to this prospectus supplement at a price of $55.60 per share, the last reported sale price of our common stock on The Nasdaq Global Market on December 4, 2023, for aggregate gross proceeds of $192,832,832. The shares sold in this offering, if any, will be sold from time to time at various prices. An increase of $1.00 per share in the price at which the shares are sold from the assumed offering price to $56.60 per share, assuming all of our common stock in the aggregate amount of $192,832,832 million is sold at that price, would result in an as adjusted net tangible book value per share after the offering of $19.85 per share and would increase the dilution in net tangible book value per share to investors in this offering to $36.75 per share, after deducting sales agent commissions and estimated aggregate offering expenses payable by us. A decrease of $1.00 per share in the price at which the shares are sold from the assumed offering price to $54.60 per share, assuming all of our common stock in the aggregate amount of $192,832,832 is sold at that price, would result in an as adjusted net tangible book value per share after the offering of $19.76 per share and would decrease the dilution in net tangible book value per share to investors in this offering to $34.84 per share, after deducting sales agent commissions and estimated aggregate offering expenses payable by us. This information is supplied for illustrative purposes only.</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above discussion and table are based on 24,139,078 shares of our common stock outstanding as of September 30, 2023 and excludes:</w:t>
      </w:r>
    </w:p>
    <w:p>
      <w:pPr>
        <w:spacing w:after="0" w:line="196" w:lineRule="exact"/>
        <w:rPr>
          <w:sz w:val="20"/>
          <w:szCs w:val="20"/>
          <w:color w:val="auto"/>
        </w:rPr>
      </w:pPr>
    </w:p>
    <w:p>
      <w:pPr>
        <w:ind w:left="980" w:right="140" w:hanging="432"/>
        <w:spacing w:after="0" w:line="253" w:lineRule="auto"/>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2,558,531 shares of common stock issuable upon the exercise of stock options outstanding as of September 30, 2023, at a weighted average exercise price of $15.95 per share;</w:t>
      </w:r>
    </w:p>
    <w:p>
      <w:pPr>
        <w:spacing w:after="0" w:line="6" w:lineRule="exact"/>
        <w:rPr>
          <w:rFonts w:ascii="MS PGothic" w:cs="MS PGothic" w:eastAsia="MS PGothic" w:hAnsi="MS PGothic"/>
          <w:sz w:val="13"/>
          <w:szCs w:val="13"/>
          <w:color w:val="auto"/>
        </w:rPr>
      </w:pPr>
    </w:p>
    <w:p>
      <w:pPr>
        <w:ind w:left="980" w:right="700" w:hanging="432"/>
        <w:spacing w:after="0" w:line="267" w:lineRule="auto"/>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48,730 shares of common stock issuable upon the exercise of stock options granted subsequent to September 30, 2023, at a weighted average exercise price of $48.28 per share;</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980" w:right="300" w:hanging="432"/>
        <w:spacing w:after="0" w:line="253"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204,081 shares of common stock issuable upon the exercise of pre-funded warrants outstanding as of September 30, 2023, at an exercise price of $0.0001 per share;</w:t>
      </w:r>
    </w:p>
    <w:p>
      <w:pPr>
        <w:spacing w:after="0" w:line="6" w:lineRule="exact"/>
        <w:rPr>
          <w:rFonts w:ascii="MS PGothic" w:cs="MS PGothic" w:eastAsia="MS PGothic" w:hAnsi="MS PGothic"/>
          <w:sz w:val="13"/>
          <w:szCs w:val="13"/>
          <w:color w:val="auto"/>
        </w:rPr>
      </w:pPr>
    </w:p>
    <w:p>
      <w:pPr>
        <w:ind w:left="980" w:right="100" w:hanging="432"/>
        <w:spacing w:after="0" w:line="253"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1,568,907 shares of common stock available for future issuance under our Amended and Restated 2021 Stock Option and Incentive Plan as of September 30, 2023; and</w:t>
      </w:r>
    </w:p>
    <w:p>
      <w:pPr>
        <w:spacing w:after="0" w:line="6" w:lineRule="exact"/>
        <w:rPr>
          <w:rFonts w:ascii="MS PGothic" w:cs="MS PGothic" w:eastAsia="MS PGothic" w:hAnsi="MS PGothic"/>
          <w:sz w:val="13"/>
          <w:szCs w:val="13"/>
          <w:color w:val="auto"/>
        </w:rPr>
      </w:pPr>
    </w:p>
    <w:p>
      <w:pPr>
        <w:ind w:left="980" w:right="280" w:hanging="432"/>
        <w:spacing w:after="0" w:line="267"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222,953 shares of common stock available for future issuance under our Amended and Restated 2021 Employee Stock Purchase Plan as of September 30, 2023.</w:t>
      </w:r>
    </w:p>
    <w:p>
      <w:pPr>
        <w:spacing w:after="0" w:line="105"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To the extent that options outstanding as of September 30, 2023 have been or may be exercised or settle, as applicable,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31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S-12</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entered into the sales agreement with Jefferies on October 10, 2023, under which we could offer and sell shares of our common stock having</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 aggregate offering price of up to $59,700,000 from time to time through Jefferies, acting as our agent, or directly to Jefferies, as principal. On</w:t>
      </w:r>
    </w:p>
    <w:p>
      <w:pPr>
        <w:ind w:left="120"/>
        <w:spacing w:after="0" w:line="232" w:lineRule="auto"/>
        <w:rPr>
          <w:sz w:val="20"/>
          <w:szCs w:val="20"/>
          <w:color w:val="auto"/>
        </w:rPr>
      </w:pPr>
      <w:r>
        <w:rPr>
          <w:rFonts w:ascii="Arial" w:cs="Arial" w:eastAsia="Arial" w:hAnsi="Arial"/>
          <w:sz w:val="17"/>
          <w:szCs w:val="17"/>
          <w:color w:val="auto"/>
        </w:rPr>
        <w:t>December 5, 2023, we entered into the amendment to increase the aggregate offering price of the shares of common stock that we may issue</w:t>
      </w:r>
    </w:p>
    <w:p>
      <w:pPr>
        <w:ind w:left="120"/>
        <w:spacing w:after="0" w:line="232" w:lineRule="auto"/>
        <w:rPr>
          <w:sz w:val="20"/>
          <w:szCs w:val="20"/>
          <w:color w:val="auto"/>
        </w:rPr>
      </w:pPr>
      <w:r>
        <w:rPr>
          <w:rFonts w:ascii="Arial" w:cs="Arial" w:eastAsia="Arial" w:hAnsi="Arial"/>
          <w:sz w:val="17"/>
          <w:szCs w:val="17"/>
          <w:color w:val="auto"/>
        </w:rPr>
        <w:t>and sell from time to time under the sales agreement from $59,700,000 to $200,000,000. As of the date of this prospectus supplement, we have</w:t>
      </w:r>
    </w:p>
    <w:p>
      <w:pPr>
        <w:ind w:left="120"/>
        <w:spacing w:after="0" w:line="232" w:lineRule="auto"/>
        <w:rPr>
          <w:sz w:val="20"/>
          <w:szCs w:val="20"/>
          <w:color w:val="auto"/>
        </w:rPr>
      </w:pPr>
      <w:r>
        <w:rPr>
          <w:rFonts w:ascii="Arial" w:cs="Arial" w:eastAsia="Arial" w:hAnsi="Arial"/>
          <w:sz w:val="17"/>
          <w:szCs w:val="17"/>
          <w:color w:val="auto"/>
        </w:rPr>
        <w:t>issued and sold shares of our common stock having an aggregate offering price of $7,167,167.89 pursuant to the sales agreement and the prior</w:t>
      </w:r>
    </w:p>
    <w:p>
      <w:pPr>
        <w:ind w:left="120"/>
        <w:spacing w:after="0" w:line="232" w:lineRule="auto"/>
        <w:rPr>
          <w:sz w:val="20"/>
          <w:szCs w:val="20"/>
          <w:color w:val="auto"/>
        </w:rPr>
      </w:pPr>
      <w:r>
        <w:rPr>
          <w:rFonts w:ascii="Arial" w:cs="Arial" w:eastAsia="Arial" w:hAnsi="Arial"/>
          <w:sz w:val="17"/>
          <w:szCs w:val="17"/>
          <w:color w:val="auto"/>
        </w:rPr>
        <w:t>prospectus. We suspended and terminated the prior prospectus supplement effective as of the date of this prospectus supplement. The</w:t>
      </w:r>
    </w:p>
    <w:p>
      <w:pPr>
        <w:ind w:left="120"/>
        <w:spacing w:after="0" w:line="232" w:lineRule="auto"/>
        <w:rPr>
          <w:sz w:val="20"/>
          <w:szCs w:val="20"/>
          <w:color w:val="auto"/>
        </w:rPr>
      </w:pPr>
      <w:r>
        <w:rPr>
          <w:rFonts w:ascii="Arial" w:cs="Arial" w:eastAsia="Arial" w:hAnsi="Arial"/>
          <w:sz w:val="17"/>
          <w:szCs w:val="17"/>
          <w:color w:val="auto"/>
        </w:rPr>
        <w:t>$192,832,832 of shares of our common stock which may be offered and sold pursuant the amended sales agreement will be offered and sold</w:t>
      </w:r>
    </w:p>
    <w:p>
      <w:pPr>
        <w:ind w:left="120"/>
        <w:spacing w:after="0" w:line="232" w:lineRule="auto"/>
        <w:rPr>
          <w:sz w:val="20"/>
          <w:szCs w:val="20"/>
          <w:color w:val="auto"/>
        </w:rPr>
      </w:pPr>
      <w:r>
        <w:rPr>
          <w:rFonts w:ascii="Arial" w:cs="Arial" w:eastAsia="Arial" w:hAnsi="Arial"/>
          <w:sz w:val="17"/>
          <w:szCs w:val="17"/>
          <w:color w:val="auto"/>
        </w:rPr>
        <w:t>under this prospectus supplement and the accompanying base prospectus dated November 29, 2023. Sales of our shares of common stock, if</w:t>
      </w:r>
    </w:p>
    <w:p>
      <w:pPr>
        <w:ind w:left="120"/>
        <w:spacing w:after="0" w:line="232" w:lineRule="auto"/>
        <w:rPr>
          <w:sz w:val="20"/>
          <w:szCs w:val="20"/>
          <w:color w:val="auto"/>
        </w:rPr>
      </w:pPr>
      <w:r>
        <w:rPr>
          <w:rFonts w:ascii="Arial" w:cs="Arial" w:eastAsia="Arial" w:hAnsi="Arial"/>
          <w:sz w:val="17"/>
          <w:szCs w:val="17"/>
          <w:color w:val="auto"/>
        </w:rPr>
        <w:t>any, under this prospectus supplement and the accompanying base prospectus will be made by any method that is deemed to be an “at the</w:t>
      </w:r>
    </w:p>
    <w:p>
      <w:pPr>
        <w:ind w:left="120"/>
        <w:spacing w:after="0"/>
        <w:rPr>
          <w:sz w:val="20"/>
          <w:szCs w:val="20"/>
          <w:color w:val="auto"/>
        </w:rPr>
      </w:pPr>
      <w:r>
        <w:rPr>
          <w:rFonts w:ascii="Arial" w:cs="Arial" w:eastAsia="Arial" w:hAnsi="Arial"/>
          <w:sz w:val="17"/>
          <w:szCs w:val="17"/>
          <w:color w:val="auto"/>
        </w:rPr>
        <w:t>market offering” as defined in Rule 415(a)(4) under the Securities Act.</w:t>
      </w:r>
    </w:p>
    <w:p>
      <w:pPr>
        <w:spacing w:after="0" w:line="140"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Each time we wish to issue and sell our shares of common stock under the amended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sales and trading practices to sell such shares up to the amount specified on such terms. The obligations of Jefferies under the amended sales agreement to sell our shares of common stock are subject to a number of conditions that we must meet.</w:t>
      </w:r>
    </w:p>
    <w:p>
      <w:pPr>
        <w:spacing w:after="0" w:line="128"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The settlement of sales of shares between us and Jefferies is generally anticipated to occur on the second trading day following the date on which the sale was made, or on some other date that is agreed upon by us and Jefferies or that is required by SEC rule or industry practice. Sales of our shares of common stock as contemplated in this prospectus supplement and the accompanying base prospectus will be settled through the facilities of The Depository Trust Company or by such other means as we and Jefferies may agree upon. There is no arrangement for funds to be received in an escrow, trust or similar arrangement.</w:t>
      </w:r>
    </w:p>
    <w:p>
      <w:pPr>
        <w:spacing w:after="0" w:line="12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We will pay Jefferies a commission equal to up to 3%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amended sales agreement, in an amount not to exceed $75,000, in addition to certain ongoing disbursements of its legal counsel. We estimate that the total expenses for the offering, excluding any commissions or expense reimbursement payable to Jefferies under the terms of the amended sales agreement, will be approximately $340,000. The remaining sale proceeds, after deducting any other transaction fees, will equal our net proceeds from the sale of such shares.</w:t>
      </w:r>
    </w:p>
    <w:p>
      <w:pPr>
        <w:spacing w:after="0" w:line="128"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color w:val="auto"/>
        </w:rPr>
        <w:t>Jefferies will provide written confirmation to us before the open on the Nasdaq Global Market on the next trading day following each day on which our shares of common stock are sold under the amended sales agreement. Each confirmation will include the number of shares sold on that day, the aggregate gross proceeds of such sales and the proceeds to us.</w:t>
      </w:r>
    </w:p>
    <w:p>
      <w:pPr>
        <w:spacing w:after="0" w:line="121"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color w:val="auto"/>
        </w:rPr>
        <w:t>In connection with the sale of our shares of common stock on our behalf, Jefferies may be deemed to be an “underwriter” within the meaning of the Securities Act, and the compensation of Jefferies may be deemed to be underwriting commissions or discounts. We have agreed to indemnify Jefferies against certain civil liabilities, including liabilities under the Securities Act and the Exchange Act. We have also agreed to contribute to payments Jefferies may be required to make in respect of such liabilities.</w:t>
      </w:r>
    </w:p>
    <w:p>
      <w:pPr>
        <w:spacing w:after="0" w:line="123" w:lineRule="exact"/>
        <w:rPr>
          <w:sz w:val="20"/>
          <w:szCs w:val="20"/>
          <w:color w:val="auto"/>
        </w:rPr>
      </w:pPr>
    </w:p>
    <w:p>
      <w:pPr>
        <w:ind w:left="120" w:right="60"/>
        <w:spacing w:after="0" w:line="249" w:lineRule="auto"/>
        <w:rPr>
          <w:sz w:val="20"/>
          <w:szCs w:val="20"/>
          <w:color w:val="auto"/>
        </w:rPr>
      </w:pPr>
      <w:r>
        <w:rPr>
          <w:rFonts w:ascii="Arial" w:cs="Arial" w:eastAsia="Arial" w:hAnsi="Arial"/>
          <w:sz w:val="17"/>
          <w:szCs w:val="17"/>
          <w:color w:val="auto"/>
        </w:rPr>
        <w:t>The offering of our shares of common stock pursuant to the amended sales agreement will terminate upon the earlier of (i) the sale of all shares of common stock subject to the amended sales agreement and (ii) the termination of the amended sales agreement as permitted therein. We and Jefferies may each terminate the amended sales agreement at any time upon ten trading days’ prior notice.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S-13</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This summary of the material provisions of the amended sales agreement does not purport to be a complete statement of its terms and conditions. A copy of the sales agreement was filed as Exhibit 1.1 to a Current Report on Form 8-K filed with the SEC under the Exchange Act on October 10, 2023, which is incorporated by reference in this prospectus supplement and the accompanying base prospectus. A copy of the amendment will be filed as an exhibit to a Current Report on Form 8-K filed with the SEC under the Exchange Act and incorporated by reference in this prospectus supplement and the accompanying base prospectus.</w:t>
      </w:r>
    </w:p>
    <w:p>
      <w:pPr>
        <w:spacing w:after="0" w:line="126" w:lineRule="exact"/>
        <w:rPr>
          <w:sz w:val="20"/>
          <w:szCs w:val="20"/>
          <w:color w:val="auto"/>
        </w:rPr>
      </w:pPr>
    </w:p>
    <w:p>
      <w:pPr>
        <w:ind w:left="120" w:right="120"/>
        <w:spacing w:after="0" w:line="244" w:lineRule="auto"/>
        <w:rPr>
          <w:sz w:val="20"/>
          <w:szCs w:val="20"/>
          <w:color w:val="auto"/>
        </w:rPr>
      </w:pPr>
      <w:r>
        <w:rPr>
          <w:rFonts w:ascii="Arial" w:cs="Arial" w:eastAsia="Arial" w:hAnsi="Arial"/>
          <w:sz w:val="17"/>
          <w:szCs w:val="17"/>
          <w:color w:val="auto"/>
        </w:rPr>
        <w:t>Jefferies and its affiliates have in the past and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23" w:lineRule="exact"/>
        <w:rPr>
          <w:sz w:val="20"/>
          <w:szCs w:val="20"/>
          <w:color w:val="auto"/>
        </w:rPr>
      </w:pPr>
    </w:p>
    <w:p>
      <w:pPr>
        <w:ind w:left="120" w:right="340"/>
        <w:spacing w:after="0" w:line="267" w:lineRule="auto"/>
        <w:rPr>
          <w:sz w:val="20"/>
          <w:szCs w:val="20"/>
          <w:color w:val="auto"/>
        </w:rPr>
      </w:pPr>
      <w:r>
        <w:rPr>
          <w:rFonts w:ascii="Arial" w:cs="Arial" w:eastAsia="Arial" w:hAnsi="Arial"/>
          <w:sz w:val="17"/>
          <w:szCs w:val="17"/>
          <w:color w:val="auto"/>
        </w:rPr>
        <w:t>This prospectus supplement and the accompanying base prospectus in electronic format may be made available on a website maintained by Jefferies, and Jefferies may distribute this prospectus supplement and the accompanying base prospectus electronically.</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validity of the shares of common stock offered hereby will be passed upon for us by Goodwin Procter LLP, Boston, Massachusetts. Jefferies LLC is being represented in connection with this offering by Wilmer Cutler Pickering Hale and Dorr LLP, New York, New York.</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000"/>
          </w:cols>
          <w:pgMar w:left="320" w:top="455" w:right="5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The consolidated financial statements of Disc Medicine, Inc. appearing in Disc Medicine, Inc.’s Annual Report (Form 10-K) for the years ended December 31, 2022 and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128" w:lineRule="exact"/>
        <w:rPr>
          <w:sz w:val="20"/>
          <w:szCs w:val="20"/>
          <w:color w:val="auto"/>
        </w:rPr>
      </w:pPr>
    </w:p>
    <w:p>
      <w:pPr>
        <w:ind w:left="120" w:right="200"/>
        <w:spacing w:after="0" w:line="244" w:lineRule="auto"/>
        <w:rPr>
          <w:sz w:val="20"/>
          <w:szCs w:val="20"/>
          <w:color w:val="auto"/>
        </w:rPr>
      </w:pPr>
      <w:r>
        <w:rPr>
          <w:rFonts w:ascii="Arial" w:cs="Arial" w:eastAsia="Arial" w:hAnsi="Arial"/>
          <w:sz w:val="17"/>
          <w:szCs w:val="17"/>
          <w:color w:val="auto"/>
        </w:rPr>
        <w:t>The consolidated financial statements of Gemini Therapeutics, Inc. appearing in Gemini Therapeutics, Inc.’s Annual Report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S-16</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6" w:lineRule="exact"/>
        <w:rPr>
          <w:sz w:val="20"/>
          <w:szCs w:val="20"/>
          <w:color w:val="auto"/>
        </w:rPr>
      </w:pPr>
    </w:p>
    <w:p>
      <w:pPr>
        <w:jc w:val="both"/>
        <w:ind w:left="120" w:right="260"/>
        <w:spacing w:after="0" w:line="249"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on our investor website at www.discmedicine.com. Our website is not a part of this prospectus supplement and is not incorporated by reference in this prospectus supplement or the accompanying base prospectus.</w:t>
      </w:r>
    </w:p>
    <w:p>
      <w:pPr>
        <w:spacing w:after="0" w:line="121"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base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S-17</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between the date of the initial registration statement of which this prospectus supplement forms a part and the effectiveness of the registration statement and following the effectiveness of the registration statement until we terminate or sell all of the securities offered hereby:</w:t>
      </w:r>
    </w:p>
    <w:p>
      <w:pPr>
        <w:spacing w:after="0" w:line="167" w:lineRule="exact"/>
        <w:rPr>
          <w:sz w:val="20"/>
          <w:szCs w:val="20"/>
          <w:color w:val="auto"/>
        </w:rPr>
      </w:pPr>
    </w:p>
    <w:p>
      <w:pPr>
        <w:ind w:left="980" w:right="700" w:hanging="432"/>
        <w:spacing w:after="0" w:line="25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Annual Reports on Form 10-K for the fiscal years ended </w:t>
      </w:r>
      <w:hyperlink r:id="rId42">
        <w:r>
          <w:rPr>
            <w:rFonts w:ascii="Arial" w:cs="Arial" w:eastAsia="Arial" w:hAnsi="Arial"/>
            <w:sz w:val="17"/>
            <w:szCs w:val="17"/>
            <w:u w:val="single" w:color="auto"/>
            <w:color w:val="0000EE"/>
          </w:rPr>
          <w:t>December 31,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43">
        <w:r>
          <w:rPr>
            <w:rFonts w:ascii="Arial" w:cs="Arial" w:eastAsia="Arial" w:hAnsi="Arial"/>
            <w:sz w:val="17"/>
            <w:szCs w:val="17"/>
            <w:u w:val="single" w:color="auto"/>
            <w:color w:val="0000EE"/>
          </w:rPr>
          <w:t>December 31, 2022</w:t>
        </w:r>
      </w:hyperlink>
      <w:r>
        <w:rPr>
          <w:rFonts w:ascii="Arial" w:cs="Arial" w:eastAsia="Arial" w:hAnsi="Arial"/>
          <w:sz w:val="17"/>
          <w:szCs w:val="17"/>
          <w:color w:val="auto"/>
        </w:rPr>
        <w:t>, filed with the SEC on March 10, 2022 and March 31, 2023, respectively;</w:t>
      </w:r>
    </w:p>
    <w:p>
      <w:pPr>
        <w:spacing w:after="0" w:line="6" w:lineRule="exact"/>
        <w:rPr>
          <w:rFonts w:ascii="Arial" w:cs="Arial" w:eastAsia="Arial" w:hAnsi="Arial"/>
          <w:sz w:val="17"/>
          <w:szCs w:val="17"/>
          <w:color w:val="auto"/>
        </w:rPr>
      </w:pPr>
    </w:p>
    <w:p>
      <w:pPr>
        <w:ind w:left="980" w:right="400" w:hanging="432"/>
        <w:spacing w:after="0" w:line="25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Quarterly Reports on Form 10-Q for the quarters ended September 30, 2022, March 31, 2023, June 30, 2023 and September 30, 2023, filed with the SEC on </w:t>
      </w:r>
      <w:hyperlink r:id="rId44">
        <w:r>
          <w:rPr>
            <w:rFonts w:ascii="Arial" w:cs="Arial" w:eastAsia="Arial" w:hAnsi="Arial"/>
            <w:sz w:val="17"/>
            <w:szCs w:val="17"/>
            <w:u w:val="single" w:color="auto"/>
            <w:color w:val="0000EE"/>
          </w:rPr>
          <w:t>November 10, 2022</w:t>
        </w:r>
      </w:hyperlink>
      <w:r>
        <w:rPr>
          <w:rFonts w:ascii="Arial" w:cs="Arial" w:eastAsia="Arial" w:hAnsi="Arial"/>
          <w:sz w:val="17"/>
          <w:szCs w:val="17"/>
          <w:color w:val="auto"/>
        </w:rPr>
        <w:t xml:space="preserve">, </w:t>
      </w:r>
      <w:hyperlink r:id="rId45">
        <w:r>
          <w:rPr>
            <w:rFonts w:ascii="Arial" w:cs="Arial" w:eastAsia="Arial" w:hAnsi="Arial"/>
            <w:sz w:val="17"/>
            <w:szCs w:val="17"/>
            <w:u w:val="single" w:color="auto"/>
            <w:color w:val="0000EE"/>
          </w:rPr>
          <w:t>May 15, 2023</w:t>
        </w:r>
      </w:hyperlink>
      <w:r>
        <w:rPr>
          <w:rFonts w:ascii="Arial" w:cs="Arial" w:eastAsia="Arial" w:hAnsi="Arial"/>
          <w:sz w:val="17"/>
          <w:szCs w:val="17"/>
          <w:color w:val="auto"/>
        </w:rPr>
        <w:t xml:space="preserve">, </w:t>
      </w:r>
      <w:hyperlink r:id="rId46">
        <w:r>
          <w:rPr>
            <w:rFonts w:ascii="Arial" w:cs="Arial" w:eastAsia="Arial" w:hAnsi="Arial"/>
            <w:sz w:val="17"/>
            <w:szCs w:val="17"/>
            <w:u w:val="single" w:color="auto"/>
            <w:color w:val="0000EE"/>
          </w:rPr>
          <w:t>August 11,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47">
        <w:r>
          <w:rPr>
            <w:rFonts w:ascii="Arial" w:cs="Arial" w:eastAsia="Arial" w:hAnsi="Arial"/>
            <w:sz w:val="17"/>
            <w:szCs w:val="17"/>
            <w:u w:val="single" w:color="auto"/>
            <w:color w:val="0000EE"/>
          </w:rPr>
          <w:t>November 9, 2023</w:t>
        </w:r>
      </w:hyperlink>
      <w:r>
        <w:rPr>
          <w:rFonts w:ascii="Arial" w:cs="Arial" w:eastAsia="Arial" w:hAnsi="Arial"/>
          <w:sz w:val="17"/>
          <w:szCs w:val="17"/>
          <w:color w:val="auto"/>
        </w:rPr>
        <w:t>, respectively;</w:t>
      </w:r>
    </w:p>
    <w:p>
      <w:pPr>
        <w:spacing w:after="0" w:line="6" w:lineRule="exact"/>
        <w:rPr>
          <w:rFonts w:ascii="Arial" w:cs="Arial" w:eastAsia="Arial" w:hAnsi="Arial"/>
          <w:sz w:val="17"/>
          <w:szCs w:val="17"/>
          <w:color w:val="auto"/>
        </w:rPr>
      </w:pPr>
    </w:p>
    <w:p>
      <w:pPr>
        <w:ind w:left="980" w:right="60" w:hanging="432"/>
        <w:spacing w:after="0" w:line="241"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Current Reports on Form 8-K filed with the SEC on </w:t>
      </w:r>
      <w:hyperlink r:id="rId48">
        <w:r>
          <w:rPr>
            <w:rFonts w:ascii="Arial" w:cs="Arial" w:eastAsia="Arial" w:hAnsi="Arial"/>
            <w:sz w:val="17"/>
            <w:szCs w:val="17"/>
            <w:u w:val="single" w:color="auto"/>
            <w:color w:val="0000EE"/>
          </w:rPr>
          <w:t>December 29, 2022</w:t>
        </w:r>
      </w:hyperlink>
      <w:r>
        <w:rPr>
          <w:rFonts w:ascii="Arial" w:cs="Arial" w:eastAsia="Arial" w:hAnsi="Arial"/>
          <w:sz w:val="17"/>
          <w:szCs w:val="17"/>
          <w:color w:val="auto"/>
        </w:rPr>
        <w:t xml:space="preserve">, </w:t>
      </w:r>
      <w:hyperlink r:id="rId49">
        <w:r>
          <w:rPr>
            <w:rFonts w:ascii="Arial" w:cs="Arial" w:eastAsia="Arial" w:hAnsi="Arial"/>
            <w:sz w:val="17"/>
            <w:szCs w:val="17"/>
            <w:u w:val="single" w:color="auto"/>
            <w:color w:val="0000EE"/>
          </w:rPr>
          <w:t>January 23,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(excluding information furnished pursuant </w:t>
      </w:r>
      <w:hyperlink r:id="rId50">
        <w:r>
          <w:rPr>
            <w:rFonts w:ascii="Arial" w:cs="Arial" w:eastAsia="Arial" w:hAnsi="Arial"/>
            <w:sz w:val="17"/>
            <w:szCs w:val="17"/>
            <w:color w:val="auto"/>
          </w:rPr>
          <w:t xml:space="preserve">to Item 7.01), </w:t>
        </w:r>
        <w:r>
          <w:rPr>
            <w:rFonts w:ascii="Arial" w:cs="Arial" w:eastAsia="Arial" w:hAnsi="Arial"/>
            <w:sz w:val="17"/>
            <w:szCs w:val="17"/>
            <w:u w:val="single" w:color="auto"/>
            <w:color w:val="0000EE"/>
          </w:rPr>
          <w:t>January 25, 2023</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14, 2023</w:t>
        </w:r>
        <w:r>
          <w:rPr>
            <w:rFonts w:ascii="Arial" w:cs="Arial" w:eastAsia="Arial" w:hAnsi="Arial"/>
            <w:sz w:val="17"/>
            <w:szCs w:val="17"/>
            <w:color w:val="auto"/>
          </w:rPr>
          <w:t xml:space="preserve"> (excluding information furnished pursuant to Item 7.01), </w:t>
        </w:r>
        <w:r>
          <w:rPr>
            <w:rFonts w:ascii="Arial" w:cs="Arial" w:eastAsia="Arial" w:hAnsi="Arial"/>
            <w:sz w:val="17"/>
            <w:szCs w:val="17"/>
            <w:u w:val="single" w:color="auto"/>
            <w:color w:val="0000EE"/>
          </w:rPr>
          <w:t>March 31,</w:t>
        </w:r>
      </w:hyperlink>
    </w:p>
    <w:p>
      <w:pPr>
        <w:spacing w:after="0" w:line="1" w:lineRule="exact"/>
        <w:rPr>
          <w:rFonts w:ascii="Arial" w:cs="Arial" w:eastAsia="Arial" w:hAnsi="Arial"/>
          <w:sz w:val="17"/>
          <w:szCs w:val="17"/>
          <w:color w:val="auto"/>
        </w:rPr>
      </w:pPr>
    </w:p>
    <w:p>
      <w:pPr>
        <w:ind w:left="980" w:right="60"/>
        <w:spacing w:after="0"/>
        <w:rPr>
          <w:rFonts w:ascii="Arial" w:cs="Arial" w:eastAsia="Arial" w:hAnsi="Arial"/>
          <w:sz w:val="17"/>
          <w:szCs w:val="17"/>
          <w:color w:val="0000EE"/>
        </w:rPr>
      </w:pPr>
      <w:hyperlink r:id="rId50">
        <w:r>
          <w:rPr>
            <w:rFonts w:ascii="Arial" w:cs="Arial" w:eastAsia="Arial" w:hAnsi="Arial"/>
            <w:sz w:val="17"/>
            <w:szCs w:val="17"/>
            <w:u w:val="single" w:color="auto"/>
            <w:color w:val="0000EE"/>
          </w:rPr>
          <w:t>2023</w:t>
        </w:r>
        <w:r>
          <w:rPr>
            <w:rFonts w:ascii="Arial" w:cs="Arial" w:eastAsia="Arial" w:hAnsi="Arial"/>
            <w:sz w:val="17"/>
            <w:szCs w:val="17"/>
            <w:color w:val="0000EE"/>
          </w:rPr>
          <w:t xml:space="preserve"> </w:t>
        </w:r>
        <w:r>
          <w:rPr>
            <w:rFonts w:ascii="Arial" w:cs="Arial" w:eastAsia="Arial" w:hAnsi="Arial"/>
            <w:sz w:val="17"/>
            <w:szCs w:val="17"/>
            <w:color w:val="000000"/>
          </w:rPr>
          <w:t>(excluding information furnished pursuant to Item 2.02),</w:t>
        </w:r>
        <w:r>
          <w:rPr>
            <w:rFonts w:ascii="Arial" w:cs="Arial" w:eastAsia="Arial" w:hAnsi="Arial"/>
            <w:sz w:val="17"/>
            <w:szCs w:val="17"/>
            <w:color w:val="0000EE"/>
          </w:rPr>
          <w:t xml:space="preserve"> </w:t>
        </w:r>
      </w:hyperlink>
      <w:hyperlink r:id="rId51">
        <w:r>
          <w:rPr>
            <w:rFonts w:ascii="Arial" w:cs="Arial" w:eastAsia="Arial" w:hAnsi="Arial"/>
            <w:sz w:val="17"/>
            <w:szCs w:val="17"/>
            <w:u w:val="single" w:color="auto"/>
            <w:color w:val="0000EE"/>
          </w:rPr>
          <w:t>April 19, 2023</w:t>
        </w:r>
      </w:hyperlink>
      <w:hyperlink r:id="rId50">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2">
        <w:r>
          <w:rPr>
            <w:rFonts w:ascii="Arial" w:cs="Arial" w:eastAsia="Arial" w:hAnsi="Arial"/>
            <w:sz w:val="17"/>
            <w:szCs w:val="17"/>
            <w:u w:val="single" w:color="auto"/>
            <w:color w:val="0000EE"/>
          </w:rPr>
          <w:t xml:space="preserve">June 9, 2023 </w:t>
        </w:r>
      </w:hyperlink>
      <w:hyperlink r:id="rId50">
        <w:r>
          <w:rPr>
            <w:rFonts w:ascii="Arial" w:cs="Arial" w:eastAsia="Arial" w:hAnsi="Arial"/>
            <w:sz w:val="17"/>
            <w:szCs w:val="17"/>
            <w:color w:val="000000"/>
          </w:rPr>
          <w:t xml:space="preserve">(excluding information </w:t>
        </w:r>
      </w:hyperlink>
      <w:r>
        <w:rPr>
          <w:rFonts w:ascii="Arial" w:cs="Arial" w:eastAsia="Arial" w:hAnsi="Arial"/>
          <w:sz w:val="17"/>
          <w:szCs w:val="17"/>
          <w:color w:val="0000EE"/>
        </w:rPr>
        <w:t xml:space="preserve">furnished </w:t>
      </w:r>
      <w:r>
        <w:rPr>
          <w:rFonts w:ascii="Arial" w:cs="Arial" w:eastAsia="Arial" w:hAnsi="Arial"/>
          <w:sz w:val="17"/>
          <w:szCs w:val="17"/>
          <w:color w:val="000000"/>
        </w:rPr>
        <w:t>pursuant</w:t>
      </w:r>
      <w:r>
        <w:rPr>
          <w:rFonts w:ascii="Arial" w:cs="Arial" w:eastAsia="Arial" w:hAnsi="Arial"/>
          <w:sz w:val="17"/>
          <w:szCs w:val="17"/>
          <w:color w:val="0000EE"/>
        </w:rPr>
        <w:t xml:space="preserve"> </w:t>
      </w:r>
      <w:r>
        <w:rPr>
          <w:rFonts w:ascii="Arial" w:cs="Arial" w:eastAsia="Arial" w:hAnsi="Arial"/>
          <w:sz w:val="17"/>
          <w:szCs w:val="17"/>
          <w:color w:val="000000"/>
        </w:rPr>
        <w:t xml:space="preserve">to Item 7.01), </w:t>
      </w:r>
      <w:hyperlink r:id="rId53">
        <w:r>
          <w:rPr>
            <w:rFonts w:ascii="Arial" w:cs="Arial" w:eastAsia="Arial" w:hAnsi="Arial"/>
            <w:sz w:val="17"/>
            <w:szCs w:val="17"/>
            <w:u w:val="single" w:color="auto"/>
            <w:color w:val="0000EE"/>
          </w:rPr>
          <w:t>June 9, 2023</w:t>
        </w:r>
      </w:hyperlink>
      <w:r>
        <w:rPr>
          <w:rFonts w:ascii="Arial" w:cs="Arial" w:eastAsia="Arial" w:hAnsi="Arial"/>
          <w:sz w:val="17"/>
          <w:szCs w:val="17"/>
          <w:color w:val="000000"/>
        </w:rPr>
        <w:t xml:space="preserve">, </w:t>
      </w:r>
      <w:hyperlink r:id="rId54">
        <w:r>
          <w:rPr>
            <w:rFonts w:ascii="Arial" w:cs="Arial" w:eastAsia="Arial" w:hAnsi="Arial"/>
            <w:sz w:val="17"/>
            <w:szCs w:val="17"/>
            <w:u w:val="single" w:color="auto"/>
            <w:color w:val="0000EE"/>
          </w:rPr>
          <w:t>June 12, 2023</w:t>
        </w:r>
      </w:hyperlink>
      <w:r>
        <w:rPr>
          <w:rFonts w:ascii="Arial" w:cs="Arial" w:eastAsia="Arial" w:hAnsi="Arial"/>
          <w:sz w:val="17"/>
          <w:szCs w:val="17"/>
          <w:color w:val="000000"/>
        </w:rPr>
        <w:t xml:space="preserve">, </w:t>
      </w:r>
      <w:hyperlink r:id="rId55">
        <w:r>
          <w:rPr>
            <w:rFonts w:ascii="Arial" w:cs="Arial" w:eastAsia="Arial" w:hAnsi="Arial"/>
            <w:sz w:val="17"/>
            <w:szCs w:val="17"/>
            <w:u w:val="single" w:color="auto"/>
            <w:color w:val="0000EE"/>
          </w:rPr>
          <w:t>June 16, 2023</w:t>
        </w:r>
      </w:hyperlink>
      <w:r>
        <w:rPr>
          <w:rFonts w:ascii="Arial" w:cs="Arial" w:eastAsia="Arial" w:hAnsi="Arial"/>
          <w:sz w:val="17"/>
          <w:szCs w:val="17"/>
          <w:color w:val="000000"/>
        </w:rPr>
        <w:t xml:space="preserve">, </w:t>
      </w:r>
      <w:hyperlink r:id="rId56">
        <w:r>
          <w:rPr>
            <w:rFonts w:ascii="Arial" w:cs="Arial" w:eastAsia="Arial" w:hAnsi="Arial"/>
            <w:sz w:val="17"/>
            <w:szCs w:val="17"/>
            <w:u w:val="single" w:color="auto"/>
            <w:color w:val="0000EE"/>
          </w:rPr>
          <w:t>September 29, 2023</w:t>
        </w:r>
      </w:hyperlink>
      <w:r>
        <w:rPr>
          <w:rFonts w:ascii="Arial" w:cs="Arial" w:eastAsia="Arial" w:hAnsi="Arial"/>
          <w:sz w:val="17"/>
          <w:szCs w:val="17"/>
          <w:color w:val="000000"/>
        </w:rPr>
        <w:t xml:space="preserve">, </w:t>
      </w:r>
      <w:hyperlink r:id="rId57">
        <w:r>
          <w:rPr>
            <w:rFonts w:ascii="Arial" w:cs="Arial" w:eastAsia="Arial" w:hAnsi="Arial"/>
            <w:sz w:val="17"/>
            <w:szCs w:val="17"/>
            <w:u w:val="single" w:color="auto"/>
            <w:color w:val="0000EE"/>
          </w:rPr>
          <w:t>October 10, 2023</w:t>
        </w:r>
      </w:hyperlink>
      <w:r>
        <w:rPr>
          <w:rFonts w:ascii="Arial" w:cs="Arial" w:eastAsia="Arial" w:hAnsi="Arial"/>
          <w:sz w:val="17"/>
          <w:szCs w:val="17"/>
          <w:color w:val="000000"/>
        </w:rPr>
        <w:t xml:space="preserve">, </w:t>
      </w:r>
      <w:hyperlink r:id="rId58">
        <w:r>
          <w:rPr>
            <w:rFonts w:ascii="Arial" w:cs="Arial" w:eastAsia="Arial" w:hAnsi="Arial"/>
            <w:sz w:val="17"/>
            <w:szCs w:val="17"/>
            <w:u w:val="single" w:color="auto"/>
            <w:color w:val="0000EE"/>
          </w:rPr>
          <w:t>October 23, 2023</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 xml:space="preserve">and </w:t>
      </w:r>
      <w:hyperlink r:id="rId59">
        <w:r>
          <w:rPr>
            <w:rFonts w:ascii="Arial" w:cs="Arial" w:eastAsia="Arial" w:hAnsi="Arial"/>
            <w:sz w:val="17"/>
            <w:szCs w:val="17"/>
            <w:u w:val="single" w:color="auto"/>
            <w:color w:val="0000EE"/>
          </w:rPr>
          <w:t>November 2, 2023</w:t>
        </w:r>
        <w:r>
          <w:rPr>
            <w:rFonts w:ascii="Arial" w:cs="Arial" w:eastAsia="Arial" w:hAnsi="Arial"/>
            <w:sz w:val="17"/>
            <w:szCs w:val="17"/>
            <w:color w:val="0000EE"/>
          </w:rPr>
          <w:t xml:space="preserve"> </w:t>
        </w:r>
      </w:hyperlink>
      <w:r>
        <w:rPr>
          <w:rFonts w:ascii="Arial" w:cs="Arial" w:eastAsia="Arial" w:hAnsi="Arial"/>
          <w:sz w:val="17"/>
          <w:szCs w:val="17"/>
          <w:color w:val="000000"/>
        </w:rPr>
        <w:t>(excluding</w:t>
      </w:r>
      <w:r>
        <w:rPr>
          <w:rFonts w:ascii="Arial" w:cs="Arial" w:eastAsia="Arial" w:hAnsi="Arial"/>
          <w:sz w:val="17"/>
          <w:szCs w:val="17"/>
          <w:color w:val="0000EE"/>
        </w:rPr>
        <w:t xml:space="preserve"> </w:t>
      </w:r>
      <w:r>
        <w:rPr>
          <w:rFonts w:ascii="Arial" w:cs="Arial" w:eastAsia="Arial" w:hAnsi="Arial"/>
          <w:sz w:val="17"/>
          <w:szCs w:val="17"/>
          <w:color w:val="000000"/>
        </w:rPr>
        <w:t>information furnished pursuant to Item 7.01); and</w:t>
      </w:r>
    </w:p>
    <w:p>
      <w:pPr>
        <w:spacing w:after="0" w:line="5" w:lineRule="exact"/>
        <w:rPr>
          <w:rFonts w:ascii="Arial" w:cs="Arial" w:eastAsia="Arial" w:hAnsi="Arial"/>
          <w:sz w:val="17"/>
          <w:szCs w:val="17"/>
          <w:color w:val="0000EE"/>
        </w:rPr>
      </w:pPr>
    </w:p>
    <w:p>
      <w:pPr>
        <w:ind w:left="980" w:right="40" w:hanging="432"/>
        <w:spacing w:after="0" w:line="241" w:lineRule="auto"/>
        <w:tabs>
          <w:tab w:leader="none" w:pos="980" w:val="left"/>
        </w:tabs>
        <w:numPr>
          <w:ilvl w:val="0"/>
          <w:numId w:val="9"/>
        </w:numPr>
        <w:rPr>
          <w:rFonts w:ascii="Arial" w:cs="Arial" w:eastAsia="Arial" w:hAnsi="Arial"/>
          <w:sz w:val="17"/>
          <w:szCs w:val="17"/>
          <w:color w:val="0000EE"/>
        </w:rPr>
      </w:pPr>
      <w:r>
        <w:rPr>
          <w:rFonts w:ascii="Arial" w:cs="Arial" w:eastAsia="Arial" w:hAnsi="Arial"/>
          <w:sz w:val="17"/>
          <w:szCs w:val="17"/>
          <w:color w:val="auto"/>
        </w:rPr>
        <w:t xml:space="preserve">The description of our common stock contained in our Registration Statement on Form 8-A filed with the SEC on </w:t>
      </w:r>
      <w:hyperlink r:id="rId60">
        <w:r>
          <w:rPr>
            <w:rFonts w:ascii="Arial" w:cs="Arial" w:eastAsia="Arial" w:hAnsi="Arial"/>
            <w:sz w:val="17"/>
            <w:szCs w:val="17"/>
            <w:u w:val="single" w:color="auto"/>
            <w:color w:val="0000EE"/>
          </w:rPr>
          <w:t>August 10, 2020</w:t>
        </w:r>
      </w:hyperlink>
      <w:r>
        <w:rPr>
          <w:rFonts w:ascii="Arial" w:cs="Arial" w:eastAsia="Arial" w:hAnsi="Arial"/>
          <w:sz w:val="17"/>
          <w:szCs w:val="17"/>
          <w:color w:val="auto"/>
        </w:rPr>
        <w:t xml:space="preserve">, and as set forth by the description of the Registrant’s common stock set forth in </w:t>
      </w:r>
      <w:hyperlink r:id="rId61">
        <w:r>
          <w:rPr>
            <w:rFonts w:ascii="Arial" w:cs="Arial" w:eastAsia="Arial" w:hAnsi="Arial"/>
            <w:sz w:val="17"/>
            <w:szCs w:val="17"/>
            <w:u w:val="single" w:color="auto"/>
            <w:color w:val="0000EE"/>
          </w:rPr>
          <w:t>Exhibit 4.4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Registrant’s Annual Report on Form 10-K for the year ended December 31, 2021, filed with the SEC on </w:t>
      </w:r>
      <w:hyperlink r:id="rId42">
        <w:r>
          <w:rPr>
            <w:rFonts w:ascii="Arial" w:cs="Arial" w:eastAsia="Arial" w:hAnsi="Arial"/>
            <w:sz w:val="17"/>
            <w:szCs w:val="17"/>
            <w:u w:val="single" w:color="auto"/>
            <w:color w:val="0000EE"/>
          </w:rPr>
          <w:t>March 10, 2022</w:t>
        </w:r>
      </w:hyperlink>
      <w:r>
        <w:rPr>
          <w:rFonts w:ascii="Arial" w:cs="Arial" w:eastAsia="Arial" w:hAnsi="Arial"/>
          <w:sz w:val="17"/>
          <w:szCs w:val="17"/>
          <w:color w:val="auto"/>
        </w:rPr>
        <w:t xml:space="preserve">, and as further supplemented by the description of </w:t>
      </w:r>
      <w:hyperlink r:id="rId62">
        <w:r>
          <w:rPr>
            <w:rFonts w:ascii="Arial" w:cs="Arial" w:eastAsia="Arial" w:hAnsi="Arial"/>
            <w:sz w:val="17"/>
            <w:szCs w:val="17"/>
            <w:color w:val="auto"/>
          </w:rPr>
          <w:t xml:space="preserve">the Registrant’s common stock set forth in the Registrant’s Registration Statement on Form S-4/A, filed with the SEC on </w:t>
        </w:r>
        <w:r>
          <w:rPr>
            <w:rFonts w:ascii="Arial" w:cs="Arial" w:eastAsia="Arial" w:hAnsi="Arial"/>
            <w:sz w:val="17"/>
            <w:szCs w:val="17"/>
            <w:u w:val="single" w:color="auto"/>
            <w:color w:val="0000EE"/>
          </w:rPr>
          <w:t>December 1,</w:t>
        </w:r>
      </w:hyperlink>
      <w:r>
        <w:rPr>
          <w:rFonts w:ascii="Arial" w:cs="Arial" w:eastAsia="Arial" w:hAnsi="Arial"/>
          <w:sz w:val="17"/>
          <w:szCs w:val="17"/>
          <w:color w:val="auto"/>
        </w:rPr>
        <w:t xml:space="preserve"> </w:t>
      </w:r>
      <w:hyperlink r:id="rId62">
        <w:r>
          <w:rPr>
            <w:rFonts w:ascii="Arial" w:cs="Arial" w:eastAsia="Arial" w:hAnsi="Arial"/>
            <w:sz w:val="17"/>
            <w:szCs w:val="17"/>
            <w:u w:val="single" w:color="auto"/>
            <w:color w:val="0000EE"/>
          </w:rPr>
          <w:t>2022</w:t>
        </w:r>
        <w:r>
          <w:rPr>
            <w:rFonts w:ascii="Arial" w:cs="Arial" w:eastAsia="Arial" w:hAnsi="Arial"/>
            <w:sz w:val="17"/>
            <w:szCs w:val="17"/>
            <w:color w:val="000000"/>
          </w:rPr>
          <w:t>, including any amendments or reports filed for the purpose of updating such description.</w:t>
        </w:r>
      </w:hyperlink>
    </w:p>
    <w:p>
      <w:pPr>
        <w:spacing w:after="0" w:line="126" w:lineRule="exact"/>
        <w:rPr>
          <w:rFonts w:ascii="Arial" w:cs="Arial" w:eastAsia="Arial" w:hAnsi="Arial"/>
          <w:sz w:val="17"/>
          <w:szCs w:val="17"/>
          <w:color w:val="auto"/>
        </w:rPr>
      </w:pPr>
    </w:p>
    <w:p>
      <w:pPr>
        <w:ind w:left="120"/>
        <w:spacing w:after="0"/>
        <w:rPr>
          <w:sz w:val="20"/>
          <w:szCs w:val="20"/>
          <w:color w:val="auto"/>
        </w:rPr>
      </w:pPr>
      <w:r>
        <w:rPr>
          <w:rFonts w:ascii="Arial" w:cs="Arial" w:eastAsia="Arial" w:hAnsi="Arial"/>
          <w:sz w:val="17"/>
          <w:szCs w:val="17"/>
          <w:color w:val="auto"/>
        </w:rPr>
        <w:t>You may request a copy of these filings, at no cost, by writing or telephoning us at the following address or telephone number:</w:t>
      </w:r>
    </w:p>
    <w:p>
      <w:pPr>
        <w:spacing w:after="0" w:line="156"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7"/>
          <w:szCs w:val="17"/>
          <w:color w:val="auto"/>
        </w:rPr>
        <w:t>Disc Medicine, Inc.</w:t>
      </w:r>
    </w:p>
    <w:p>
      <w:pPr>
        <w:spacing w:after="0" w:line="3"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7"/>
          <w:szCs w:val="17"/>
          <w:color w:val="auto"/>
        </w:rPr>
        <w:t>321 Arsenal Street, Suite 101</w:t>
      </w:r>
    </w:p>
    <w:p>
      <w:pPr>
        <w:jc w:val="center"/>
        <w:ind w:right="-139"/>
        <w:spacing w:after="0" w:line="232" w:lineRule="auto"/>
        <w:rPr>
          <w:sz w:val="20"/>
          <w:szCs w:val="20"/>
          <w:color w:val="auto"/>
        </w:rPr>
      </w:pPr>
      <w:r>
        <w:rPr>
          <w:rFonts w:ascii="Arial" w:cs="Arial" w:eastAsia="Arial" w:hAnsi="Arial"/>
          <w:sz w:val="17"/>
          <w:szCs w:val="17"/>
          <w:color w:val="auto"/>
        </w:rPr>
        <w:t>Watertown, MA 02472</w:t>
      </w:r>
    </w:p>
    <w:p>
      <w:pPr>
        <w:jc w:val="center"/>
        <w:ind w:right="-139"/>
        <w:spacing w:after="0" w:line="232" w:lineRule="auto"/>
        <w:rPr>
          <w:sz w:val="20"/>
          <w:szCs w:val="20"/>
          <w:color w:val="auto"/>
        </w:rPr>
      </w:pPr>
      <w:r>
        <w:rPr>
          <w:rFonts w:ascii="Arial" w:cs="Arial" w:eastAsia="Arial" w:hAnsi="Arial"/>
          <w:sz w:val="17"/>
          <w:szCs w:val="17"/>
          <w:color w:val="auto"/>
        </w:rPr>
        <w:t>Attn: Investor Relations</w:t>
      </w:r>
    </w:p>
    <w:p>
      <w:pPr>
        <w:jc w:val="center"/>
        <w:ind w:right="-139"/>
        <w:spacing w:after="0"/>
        <w:rPr>
          <w:sz w:val="20"/>
          <w:szCs w:val="20"/>
          <w:color w:val="auto"/>
        </w:rPr>
      </w:pPr>
      <w:r>
        <w:rPr>
          <w:rFonts w:ascii="Arial" w:cs="Arial" w:eastAsia="Arial" w:hAnsi="Arial"/>
          <w:sz w:val="17"/>
          <w:szCs w:val="17"/>
          <w:color w:val="auto"/>
        </w:rPr>
        <w:t>(617) 674-9274</w:t>
      </w:r>
    </w:p>
    <w:p>
      <w:pPr>
        <w:spacing w:after="0" w:line="140" w:lineRule="exact"/>
        <w:rPr>
          <w:rFonts w:ascii="Arial" w:cs="Arial" w:eastAsia="Arial" w:hAnsi="Arial"/>
          <w:sz w:val="17"/>
          <w:szCs w:val="17"/>
          <w:color w:val="auto"/>
        </w:rPr>
      </w:pPr>
    </w:p>
    <w:p>
      <w:pPr>
        <w:ind w:left="120" w:right="320"/>
        <w:spacing w:after="0" w:line="244" w:lineRule="auto"/>
        <w:rPr>
          <w:sz w:val="20"/>
          <w:szCs w:val="20"/>
          <w:color w:val="auto"/>
        </w:rPr>
      </w:pPr>
      <w:r>
        <w:rPr>
          <w:rFonts w:ascii="Arial" w:cs="Arial" w:eastAsia="Arial" w:hAnsi="Arial"/>
          <w:sz w:val="17"/>
          <w:szCs w:val="17"/>
          <w:color w:val="auto"/>
        </w:rPr>
        <w:t xml:space="preserve">You may also access these documents,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or on our website at </w:t>
      </w:r>
      <w:r>
        <w:rPr>
          <w:rFonts w:ascii="Arial" w:cs="Arial" w:eastAsia="Arial" w:hAnsi="Arial"/>
          <w:sz w:val="17"/>
          <w:szCs w:val="17"/>
          <w:i w:val="1"/>
          <w:iCs w:val="1"/>
          <w:color w:val="auto"/>
        </w:rPr>
        <w:t>www.discmedicine.com</w:t>
      </w:r>
      <w:r>
        <w:rPr>
          <w:rFonts w:ascii="Arial" w:cs="Arial" w:eastAsia="Arial" w:hAnsi="Arial"/>
          <w:sz w:val="17"/>
          <w:szCs w:val="17"/>
          <w:color w:val="auto"/>
        </w:rPr>
        <w:t>. Information contained on our website is not incorporated by reference into this prospectus supplement or the accompanying base prospectus, and you should not consider any information on, or that can be accessed from, our website as part of this prospectus supplement or the accompanying base prospectus.</w:t>
      </w:r>
    </w:p>
    <w:p>
      <w:pPr>
        <w:spacing w:after="0" w:line="123" w:lineRule="exact"/>
        <w:rPr>
          <w:rFonts w:ascii="Arial" w:cs="Arial" w:eastAsia="Arial" w:hAnsi="Arial"/>
          <w:sz w:val="17"/>
          <w:szCs w:val="17"/>
          <w:color w:val="auto"/>
        </w:rPr>
      </w:pPr>
    </w:p>
    <w:p>
      <w:pPr>
        <w:ind w:left="120"/>
        <w:spacing w:after="0" w:line="249" w:lineRule="auto"/>
        <w:rPr>
          <w:sz w:val="20"/>
          <w:szCs w:val="20"/>
          <w:color w:val="auto"/>
        </w:rPr>
      </w:pPr>
      <w:r>
        <w:rPr>
          <w:rFonts w:ascii="Arial" w:cs="Arial" w:eastAsia="Arial" w:hAnsi="Arial"/>
          <w:sz w:val="17"/>
          <w:szCs w:val="17"/>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base prospectus.</w:t>
      </w:r>
    </w:p>
    <w:p>
      <w:pPr>
        <w:spacing w:after="0" w:line="115"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6"/>
          <w:szCs w:val="16"/>
          <w:color w:val="auto"/>
        </w:rPr>
        <w:t>S-18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S-19</w:t>
      </w:r>
    </w:p>
    <w:p>
      <w:pPr>
        <w:sectPr>
          <w:pgSz w:w="11900" w:h="16838" w:orient="portrait"/>
          <w:cols w:equalWidth="0" w:num="1">
            <w:col w:w="11060"/>
          </w:cols>
          <w:pgMar w:left="320" w:top="455"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173990</wp:posOffset>
            </wp:positionV>
            <wp:extent cx="3711575" cy="557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37115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$400,000,000</w:t>
      </w: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up to $400,000,000 in aggregate principal amount of our Common Stock, Preferred Stock, Debt Securities, Warrants or Units, in each case in one or more issuances and at prices and on terms that we will determine at the time of the offering.</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November 16, 2023, the closing price of our common stock, as reported on The Nasdaq Global Market, was $48.36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26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11 of this prospectus and under any similar heading in the documents that are incorporated by reference into this prospectus, as well as “</w:t>
      </w:r>
      <w:r>
        <w:rPr>
          <w:rFonts w:ascii="Times New Roman" w:cs="Times New Roman" w:eastAsia="Times New Roman" w:hAnsi="Times New Roman"/>
          <w:sz w:val="22"/>
          <w:szCs w:val="22"/>
          <w:b w:val="1"/>
          <w:bCs w:val="1"/>
          <w:i w:val="1"/>
          <w:iCs w:val="1"/>
          <w:color w:val="auto"/>
        </w:rPr>
        <w:t>Special Note Regarding Forward-Looking Statements</w:t>
      </w:r>
      <w:r>
        <w:rPr>
          <w:rFonts w:ascii="Times New Roman" w:cs="Times New Roman" w:eastAsia="Times New Roman" w:hAnsi="Times New Roman"/>
          <w:sz w:val="22"/>
          <w:szCs w:val="22"/>
          <w:b w:val="1"/>
          <w:bCs w:val="1"/>
          <w:color w:val="auto"/>
        </w:rPr>
        <w:t>” on page 4 of this prospectus. You should read the entire prospectus and any applicable prospectus supplement carefully before you make your investment decision.</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receive from any sale.</w:t>
      </w:r>
    </w:p>
    <w:p>
      <w:pPr>
        <w:spacing w:after="0" w:line="179"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29, 2023.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800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6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20" w:type="dxa"/>
            <w:vAlign w:val="bottom"/>
            <w:tcBorders>
              <w:top w:val="single" w:sz="8" w:color="0000EE"/>
            </w:tcBorders>
            <w:gridSpan w:val="5"/>
          </w:tcPr>
          <w:p>
            <w:pPr>
              <w:spacing w:after="0"/>
              <w:rPr>
                <w:sz w:val="17"/>
                <w:szCs w:val="17"/>
                <w:color w:val="auto"/>
              </w:rPr>
            </w:pPr>
          </w:p>
        </w:tc>
        <w:tc>
          <w:tcPr>
            <w:tcW w:w="55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420" w:type="dxa"/>
            <w:vAlign w:val="bottom"/>
            <w:gridSpan w:val="1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33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Securities and Exchange Commission, or the SEC, using a “shelf” registration process.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this process, we may sell the securities described in this prospectus in one or more offerings for an aggregate offering amount of up to</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$400,000,000.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in both this prospectus and the applicable prospectus supplement,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88"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4" w:lineRule="exact"/>
        <w:rPr>
          <w:sz w:val="20"/>
          <w:szCs w:val="20"/>
          <w:color w:val="auto"/>
        </w:rPr>
      </w:pPr>
    </w:p>
    <w:p>
      <w:pPr>
        <w:ind w:left="1080" w:right="3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Reports on Form 10-K for the fiscal years ended </w:t>
      </w:r>
      <w:hyperlink r:id="rId42">
        <w:r>
          <w:rPr>
            <w:rFonts w:ascii="Times New Roman" w:cs="Times New Roman" w:eastAsia="Times New Roman" w:hAnsi="Times New Roman"/>
            <w:sz w:val="18"/>
            <w:szCs w:val="18"/>
            <w:u w:val="single" w:color="auto"/>
            <w:color w:val="0000EE"/>
          </w:rPr>
          <w:t>December 31,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3">
        <w:r>
          <w:rPr>
            <w:rFonts w:ascii="Times New Roman" w:cs="Times New Roman" w:eastAsia="Times New Roman" w:hAnsi="Times New Roman"/>
            <w:sz w:val="18"/>
            <w:szCs w:val="18"/>
            <w:u w:val="single" w:color="auto"/>
            <w:color w:val="0000EE"/>
          </w:rPr>
          <w:t>December 31, 2022</w:t>
        </w:r>
      </w:hyperlink>
      <w:r>
        <w:rPr>
          <w:rFonts w:ascii="Times New Roman" w:cs="Times New Roman" w:eastAsia="Times New Roman" w:hAnsi="Times New Roman"/>
          <w:sz w:val="18"/>
          <w:szCs w:val="18"/>
          <w:color w:val="auto"/>
        </w:rPr>
        <w:t>, filed with the SEC on March 10, 2022 and March 31, 2023, respectively;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quarters ended September 30, 2022, March 31, 2023, June 30, 2023 and September 30, 2023, filed with the SEC on </w:t>
      </w:r>
      <w:hyperlink r:id="rId44">
        <w:r>
          <w:rPr>
            <w:rFonts w:ascii="Times New Roman" w:cs="Times New Roman" w:eastAsia="Times New Roman" w:hAnsi="Times New Roman"/>
            <w:sz w:val="18"/>
            <w:szCs w:val="18"/>
            <w:u w:val="single" w:color="auto"/>
            <w:color w:val="0000EE"/>
          </w:rPr>
          <w:t>November 10, 2022</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August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7">
        <w:r>
          <w:rPr>
            <w:rFonts w:ascii="Times New Roman" w:cs="Times New Roman" w:eastAsia="Times New Roman" w:hAnsi="Times New Roman"/>
            <w:sz w:val="18"/>
            <w:szCs w:val="18"/>
            <w:u w:val="single" w:color="auto"/>
            <w:color w:val="0000EE"/>
          </w:rPr>
          <w:t>November 9, 2023</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with the SEC on </w:t>
      </w:r>
      <w:hyperlink r:id="rId48">
        <w:r>
          <w:rPr>
            <w:rFonts w:ascii="Times New Roman" w:cs="Times New Roman" w:eastAsia="Times New Roman" w:hAnsi="Times New Roman"/>
            <w:sz w:val="18"/>
            <w:szCs w:val="18"/>
            <w:u w:val="single" w:color="auto"/>
            <w:color w:val="0000EE"/>
          </w:rPr>
          <w:t>December 29, 2022</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information furnished pursuant to Item 7.01), </w:t>
      </w:r>
      <w:hyperlink r:id="rId72">
        <w:r>
          <w:rPr>
            <w:rFonts w:ascii="Times New Roman" w:cs="Times New Roman" w:eastAsia="Times New Roman" w:hAnsi="Times New Roman"/>
            <w:sz w:val="18"/>
            <w:szCs w:val="18"/>
            <w:u w:val="single" w:color="auto"/>
            <w:color w:val="0000EE"/>
          </w:rPr>
          <w:t>January 25, 2023</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February 14,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information furnished pursuant to Item 7.01), </w:t>
      </w:r>
      <w:hyperlink r:id="rId50">
        <w:r>
          <w:rPr>
            <w:rFonts w:ascii="Times New Roman" w:cs="Times New Roman" w:eastAsia="Times New Roman" w:hAnsi="Times New Roman"/>
            <w:sz w:val="18"/>
            <w:szCs w:val="18"/>
            <w:u w:val="single" w:color="auto"/>
            <w:color w:val="0000EE"/>
          </w:rPr>
          <w:t>March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w:t>
      </w:r>
      <w:hyperlink r:id="rId53">
        <w:r>
          <w:rPr>
            <w:rFonts w:ascii="Times New Roman" w:cs="Times New Roman" w:eastAsia="Times New Roman" w:hAnsi="Times New Roman"/>
            <w:sz w:val="18"/>
            <w:szCs w:val="18"/>
            <w:color w:val="auto"/>
          </w:rPr>
          <w:t xml:space="preserve">information furnished pursuant to Item 2.02), </w:t>
        </w:r>
        <w:r>
          <w:rPr>
            <w:rFonts w:ascii="Times New Roman" w:cs="Times New Roman" w:eastAsia="Times New Roman" w:hAnsi="Times New Roman"/>
            <w:sz w:val="18"/>
            <w:szCs w:val="18"/>
            <w:u w:val="single" w:color="auto"/>
            <w:color w:val="0000EE"/>
          </w:rPr>
          <w:t>April 19,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9, 2023</w:t>
        </w:r>
        <w:r>
          <w:rPr>
            <w:rFonts w:ascii="Times New Roman" w:cs="Times New Roman" w:eastAsia="Times New Roman" w:hAnsi="Times New Roman"/>
            <w:sz w:val="18"/>
            <w:szCs w:val="18"/>
            <w:color w:val="auto"/>
          </w:rPr>
          <w:t xml:space="preserve"> (excluding information furnished pursuant to Item 7.01),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9, 2023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June 12, 2023</w:t>
        </w:r>
      </w:hyperlink>
      <w:hyperlink r:id="rId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June 16, 2023</w:t>
        </w:r>
      </w:hyperlink>
      <w:hyperlink r:id="rId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September 29, 2023</w:t>
        </w:r>
      </w:hyperlink>
      <w:hyperlink r:id="rId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October 10, 2023</w:t>
        </w:r>
      </w:hyperlink>
      <w:hyperlink r:id="rId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8">
        <w:r>
          <w:rPr>
            <w:rFonts w:ascii="Times New Roman" w:cs="Times New Roman" w:eastAsia="Times New Roman" w:hAnsi="Times New Roman"/>
            <w:sz w:val="18"/>
            <w:szCs w:val="18"/>
            <w:u w:val="single" w:color="auto"/>
            <w:color w:val="0000EE"/>
          </w:rPr>
          <w:t xml:space="preserve">October 23, 2023 </w:t>
        </w:r>
      </w:hyperlink>
      <w:hyperlink r:id="rId5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 xml:space="preserve">November 2, 2023 </w:t>
        </w:r>
      </w:hyperlink>
      <w:hyperlink r:id="rId53">
        <w:r>
          <w:rPr>
            <w:rFonts w:ascii="Times New Roman" w:cs="Times New Roman" w:eastAsia="Times New Roman" w:hAnsi="Times New Roman"/>
            <w:sz w:val="18"/>
            <w:szCs w:val="18"/>
            <w:color w:val="000000"/>
          </w:rPr>
          <w:t>(excluding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furnished pursuant to Item 7.01); and</w:t>
      </w:r>
    </w:p>
    <w:p>
      <w:pPr>
        <w:spacing w:after="0" w:line="88" w:lineRule="exact"/>
        <w:rPr>
          <w:rFonts w:ascii="Times New Roman" w:cs="Times New Roman" w:eastAsia="Times New Roman" w:hAnsi="Times New Roman"/>
          <w:sz w:val="18"/>
          <w:szCs w:val="18"/>
          <w:color w:val="0000EE"/>
        </w:rPr>
      </w:pPr>
    </w:p>
    <w:p>
      <w:pPr>
        <w:ind w:left="1080" w:right="40" w:hanging="424"/>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60">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61">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42">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62">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9"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rFonts w:ascii="Times New Roman" w:cs="Times New Roman" w:eastAsia="Times New Roman" w:hAnsi="Times New Roman"/>
          <w:sz w:val="18"/>
          <w:szCs w:val="18"/>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16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674-9274</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320" w:top="455" w:right="10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include, among other things:</w:t>
      </w:r>
    </w:p>
    <w:p>
      <w:pPr>
        <w:spacing w:after="0" w:line="97" w:lineRule="exact"/>
        <w:rPr>
          <w:sz w:val="20"/>
          <w:szCs w:val="20"/>
          <w:color w:val="auto"/>
        </w:rPr>
      </w:pPr>
    </w:p>
    <w:p>
      <w:pPr>
        <w:ind w:left="1080" w:right="1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9" w:lineRule="auto"/>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w:t>
      </w:r>
    </w:p>
    <w:p>
      <w:pPr>
        <w:spacing w:after="0" w:line="61"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 and Estimates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Disc Medicine, Inc., the Disc logo and our other registered or common law trademarks, trade names or service marks appearing in this prospectus are owned by us. This prospectus, any applicable prospectus supplement or any information incorporated herein or therein may contain references to our trademarks and to trademarks belonging to other entities. Solely for convenience, trademarks and trade names referred to in this 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 xml:space="preserve">including logos, artwork and other visual displays, generally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known as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120" w:right="40"/>
        <w:spacing w:after="0" w:line="244"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in EPP patients that is being conducted at sites in the United States. We presented positive initial data from BEACON in June of 2023 at the European Hematology Association 2023 Congress, and BEACON data from all patients will be presented in December 2023 at the 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American Society of Hematology Annual Meeting and Exposition, or ASH 2023, and we expect to present topline AURORA data in early 2024. We plan to request an end of Phase 2 meeting with the FDA in 2024. We entered into a collaborative research and development agreement with the National Institutes of Health, or NIH, to conduct an NIH-sponsored clinical trial of bitopertin in DBA. The FDA authorized the clinical trial to proceed and we announced on July 27, 2023 that the first patient was enrolled in this trial. We are planning additional trials of bitopertin in other indications.</w:t>
      </w:r>
    </w:p>
    <w:p>
      <w:pPr>
        <w:spacing w:after="0" w:line="19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MF and anemia, or MF Trial, and initiated a separate Phase 1b/2 clinical trial in February 2023 in patients with non-dialysis dependent CKD and anemia, or CKD Trial. We plan to present initial data from the MF Trial at ASH 2023, and initial data from the 28 mg dose cohort of the patients of the CKD Trial in a management call in December 2023.</w:t>
      </w:r>
    </w:p>
    <w:p>
      <w:pPr>
        <w:spacing w:after="0" w:line="18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addition, we are developing a preclinical anti-hemojuvelin, or HJV, monoclonal antibody, DISC-0998, which also targets hepcidin suppression and was in-licensed from AbbVie Deutschland GmbH &amp; Co. KG. DISC-0998</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is designed to increase serum iron levels and has an extended serum half-life as compared to DISC-0974. We believe this profile may be desirable in certain subsets of patients with anemia associated with inflammatory diseases.</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we initiated a Phase 1 clinical trial in healthy adult volunteers in October 2023. We were granted fast track designation by the FDA for DISC-3405 for the treatment of PV in September 2023. We expect to develop DISC-3405 for the treatment of PV and other hematologic disorders.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with Gemini</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18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of the merger (the “Effective Time”), each person who as of immediately prior to the Effective Time was a stockholder of record of Gemini or had the right to receive Gemini’s common stock received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(specifically, Gemini’s intellectual property assets, which the Company assumed in the merger) during the period that is one year after the closing of the merger, calculated in accordance with the CVR Agreement. In accordance with the CVR Agreement, the holders of the CVRs would receive proceeds from any disposition of the Gemini pre-merger assets, net of costs incurred by the Company in performance of its obligations under the CVR Agreement in excess of $250,000, paid in the form of common stock in the Company calculated based on the amount equal to such proceeds divided by the volume weighted average stock price of the Company for the five trading days prior to the issuance of the payment to the holders of the CVRs. In the event that Gemini’s pre-merger assets are disposed in the one-year period after the closing of the merger, and the Company receives net proceeds from such disposition over time following the initial disposition of such assets, any such proceeds would be similarly distributed to the holders of the CVRs for a period continuing through the tenth anniversary of the closing date of the merger.</w:t>
      </w:r>
    </w:p>
    <w:p>
      <w:pPr>
        <w:spacing w:after="0" w:line="18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To satisfy its obligations with respect to the CVRs and the Gemini IP, the Company hired an outside firm to attempt to sell the Gemini IP, which firm previously was unsuccessful in finding a buyer for the Gemini IP. However, in June 2023, the Company received an offer for the Gemini IP and recorded a $1.5 million liability representing the estimated fair value of the Company’s obligation to the holders of the CVRs based on the offer.</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a sale has not been consummated, no such proceeds have been received by the Company and no distributions have been made to the holders of the CVRs. In the event no net proceeds 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received from a disposition of the Gemini pre-merger assets in the one-year period following closing of the merger, the Company’s obligations under the CVR Agreement will expire and the CVRs will be valueless.</w:t>
      </w:r>
    </w:p>
    <w:p>
      <w:pPr>
        <w:spacing w:after="0" w:line="16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Other than pursuant to the CVR Agreement, the Company has no additional obligations or plans with respect to Gemini’s pre-merger assets. The Company has generated no revenue from Gemini’s pre-merger assets and has incurred approximately $1.0 million in aggregate costs (including maintenance of license agreements, storage, legal and other fees) as of September 30, 2023, to maintain Gemini’s pre-merger assets solely in order to fulfill the Company’s obligations under the CVR Agreement.</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To illustrate the number of shares of the Company’s common stock that might be distributed under the CVR Agreement, assuming that a CVR payment were to be made on November 17, 2023, assuming (i) proceeds to the Company of $1.5 million, representing the estimated fair value of the Company’s obligation to holders of the CVRs as of September 30, 2023, and (ii) based on the volume weighted average stock price of the Company for the five trading days prior to November 17, 2023 of $50.37, an aggregate of 29,780 shares of the Company’s common stock would have been issued to holders of CVRs in such case.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0"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203" w:lineRule="exact"/>
        <w:rPr>
          <w:sz w:val="20"/>
          <w:szCs w:val="20"/>
          <w:color w:val="auto"/>
        </w:rPr>
      </w:pPr>
    </w:p>
    <w:p>
      <w:pPr>
        <w:ind w:left="1080" w:right="40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52"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9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(i) our most recent Annual Report on Form 10-K, which is on file with the SEC and is incorporated herein by reference, (ii) our most recent Quarterly Reports on Form 10-Q, which are on file with the SEC and are incorporated herein by reference, and (iii) other documents we file with the SEC that are deemed incorporated by reference into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Current Report on Form 8-K filed on December 29, 2022, and incorporated herein by reference.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REPORTED (in thousands, except per share amounts):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left="65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40,362,303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15,115,129</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43,208,159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15,565,380</w:t>
            </w:r>
          </w:p>
        </w:tc>
        <w:tc>
          <w:tcPr>
            <w:tcW w:w="0" w:type="dxa"/>
            <w:vAlign w:val="bottom"/>
          </w:tcPr>
          <w:p>
            <w:pPr>
              <w:spacing w:after="0"/>
              <w:rPr>
                <w:sz w:val="1"/>
                <w:szCs w:val="1"/>
                <w:color w:val="auto"/>
              </w:rPr>
            </w:pPr>
          </w:p>
        </w:tc>
      </w:tr>
      <w:tr>
        <w:trPr>
          <w:trHeight w:val="321"/>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(15,231)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43,212,803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32,027,161</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43,227,159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43,002,144</w:t>
            </w:r>
          </w:p>
        </w:tc>
        <w:tc>
          <w:tcPr>
            <w:tcW w:w="0" w:type="dxa"/>
            <w:vAlign w:val="bottom"/>
          </w:tcPr>
          <w:p>
            <w:pPr>
              <w:spacing w:after="0"/>
              <w:rPr>
                <w:sz w:val="1"/>
                <w:szCs w:val="1"/>
                <w:color w:val="auto"/>
              </w:rPr>
            </w:pPr>
          </w:p>
        </w:tc>
      </w:tr>
      <w:tr>
        <w:trPr>
          <w:trHeight w:val="321"/>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(7,090)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43,230,523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43,041,856</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43,244,453</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43,055,112</w:t>
            </w:r>
          </w:p>
        </w:tc>
        <w:tc>
          <w:tcPr>
            <w:tcW w:w="0" w:type="dxa"/>
            <w:vAlign w:val="bottom"/>
          </w:tcPr>
          <w:p>
            <w:pPr>
              <w:spacing w:after="0"/>
              <w:rPr>
                <w:sz w:val="1"/>
                <w:szCs w:val="1"/>
                <w:color w:val="auto"/>
              </w:rPr>
            </w:pPr>
          </w:p>
        </w:tc>
      </w:tr>
      <w:tr>
        <w:trPr>
          <w:trHeight w:val="346"/>
        </w:trPr>
        <w:tc>
          <w:tcPr>
            <w:tcW w:w="51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600" w:type="dxa"/>
            <w:vAlign w:val="bottom"/>
          </w:tcPr>
          <w:p>
            <w:pPr>
              <w:jc w:val="center"/>
              <w:ind w:left="7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(22,321)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43,221,712</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37,564,936</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43,244,453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43,055,112</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43,264,616</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43,091,822</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43,112,742</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(54,046)</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43,236,171</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39,427,476</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43,112,742</w:t>
            </w:r>
          </w:p>
        </w:tc>
        <w:tc>
          <w:tcPr>
            <w:tcW w:w="0" w:type="dxa"/>
            <w:vAlign w:val="bottom"/>
          </w:tcPr>
          <w:p>
            <w:pPr>
              <w:spacing w:after="0"/>
              <w:rPr>
                <w:sz w:val="1"/>
                <w:szCs w:val="1"/>
                <w:color w:val="auto"/>
              </w:rPr>
            </w:pPr>
          </w:p>
        </w:tc>
      </w:tr>
    </w:tbl>
    <w:p>
      <w:pPr>
        <w:spacing w:after="0" w:line="216" w:lineRule="exact"/>
        <w:rPr>
          <w:sz w:val="20"/>
          <w:szCs w:val="20"/>
          <w:color w:val="auto"/>
        </w:rPr>
      </w:pPr>
    </w:p>
    <w:p>
      <w:pPr>
        <w:sectPr>
          <w:pgSz w:w="11900" w:h="16838" w:orient="portrait"/>
          <w:cols w:equalWidth="0" w:num="2">
            <w:col w:w="6380" w:space="720"/>
            <w:col w:w="3039"/>
          </w:cols>
          <w:pgMar w:left="320" w:top="455" w:right="1440" w:bottom="1440" w:gutter="0" w:footer="0" w:header="0"/>
        </w:sectPr>
      </w:pP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ADJUSTED FOR 1-FOR-10 REVERSE STOCK SPLIT (unaudited, in thousands, except per share amounts):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(71,869)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(40,837)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99"/>
              </w:rPr>
              <w:t>4,036,230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1,511,512</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4,320,815</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1,556,538</w:t>
            </w:r>
          </w:p>
        </w:tc>
        <w:tc>
          <w:tcPr>
            <w:tcW w:w="0" w:type="dxa"/>
            <w:vAlign w:val="bottom"/>
          </w:tcPr>
          <w:p>
            <w:pPr>
              <w:spacing w:after="0"/>
              <w:rPr>
                <w:sz w:val="1"/>
                <w:szCs w:val="1"/>
                <w:color w:val="auto"/>
              </w:rPr>
            </w:pPr>
          </w:p>
        </w:tc>
      </w:tr>
      <w:tr>
        <w:trPr>
          <w:trHeight w:val="321"/>
        </w:trPr>
        <w:tc>
          <w:tcPr>
            <w:tcW w:w="5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(15,231)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4,321,280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3,202,716</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4,322,715</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4,300,214</w:t>
            </w:r>
          </w:p>
        </w:tc>
        <w:tc>
          <w:tcPr>
            <w:tcW w:w="0" w:type="dxa"/>
            <w:vAlign w:val="bottom"/>
          </w:tcPr>
          <w:p>
            <w:pPr>
              <w:spacing w:after="0"/>
              <w:rPr>
                <w:sz w:val="1"/>
                <w:szCs w:val="1"/>
                <w:color w:val="auto"/>
              </w:rPr>
            </w:pPr>
          </w:p>
        </w:tc>
      </w:tr>
      <w:tr>
        <w:trPr>
          <w:trHeight w:val="346"/>
        </w:trPr>
        <w:tc>
          <w:tcPr>
            <w:tcW w:w="52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50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48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80" w:type="dxa"/>
            <w:vAlign w:val="bottom"/>
          </w:tcPr>
          <w:p>
            <w:pPr>
              <w:jc w:val="center"/>
              <w:ind w:left="6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4,323,052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4,304,185</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4,324,445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4,305,511</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48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80" w:type="dxa"/>
            <w:vAlign w:val="bottom"/>
          </w:tcPr>
          <w:p>
            <w:pPr>
              <w:jc w:val="center"/>
              <w:ind w:left="6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(22,321)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4,322,171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3,756,493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4,324,445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4,305,511</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58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80" w:type="dxa"/>
            <w:vAlign w:val="bottom"/>
          </w:tcPr>
          <w:p>
            <w:pPr>
              <w:jc w:val="center"/>
              <w:ind w:left="6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4,326,461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4,309,182</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4,329,945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4,311,274</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58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80" w:type="dxa"/>
            <w:vAlign w:val="bottom"/>
          </w:tcPr>
          <w:p>
            <w:pPr>
              <w:jc w:val="center"/>
              <w:ind w:left="659"/>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(54,046)</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4,323,617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3,942,747</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9"/>
              </w:rPr>
              <w:t>4,329,945</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4,311,274</w:t>
            </w:r>
          </w:p>
        </w:tc>
        <w:tc>
          <w:tcPr>
            <w:tcW w:w="0" w:type="dxa"/>
            <w:vAlign w:val="bottom"/>
          </w:tcPr>
          <w:p>
            <w:pPr>
              <w:spacing w:after="0"/>
              <w:rPr>
                <w:sz w:val="1"/>
                <w:szCs w:val="1"/>
                <w:color w:val="auto"/>
              </w:rPr>
            </w:pPr>
          </w:p>
        </w:tc>
      </w:tr>
    </w:tbl>
    <w:p>
      <w:pPr>
        <w:sectPr>
          <w:pgSz w:w="11900" w:h="16838" w:orient="portrait"/>
          <w:cols w:equalWidth="0" w:num="2">
            <w:col w:w="6600" w:space="720"/>
            <w:col w:w="2819"/>
          </w:cols>
          <w:pgMar w:left="320" w:top="45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60"/>
          </w:cols>
          <w:pgMar w:left="320" w:top="455" w:right="8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dividends or other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10,000,000 shares of preferred stock, par value $0.0001 per share, all of which preferred stock is undesignated. As of September 30, 2023, we had estimated 24,139,078 shares of our common stock outstanding and no shares of preferred stock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jc w:val="both"/>
        <w:ind w:left="120" w:right="40"/>
        <w:spacing w:after="0" w:line="312" w:lineRule="auto"/>
        <w:rPr>
          <w:sz w:val="20"/>
          <w:szCs w:val="20"/>
          <w:color w:val="auto"/>
        </w:rPr>
      </w:pPr>
      <w:r>
        <w:rPr>
          <w:rFonts w:ascii="Times New Roman" w:cs="Times New Roman" w:eastAsia="Times New Roman" w:hAnsi="Times New Roman"/>
          <w:sz w:val="17"/>
          <w:szCs w:val="17"/>
          <w:color w:val="auto"/>
        </w:rPr>
        <w:t>Our common stock is listed on The Nasdaq Global Market under the symbol “IRON.” On November 16, 2023, the closing price for our common stock, as reported on The Nasdaq Global Market, was $48.36 per share. As of September 30, 2023, we had estimated approximately 36 stockholders of record.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LLC. The transfer agent and registrar’s address is 51 Mercedes Way, Edgewood, NY 11717.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Series of 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be subject to any preemptive or similar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holders of approximately 7.5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Registration Rights Agreement</w:t>
      </w:r>
    </w:p>
    <w:p>
      <w:pPr>
        <w:spacing w:after="0" w:line="121"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2022 Registration Rights Agreement provides for the following registration rights:</w:t>
      </w:r>
    </w:p>
    <w:p>
      <w:pPr>
        <w:spacing w:after="0" w:line="129" w:lineRule="exact"/>
        <w:rPr>
          <w:sz w:val="20"/>
          <w:szCs w:val="20"/>
          <w:color w:val="auto"/>
        </w:rPr>
      </w:pPr>
    </w:p>
    <w:p>
      <w:pPr>
        <w:ind w:left="1080" w:hanging="424"/>
        <w:spacing w:after="0" w:line="26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No later than 45 calendar days following the completion of the merger as contemplated by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were required to file with the SEC, a shelf registration statement registering the resale of the Registrable Securities, and use our commercially reasonable efforts to have such registration statement declared effective by the SEC as promptly as possible.</w:t>
      </w:r>
    </w:p>
    <w:p>
      <w:pPr>
        <w:spacing w:after="0" w:line="78"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2022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Registration Rights Agreement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2021 Registration Rights Agreement provides for the following registration rights:</w:t>
      </w:r>
    </w:p>
    <w:p>
      <w:pPr>
        <w:spacing w:after="0" w:line="129" w:lineRule="exact"/>
        <w:rPr>
          <w:sz w:val="20"/>
          <w:szCs w:val="20"/>
          <w:color w:val="auto"/>
        </w:rPr>
      </w:pPr>
    </w:p>
    <w:p>
      <w:pPr>
        <w:ind w:left="1080" w:hanging="424"/>
        <w:spacing w:after="0" w:line="258"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We are required, upon the written request of either (i) FSDC Investors holding a majority of the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A shelf registration statement pursuant to Rule 415 of Securities Act, was filed on February 17, 2021 and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7"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We shall not be obligated to effect: (a) more than one (1)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8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we propose to file a registration statement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us and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8"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ours shall cease to be registrable securities upon the earlier of (i) tenth anniversary of February 5,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Corporation as of immediately prior to the consummation of the business combination, the date when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80"/>
        <w:spacing w:after="0" w:line="282" w:lineRule="auto"/>
        <w:rPr>
          <w:sz w:val="20"/>
          <w:szCs w:val="20"/>
          <w:color w:val="auto"/>
        </w:rPr>
      </w:pPr>
      <w:r>
        <w:rPr>
          <w:rFonts w:ascii="Times New Roman" w:cs="Times New Roman" w:eastAsia="Times New Roman" w:hAnsi="Times New Roman"/>
          <w:sz w:val="18"/>
          <w:szCs w:val="18"/>
          <w:color w:val="auto"/>
        </w:rPr>
        <w:t>such Investor is permitted to sell the Registrable Securities under Rule 144 (or any similar provision) under the Securities Act without limitation on the amount of securities sold or the manner of 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Delaware Law</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not governed by Section 203 of the Delaware General Corporation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allow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96"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 or bylaws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or free writing prospectus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depository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or special United States federal income tax considerations applicable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will describe in each applicable prospectus supplement or free writing prospectus any additional events of default relating to the relevant series of debt securities.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unpaid principal, premium, if any, and accrued interest, if any, of each issue of debt securities then outstanding shall be due and payable without any notice or other action on the part of the trustee or any holder.</w:t>
      </w:r>
    </w:p>
    <w:p>
      <w:pPr>
        <w:spacing w:after="0" w:line="162"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3"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w:t>
      </w:r>
    </w:p>
    <w:p>
      <w:pPr>
        <w:spacing w:after="0" w:line="27" w:lineRule="exact"/>
        <w:rPr>
          <w:rFonts w:ascii="Times New Roman" w:cs="Times New Roman" w:eastAsia="Times New Roman" w:hAnsi="Times New Roman"/>
          <w:sz w:val="18"/>
          <w:szCs w:val="18"/>
          <w:color w:val="auto"/>
        </w:rPr>
      </w:pPr>
    </w:p>
    <w:p>
      <w:pPr>
        <w:ind w:left="10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and to make all appropriate changes for such purpose;</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8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85" w:lineRule="exact"/>
        <w:rPr>
          <w:sz w:val="20"/>
          <w:szCs w:val="20"/>
          <w:color w:val="auto"/>
        </w:rPr>
      </w:pPr>
    </w:p>
    <w:p>
      <w:pPr>
        <w:jc w:val="both"/>
        <w:ind w:left="1080" w:right="2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Description of Warrants</w:t>
      </w:r>
      <w:r>
        <w:rPr>
          <w:rFonts w:ascii="Times New Roman" w:cs="Times New Roman" w:eastAsia="Times New Roman" w:hAnsi="Times New Roman"/>
          <w:sz w:val="17"/>
          <w:szCs w:val="17"/>
          <w:color w:val="auto"/>
        </w:rPr>
        <w:t>” will apply to the securities included in each unit, to the extent relevant and as may be updated in any prospectus supplements.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312" w:lineRule="auto"/>
        <w:tabs>
          <w:tab w:leader="none" w:pos="10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88"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overallot in connection with the offering, creating a short position in the securities for their account. In addition, to cover overallotments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0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appearing in Disc Medicine, Inc.’s Annual Report (Form 10-K) for the years ended December 31, 2022 and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Gemini Therapeutics, Inc. appearing in Gemini Therapeutics, Inc.’s Annual Report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1106805</wp:posOffset>
            </wp:positionV>
            <wp:extent cx="3737610" cy="6000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3737610" cy="60007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340"/>
        <w:spacing w:after="0"/>
        <w:rPr>
          <w:sz w:val="20"/>
          <w:szCs w:val="20"/>
          <w:color w:val="auto"/>
        </w:rPr>
      </w:pPr>
      <w:r>
        <w:rPr>
          <w:rFonts w:ascii="Arial" w:cs="Arial" w:eastAsia="Arial" w:hAnsi="Arial"/>
          <w:sz w:val="29"/>
          <w:szCs w:val="29"/>
          <w:b w:val="1"/>
          <w:bCs w:val="1"/>
          <w:color w:val="auto"/>
        </w:rPr>
        <w:t>Up to $192,832,832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873125</wp:posOffset>
            </wp:positionV>
            <wp:extent cx="22459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40"/>
        <w:spacing w:after="0"/>
        <w:rPr>
          <w:sz w:val="20"/>
          <w:szCs w:val="20"/>
          <w:color w:val="auto"/>
        </w:rPr>
      </w:pPr>
      <w:r>
        <w:rPr>
          <w:rFonts w:ascii="Arial" w:cs="Arial" w:eastAsia="Arial" w:hAnsi="Arial"/>
          <w:sz w:val="19"/>
          <w:szCs w:val="1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159385</wp:posOffset>
            </wp:positionV>
            <wp:extent cx="22459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4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December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343535</wp:posOffset>
            </wp:positionV>
            <wp:extent cx="6995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403225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617"/>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lvl w:ilvl="1">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jpe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jpe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42" Type="http://schemas.openxmlformats.org/officeDocument/2006/relationships/hyperlink" Target="http://www.sec.gov/ix?doc=/Archives/edgar/data/1816736/000095017022003288/gmtx-20211231.htm" TargetMode="External"/><Relationship Id="rId43" Type="http://schemas.openxmlformats.org/officeDocument/2006/relationships/hyperlink" Target="http://www.sec.gov/ix?doc=/Archives/edgar/data/1816736/000095017023011139/iron-20221231.htm" TargetMode="External"/><Relationship Id="rId44" Type="http://schemas.openxmlformats.org/officeDocument/2006/relationships/hyperlink" Target="http://www.sec.gov/ix?doc=/Archives/edgar/data/1816736/000095017022024195/gmtx-20220930.htm" TargetMode="External"/><Relationship Id="rId45" Type="http://schemas.openxmlformats.org/officeDocument/2006/relationships/hyperlink" Target="http://www.sec.gov/ix?doc=/Archives/edgar/data/1816736/000095017023021963/iron-20230331.htm" TargetMode="External"/><Relationship Id="rId46" Type="http://schemas.openxmlformats.org/officeDocument/2006/relationships/hyperlink" Target="http://www.sec.gov/ix?doc=/Archives/edgar/data/1816736/000095017023041594/iron-20230630.htm" TargetMode="External"/><Relationship Id="rId47" Type="http://schemas.openxmlformats.org/officeDocument/2006/relationships/hyperlink" Target="http://www.sec.gov/ix?doc=/Archives/edgar/data/1816736/000095017023061572/iron-20230930.htm" TargetMode="External"/><Relationship Id="rId48" Type="http://schemas.openxmlformats.org/officeDocument/2006/relationships/hyperlink" Target="http://www.sec.gov/ix?doc=/Archives/edgar/data/1816736/000114036122047453/brhc10045896_8k.htm" TargetMode="External"/><Relationship Id="rId49" Type="http://schemas.openxmlformats.org/officeDocument/2006/relationships/hyperlink" Target="http://www.sec.gov/ix?doc=/Archives/edgar/data/1816736/000119312523012530/d447304d8k.htm" TargetMode="External"/><Relationship Id="rId50" Type="http://schemas.openxmlformats.org/officeDocument/2006/relationships/hyperlink" Target="http://www.sec.gov/ix?doc=/Archives/edgar/data/1816736/000119312523086710/d463005d8k.htm" TargetMode="External"/><Relationship Id="rId51" Type="http://schemas.openxmlformats.org/officeDocument/2006/relationships/hyperlink" Target="http://www.sec.gov/ix?doc=/Archives/edgar/data/1816736/000119312523106433/d488839d8k.htm" TargetMode="External"/><Relationship Id="rId52" Type="http://schemas.openxmlformats.org/officeDocument/2006/relationships/hyperlink" Target="http://www.sec.gov/ix?doc=/Archives/edgar/data/1816736/000119312523164010/d350054d8k.htm" TargetMode="External"/><Relationship Id="rId53" Type="http://schemas.openxmlformats.org/officeDocument/2006/relationships/hyperlink" Target="http://www.sec.gov/ix?doc=/Archives/edgar/data/1816736/000119312523164532/d477797d8k.htm" TargetMode="External"/><Relationship Id="rId54" Type="http://schemas.openxmlformats.org/officeDocument/2006/relationships/hyperlink" Target="http://www.sec.gov/ix?doc=/Archives/edgar/data/1816736/000119312523165366/d431921d8k.htm" TargetMode="External"/><Relationship Id="rId55" Type="http://schemas.openxmlformats.org/officeDocument/2006/relationships/hyperlink" Target="http://www.sec.gov/ix?doc=/Archives/edgar/data/1816736/000119312523168460/d481795d8k.htm" TargetMode="External"/><Relationship Id="rId56" Type="http://schemas.openxmlformats.org/officeDocument/2006/relationships/hyperlink" Target="http://www.sec.gov/ix?doc=/Archives/edgar/data/1816736/000119312523247379/d856602d8k.htm" TargetMode="External"/><Relationship Id="rId57" Type="http://schemas.openxmlformats.org/officeDocument/2006/relationships/hyperlink" Target="http://www.sec.gov/ix?doc=/Archives/edgar/data/1816736/000119312523253519/d555586d8k.htm" TargetMode="External"/><Relationship Id="rId58" Type="http://schemas.openxmlformats.org/officeDocument/2006/relationships/hyperlink" Target="http://www.sec.gov/ix?doc=/Archives/edgar/data/1816736/000119312523260418/d561595d8k.htm" TargetMode="External"/><Relationship Id="rId59" Type="http://schemas.openxmlformats.org/officeDocument/2006/relationships/hyperlink" Target="http://www.sec.gov/ix?doc=/Archives/edgar/data/1816736/000119312523268935/d569217d8k.htm" TargetMode="External"/><Relationship Id="rId60" Type="http://schemas.openxmlformats.org/officeDocument/2006/relationships/hyperlink" Target="http://www.sec.gov/Archives/edgar/data/1816736/000121390020021145/ea125295-8a12b_fsdevelop.htm" TargetMode="External"/><Relationship Id="rId61" Type="http://schemas.openxmlformats.org/officeDocument/2006/relationships/hyperlink" Target="http://www.sec.gov/Archives/edgar/data/1816736/000095017022003288/gmtx-ex4_4.htm" TargetMode="External"/><Relationship Id="rId62" Type="http://schemas.openxmlformats.org/officeDocument/2006/relationships/hyperlink" Target="http://www.sec.gov/Archives/edgar/data/1816736/000114036122043943/ny20005172x8_s4a.htm" TargetMode="External"/><Relationship Id="rId72" Type="http://schemas.openxmlformats.org/officeDocument/2006/relationships/hyperlink" Target="http://www.sec.gov/ix?doc=/Archives/edgar/data/1816736/000119312523015225/d456405d8k.htm" TargetMode="External"/><Relationship Id="rId73" Type="http://schemas.openxmlformats.org/officeDocument/2006/relationships/hyperlink" Target="http://www.sec.gov/ix?doc=/Archives/edgar/data/1816736/000119312523037151/d289637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2023-12-05T15:54:23Z</dcterms:created>
  <dcterms:modified xsi:type="dcterms:W3CDTF">2023-12-05T15:54:23Z</dcterms:modified>
</cp:coreProperties>
</file>