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0001055951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321 Arsenal Street, Suite 101</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OrbiMed Private Investments VI, LP</w:t>
      </w:r>
    </w:p>
    <w:p>
      <w:pPr>
        <w:spacing w:after="0" w:line="56"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Themis Trading LLC</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10 Townsquare</w:t>
      </w:r>
    </w:p>
    <w:p>
      <w:pPr>
        <w:ind w:left="2500"/>
        <w:spacing w:after="0"/>
        <w:rPr>
          <w:sz w:val="20"/>
          <w:szCs w:val="20"/>
          <w:color w:val="auto"/>
        </w:rPr>
      </w:pPr>
      <w:r>
        <w:rPr>
          <w:rFonts w:ascii="Times New Roman" w:cs="Times New Roman" w:eastAsia="Times New Roman" w:hAnsi="Times New Roman"/>
          <w:sz w:val="22"/>
          <w:szCs w:val="22"/>
          <w:color w:val="auto"/>
        </w:rPr>
        <w:t>Chatham  NJ  07928</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116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w w:val="96"/>
              </w:rPr>
              <w:t>315000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19227600.00</w:t>
            </w:r>
          </w:p>
        </w:tc>
        <w:tc>
          <w:tcPr>
            <w:tcW w:w="13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24140428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12/12/2023</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1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16"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39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 02/05/2021 Business</w:t>
            </w:r>
          </w:p>
        </w:tc>
        <w:tc>
          <w:tcPr>
            <w:tcW w:w="2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315000</w:t>
            </w:r>
          </w:p>
        </w:tc>
        <w:tc>
          <w:tcPr>
            <w:tcW w:w="18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02/05/2021 Cash</w:t>
            </w:r>
          </w:p>
        </w:tc>
      </w:tr>
      <w:tr>
        <w:trPr>
          <w:trHeight w:val="282"/>
        </w:trPr>
        <w:tc>
          <w:tcPr>
            <w:tcW w:w="39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Combination</w:t>
            </w:r>
          </w:p>
        </w:tc>
        <w:tc>
          <w:tcPr>
            <w:tcW w:w="20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92" w:lineRule="exact"/>
        <w:rPr>
          <w:sz w:val="20"/>
          <w:szCs w:val="20"/>
          <w:color w:val="auto"/>
        </w:rPr>
      </w:pPr>
    </w:p>
    <w:p>
      <w:pPr>
        <w:ind w:left="960" w:right="220" w:hanging="919"/>
        <w:spacing w:after="0" w:line="189" w:lineRule="auto"/>
        <w:tabs>
          <w:tab w:leader="none" w:pos="940" w:val="left"/>
        </w:tabs>
        <w:rPr>
          <w:sz w:val="20"/>
          <w:szCs w:val="20"/>
          <w:color w:val="auto"/>
        </w:rPr>
      </w:pPr>
      <w:r>
        <w:rPr>
          <w:rFonts w:ascii="Times New Roman" w:cs="Times New Roman" w:eastAsia="Times New Roman" w:hAnsi="Times New Roman"/>
          <w:sz w:val="38"/>
          <w:szCs w:val="38"/>
          <w:color w:val="auto"/>
          <w:vertAlign w:val="subscript"/>
        </w:rPr>
        <w:t>Remarks</w:t>
      </w:r>
      <w:r>
        <w:rPr>
          <w:sz w:val="20"/>
          <w:szCs w:val="20"/>
          <w:color w:val="auto"/>
        </w:rPr>
        <w:tab/>
      </w:r>
      <w:r>
        <w:rPr>
          <w:rFonts w:ascii="Times New Roman" w:cs="Times New Roman" w:eastAsia="Times New Roman" w:hAnsi="Times New Roman"/>
          <w:sz w:val="20"/>
          <w:szCs w:val="20"/>
          <w:color w:val="auto"/>
        </w:rPr>
        <w:t>OrbiMed Capital GP VI LLC is the general partner of OrbiMed Private Investments VI, LP. OrbiMed Advisors LLC is the managing member of OrbiMed Capital GP VI LLC.</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12/12/2023</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ind w:left="960" w:right="380" w:hanging="904"/>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Douglas Coon, Chief Compliance Officer, OrbiMed Advisors LLC, managing member of the general partner of OrbiMed Private Investments VI, LP</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2023-12-12T16:56:03Z</dcterms:created>
  <dcterms:modified xsi:type="dcterms:W3CDTF">2023-12-12T16:56:03Z</dcterms:modified>
</cp:coreProperties>
</file>