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Georges Gemayel,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 /DE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297 Boston Post Road #248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Wayland, MA 01778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Gemini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333-267276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Gemayel: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information you</w:t>
            </w:r>
          </w:p>
        </w:tc>
        <w:tc>
          <w:tcPr>
            <w:tcW w:w="5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these comments,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</w:t>
            </w:r>
          </w:p>
        </w:tc>
        <w:tc>
          <w:tcPr>
            <w:tcW w:w="51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Form S-4 filed September 2,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jc w:val="right"/>
              <w:ind w:right="1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3120" w:type="dxa"/>
            <w:vAlign w:val="bottom"/>
          </w:tcPr>
          <w:p>
            <w:pPr>
              <w:jc w:val="right"/>
              <w:ind w:right="2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the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192 that Disc stockholders, including Disc executive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officers, directors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significant shareholders, who cumulatively own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90%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Disc stock, have entered into support agreements with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 and Gemini,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agreed, following the effectiveness of the registration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statement, to execute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written consent to adopt the Merger Agreement and approve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and related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transactions. "Therefore, holders of a sufficient number of shares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 capital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adopt the Merger Agreement and approve the merger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transactions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contractually obligated to adopt the Merger Agreement [and] are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[approve]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 Agreement via written consent." It appears that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subject to the</w:t>
      </w:r>
    </w:p>
    <w:p>
      <w:pPr>
        <w:ind w:left="120" w:right="3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 agreements/written consents are not appropriate to be Georges Gemayel, Ph.D.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 /DE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this Form S-4. Please provide us your analysis. Refer to Securities Act Forms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 (C&amp;DI) 225.10 and Securities Act Sections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C&amp;DI 139.29.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cover page and summary on page 13 to disclose the estimated 1.1052 exchange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ratio disclosed on page 178. Revise both locations to disclose the treatment of Disc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preferred stockholders.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to disclose the per share purchase price paid by the investors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Disc pre-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financing. We note that investors in the Disc pre-closing financing will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 restricted Disc shares in a private placement issued immediately before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closing. Revise to clarify the treatment of these shares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Companies, page 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Gemini summary to address the 2021 business combination and to clarify its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status.</w:t>
      </w:r>
    </w:p>
    <w:p>
      <w:pPr>
        <w:ind w:right="297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in the Disc summary on on page 9 that "Bitopertin was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previously evaluated by Roche in a comprehensive clinical program in over 4,000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individuals in other indications which demonstrated the activity of bitopertin as a GlyT1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inhibitor and effects on heme biosynthesis" and on page 10 that "Disc submitted an IND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DISC-0974 in June 2021 and participants completed a Phase 1 clinical trial in healthy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volunteers in the U.S. in June 2022 with preliminary results showing an acceptable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tolerability profile, as well as evidence of target engagement and iron mobilization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erythropoiesis." As safety and efficacy determinations are solely within the FDA's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and they continue to be evaluated throughout all phases of clinical trials, please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these and similar references throughout the prospectus. In the Business section,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present objective data resulting from your trials without including conclusions</w:t>
      </w:r>
    </w:p>
    <w:p>
      <w:pPr>
        <w:ind w:right="601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related to safety or efficacy. Risks Related to the Merger, page 17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first bullet point to clarify, if true, that the exchange ratio calculation will not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based on the market price of Gemini common stock because it is unrelated to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price of Gemini common stock.</w:t>
      </w:r>
    </w:p>
    <w:p>
      <w:pPr>
        <w:ind w:right="21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Gemini's by-laws provide that the Court of Chancery of the State of Delaware and the federal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district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FirstNamecourts of . . . Massachusetts.</w:t>
      </w:r>
    </w:p>
    <w:p>
      <w:pPr>
        <w:ind w:left="1280"/>
        <w:spacing w:after="0" w:line="238" w:lineRule="auto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LastNameGeorges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. ., page</w:t>
      </w:r>
    </w:p>
    <w:p>
      <w:pPr>
        <w:ind w:left="3480"/>
        <w:spacing w:after="0"/>
        <w:tabs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Gemayel,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73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NameGemini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</w:t>
            </w:r>
          </w:p>
        </w:tc>
        <w:tc>
          <w:tcPr>
            <w:tcW w:w="5960" w:type="dxa"/>
            <w:vAlign w:val="bottom"/>
            <w:gridSpan w:val="2"/>
          </w:tcPr>
          <w:p>
            <w:pPr>
              <w:ind w:left="7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Therapeutics,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ind w:left="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this risk</w:t>
            </w:r>
          </w:p>
        </w:tc>
        <w:tc>
          <w:tcPr>
            <w:tcW w:w="484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Inc. /DEthe risk that the exclusive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forum provisions may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factor to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30,in2022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jc w:val="right"/>
              <w:ind w:right="5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increased</w:t>
            </w: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costs</w:t>
            </w:r>
          </w:p>
        </w:tc>
        <w:tc>
          <w:tcPr>
            <w:tcW w:w="4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investors to bring a claim.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</w:t>
            </w:r>
          </w:p>
        </w:tc>
        <w:tc>
          <w:tcPr>
            <w:tcW w:w="48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8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Georges Gemayel, Ph.D.</w:t>
            </w: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LastNameGeorges</w:t>
            </w: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Gemini Therapeutics, Inc. /DEGemayel, Ph.D.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30,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September NameGemini</w:t>
            </w:r>
          </w:p>
        </w:tc>
        <w:tc>
          <w:tcPr>
            <w:tcW w:w="59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Therapeutics, Inc. /DE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5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Page 3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jc w:val="right"/>
              <w:ind w:right="5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30, 2022 Page 3</w:t>
            </w: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Merger, page 136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copies of the materials that your financial advisor prepared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with your board in connection with this transaction, including any board books,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transcripts and summaries of oral presentations made to the board, that were material to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board's decision to approve the merger agreement and the transactions contemplated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thereby.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background to provide additional information regarding the negotiations 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elimination of other potential business combination candidates. In doing so, please revise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bottom of page 136 to further clarify the proposed criteria the board determined it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use to evaluate potential indications of interest. On page 137, clarify why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committee prioritized the indications of interest from Disc, Party A and Party B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among the 11 companies who held management presentations, and on what criteria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why discussions were terminated with 7 companies after the March 7, 2022 meeting.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Finally, please clarify how each of the alternative entities was finally eliminated as a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merger partner.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Generally revise the background section to provide further information regarding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 of the exchange ratio. In particular, on page 145, please revise the first full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to provide additional information regarding how the parties determined the</w:t>
      </w:r>
    </w:p>
    <w:p>
      <w:pPr>
        <w:ind w:right="42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 of net cash and the exchange ratio. Gemini's Reasons for the Merger, page 145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what the Gemini Board considered about "the regulatory pathway for,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opportunity of, Disc's product candidates" and what the Board considered to be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Disc's "upcoming value inflection points."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Gemini's reasons for the merger to clarify what consideration the Board and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Committee gave to the fact that the Financial Projections project income for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extended period through 2041, where Disc has yet to commercialize a product, and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advisor opinion and other factors on which the board and special committee</w:t>
      </w:r>
    </w:p>
    <w:p>
      <w:pPr>
        <w:ind w:right="31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their decision, utilize those extended projections. Opinion of Gemini's Financial Advisor, page 149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whether the financial advisor considered the 1.1052 estimated exchange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ratio disclosed on page 173, or some other exchange ratio in conducting its analyses.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basis for SVB Securities relying on a discounted cash flow analysis utilizing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projected cash flow through 2041, in light of the development stage of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Disc's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and who determined the projected range.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 additional information regarding how SVB selected the comparable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and whether it excluded any comparable companies that fit those criteria.</w:t>
      </w:r>
    </w:p>
    <w:p>
      <w:pPr>
        <w:ind w:right="749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Georges Gemayel, Ph.D. FirstName LastNameGeorges</w:t>
      </w:r>
    </w:p>
    <w:p>
      <w:pPr>
        <w:ind w:right="559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 /DEGemayel, Ph.D. Comapany 30,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NameGemini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 /DE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30, 2022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Unaudited Financial Projections, page 155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disclosures to provide additional information surrounding the material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assumptions and estimates underlying the financial projections on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provide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with sufficient information to evaluate the projected financial information. For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example: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how the preliminary internal financial projections provided by Disc</w:t>
      </w:r>
    </w:p>
    <w:p>
      <w:pPr>
        <w:ind w:right="23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adjusted by the management of Gemini as indicated in the first paragraph.</w:t>
      </w:r>
    </w:p>
    <w:p>
      <w:pPr>
        <w:ind w:right="26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whether the Board and Management considered these projections reasonable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considering the clinical stage operations of Disc and the extended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of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market and geographical regions for the revenue projections and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market growth rates and projected market rate penetrations to help provide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insight into the range in these rates underlying the revenue projections.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the market rate growth and market rate penetrations were determined.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material assumptions related to acquisitions and product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development.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any specific assumptions related to regulatory approvals.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whether, and if so, how, the passage of time was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in relation to the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nineteen-year projection period.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Treatment of the Merger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U.S. Federal Income Tax Consequences of the Merger, page 168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the disclosure on page 166 regarding "if" the merger qualifies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reorganization, "U.S. holders generally . . . will not recognize gain or loss" and that you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discussed "certain material U.S. federal income tax consequences of the merger that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applicable to U.S holders." We also note from page 168 that you "intend"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to qualify as a tax-free reorganization within the meaning of Section 368(a)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Code, but that "no opinion of counsel has been obtained or will be obtained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treatment of the merger as a tax-free reorganization." As the tax-free nature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is material to investors, revise to provide counsel's opinion. Refer to Item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601(b)(8) of Regulation S-K. To the extent the opinion is subject to uncertainty, counsel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provide a "should' or "more likely than not" opinion and explain why a "will" opinion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cannot be given and describe the degree of uncertainty. For guidance, please refer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Sections III.B.2 and III.C.4 of Staff Legal Bulletin No. 19. Please similarly revise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the Material U.S. Federal Tax Consequences of the CVRs to Holders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Common Stock" on page 198, and the Material U.S. Federal Tax Consequences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Reverse Stock Split on page 228. Finally, please revise the related disclosures in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 and elsewhere in the prospectus accordingly.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to Completion of the Merger, page 186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that you have identified all material conditions to the merger.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identify the closing conditions that are subject to waiver here and in the</w:t>
      </w:r>
    </w:p>
    <w:p>
      <w:pPr>
        <w:ind w:right="707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Georges Gemayel, Ph.D. Gemini Therapeutics, Inc. /DE September 30,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ind w:right="59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risk factor on page 24. Disc's Pipeline, page 257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product pipeline table as follows: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include a column for Phase 3 trials that is equally prominent as those for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preclinical, Phase 1 and 2.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include the dates the IND was submitted for each product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arrows in the pipeline table to accurately reflect where each product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 currently stands in development. On page 269, you discuss the DISC-0974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1 clinical study in healthy volunteers and then the two Phase 1/2b clinical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studies, one which has started and one which has not. Revise the pipeline table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differentiate the arrows between CKD and MF, and to clarify that the Phase 1 study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for healthy volunteers, and not specific to MF. We note the risk factor on page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79 that "Disc has only successfully completed on Phase 1 clinical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trial," which notes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7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Disc has initiated the BEACON Phase 2 trial and the DISC-0974 1b/2 trial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 with anemia of MF and may not submit its DISC-0974 1b/2 clinical trial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right="2339" w:firstLine="52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patients with anemia of CKD until it has submitted an IND. Finally, we note the last two rows in your pipeline table are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 programs for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have not named a particular candidate or a particular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targeted disease. Also,</w:t>
      </w:r>
    </w:p>
    <w:p>
      <w:pPr>
        <w:ind w:left="96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arrow for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Diamond-Blackfan Anemia (planned) and other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appears to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that you have begun Phase 1 trials; however, your disclosure on page 268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 that you are "continuing to explore the potential of bitopertin in these additional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indications in preclinical studies." Please revise the pipeline table to remove these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 programs or explain the basis for your belief that they are material and should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included.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increase the size of the graphics appearing in this section so that the text is legible.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Collaborations and License Agreement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Exclusive License Agreement with AbbVie Deutschland GmbH &amp; Co. KG, page</w:t>
      </w:r>
    </w:p>
    <w:p>
      <w:pPr>
        <w:spacing w:after="0"/>
        <w:tabs>
          <w:tab w:leader="none" w:pos="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royalty rates under the AbbVie Agreement are subject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a percentage reduction "in the low double digits" for lack of a valid claim on a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country-by-country basis. Please revise your description of this reduction in the royalty</w:t>
      </w:r>
    </w:p>
    <w:p>
      <w:pPr>
        <w:ind w:right="43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to a figure within ten percentage points. Intellectual Property, page 287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intellectual property disclosure to clearly describe on an individual or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family basis the type of patent protection granted for each product, the expiration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LastNameGeorges Gemayel, Ph.D.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of each patent held, and the jurisdiction of each patent. Please clearly distinguish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NameGemini</w:t>
      </w: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between</w:t>
            </w:r>
          </w:p>
        </w:tc>
        <w:tc>
          <w:tcPr>
            <w:tcW w:w="3060" w:type="dxa"/>
            <w:vAlign w:val="bottom"/>
            <w:gridSpan w:val="2"/>
          </w:tcPr>
          <w:p>
            <w:pPr>
              <w:ind w:left="1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Therapeutics,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owned patents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Inc.in-licensed</w:t>
            </w: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from third parties.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patents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/DE</w:t>
            </w: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 it may be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useful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30,to2022</w:t>
      </w:r>
    </w:p>
    <w:p>
      <w:pPr>
        <w:ind w:left="1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Pagetabular</w:t>
      </w:r>
    </w:p>
    <w:p>
      <w:pPr>
        <w:ind w:left="3480" w:hanging="629"/>
        <w:spacing w:after="0"/>
        <w:tabs>
          <w:tab w:leader="none" w:pos="34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Georges Gemayel, Ph.D.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 /DEGemayel,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30,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NameGemini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 /DE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30, 2022 Page 6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Basis of Pro Forma Presentation , page 350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not reflected the reverse stock split within the pro forma condensed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financial information. Please tell us how you plan on reflecting the reverse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split prior to the effectiveness of the filing within the pro forma financial statements</w:t>
      </w:r>
    </w:p>
    <w:p>
      <w:pPr>
        <w:ind w:right="601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throughout the filing. Note 4. Pro Forma Adjustments, page 351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is made to adjustment (I). Please reconcile this note to the pro forma equity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adjustments on page 347. Within your response, please explain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elimination of Gemini's historical equity carrying values does not agree to Gemini's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 equity carrying values contained within the proforma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condensed balance sheet.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28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 of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Rules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460 and 461 regarding requests for acceleration.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allow adequate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amendment prior to the requested effective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time for us to review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(202) 551-3639 or Brian Cascio at (202) 551-3676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Conlon Danberg at (202) 551-4466 or Abby Adams at (202) 551-6902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Industrial Applications and</w:t>
      </w: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Mark Nylen,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545E146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515F007C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5BD062C2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12200854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4DB127F8"/>
    <w:multiLevelType w:val="hybridMultilevel"/>
    <w:lvl w:ilvl="0">
      <w:lvlJc w:val="left"/>
      <w:lvlText w:val="%1."/>
      <w:numFmt w:val="decimal"/>
      <w:start w:val="16"/>
    </w:lvl>
  </w:abstractNum>
  <w:abstractNum w:abstractNumId="6">
    <w:nsid w:val="216231B"/>
    <w:multiLevelType w:val="hybridMultilevel"/>
    <w:lvl w:ilvl="0">
      <w:lvlJc w:val="left"/>
      <w:lvlText w:val="%1"/>
      <w:numFmt w:val="decimal"/>
      <w:start w:val="156"/>
    </w:lvl>
  </w:abstractNum>
  <w:abstractNum w:abstractNumId="7">
    <w:nsid w:val="1F16E9E8"/>
    <w:multiLevelType w:val="hybridMultilevel"/>
    <w:lvl w:ilvl="0">
      <w:lvlJc w:val="left"/>
      <w:lvlText w:val="%1."/>
      <w:numFmt w:val="decimal"/>
      <w:start w:val="17"/>
    </w:lvl>
  </w:abstractNum>
  <w:abstractNum w:abstractNumId="8">
    <w:nsid w:val="1190CDE7"/>
    <w:multiLevelType w:val="hybridMultilevel"/>
    <w:lvl w:ilvl="0">
      <w:lvlJc w:val="left"/>
      <w:lvlText w:val="%1."/>
      <w:numFmt w:val="decimal"/>
      <w:start w:val="18"/>
    </w:lvl>
  </w:abstractNum>
  <w:abstractNum w:abstractNumId="9">
    <w:nsid w:val="66EF438D"/>
    <w:multiLevelType w:val="hybridMultilevel"/>
    <w:lvl w:ilvl="0">
      <w:lvlJc w:val="left"/>
      <w:lvlText w:val="%1."/>
      <w:numFmt w:val="decimal"/>
      <w:start w:val="20"/>
    </w:lvl>
  </w:abstractNum>
  <w:abstractNum w:abstractNumId="10">
    <w:nsid w:val="140E0F76"/>
    <w:multiLevelType w:val="hybridMultilevel"/>
    <w:lvl w:ilvl="0">
      <w:lvlJc w:val="left"/>
      <w:lvlText w:val="%1"/>
      <w:numFmt w:val="decimal"/>
      <w:start w:val="285"/>
    </w:lvl>
  </w:abstractNum>
  <w:abstractNum w:abstractNumId="11">
    <w:nsid w:val="3352255A"/>
    <w:multiLevelType w:val="hybridMultilevel"/>
    <w:lvl w:ilvl="0">
      <w:lvlJc w:val="left"/>
      <w:lvlText w:val="%1."/>
      <w:numFmt w:val="decimal"/>
      <w:start w:val="21"/>
    </w:lvl>
  </w:abstractNum>
  <w:abstractNum w:abstractNumId="12">
    <w:nsid w:val="109CF92E"/>
    <w:multiLevelType w:val="hybridMultilevel"/>
    <w:lvl w:ilvl="0">
      <w:lvlJc w:val="left"/>
      <w:lvlText w:val="5"/>
      <w:numFmt w:val="bullet"/>
      <w:start w:val="1"/>
    </w:lvl>
  </w:abstractNum>
  <w:abstractNum w:abstractNumId="13">
    <w:nsid w:val="DED7263"/>
    <w:multiLevelType w:val="hybridMultilevel"/>
    <w:lvl w:ilvl="0">
      <w:lvlJc w:val="left"/>
      <w:lvlText w:val="%1."/>
      <w:numFmt w:val="decimal"/>
      <w:start w:val="2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2023-01-09T00:14:08Z</dcterms:created>
  <dcterms:modified xsi:type="dcterms:W3CDTF">2023-01-09T00:14:08Z</dcterms:modified>
</cp:coreProperties>
</file>