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124"/>
        <w:spacing w:after="0"/>
        <w:rPr>
          <w:sz w:val="20"/>
          <w:szCs w:val="20"/>
          <w:color w:val="auto"/>
        </w:rPr>
      </w:pPr>
      <w:r>
        <w:rPr>
          <w:rFonts w:ascii="Times New Roman" w:cs="Times New Roman" w:eastAsia="Times New Roman" w:hAnsi="Times New Roman"/>
          <w:sz w:val="17"/>
          <w:szCs w:val="17"/>
          <w:b w:val="1"/>
          <w:bCs w:val="1"/>
          <w:color w:val="auto"/>
        </w:rPr>
        <w:t>297 Boston Post Road #248, Wayland, MA</w:t>
      </w:r>
      <w:r>
        <w:rPr>
          <w:rFonts w:ascii="Times New Roman" w:cs="Times New Roman" w:eastAsia="Times New Roman" w:hAnsi="Times New Roman"/>
          <w:sz w:val="12"/>
          <w:szCs w:val="12"/>
          <w:b w:val="1"/>
          <w:bCs w:val="1"/>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01778</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401-4400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0" w:firstLine="44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30" w:lineRule="exact"/>
        <w:rPr>
          <w:sz w:val="24"/>
          <w:szCs w:val="24"/>
          <w:color w:val="auto"/>
        </w:rPr>
      </w:pPr>
    </w:p>
    <w:p>
      <w:pPr>
        <w:jc w:val="both"/>
        <w:ind w:left="4" w:right="4120" w:hanging="4"/>
        <w:spacing w:after="0" w:line="276" w:lineRule="exact"/>
        <w:tabs>
          <w:tab w:leader="none" w:pos="43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Rule 14a-12 under the Exchange Act (17 CFR 240.14a-12)</w:t>
      </w:r>
    </w:p>
    <w:p>
      <w:pPr>
        <w:spacing w:after="0" w:line="14" w:lineRule="exact"/>
        <w:rPr>
          <w:rFonts w:ascii="MS PGothic" w:cs="MS PGothic" w:eastAsia="MS PGothic" w:hAnsi="MS PGothic"/>
          <w:sz w:val="17"/>
          <w:szCs w:val="17"/>
          <w:color w:val="auto"/>
        </w:rPr>
      </w:pPr>
    </w:p>
    <w:p>
      <w:pPr>
        <w:jc w:val="both"/>
        <w:ind w:left="4" w:right="2520"/>
        <w:spacing w:after="0" w:line="290"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12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80" w:lineRule="exact"/>
        <w:rPr>
          <w:sz w:val="24"/>
          <w:szCs w:val="24"/>
          <w:color w:val="auto"/>
        </w:rPr>
      </w:pPr>
    </w:p>
    <w:p>
      <w:pPr>
        <w:ind w:left="424" w:right="5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w:t>
        <w:tab/>
        <w:t>Regulation FD Disclosure.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announced, on August 9, 2022, Gemini Therapeutics, Inc., a Delaware corporation (“Gemini” or the “Company”), Gemstone Merger Sub, Inc., a Delaware corporation and a wholly owned subsidiary of Gemini (“Merger Sub”), and Disc Medicine, Inc., a Delaware corporation (“Disc”), entered into an Agreement and Plan of Merger and Reorganization (the “Merger Agreement”), pursuant to which, among other matters, and subject to the satisfaction or waiver of the conditions set forth in the Merger Agreement, Merger Sub will merge with and into Disc, with Disc continuing as a wholly owned subsidiary of Gemini and the surviving corporation of the merger (the “Merger”).</w:t>
      </w:r>
    </w:p>
    <w:p>
      <w:pPr>
        <w:spacing w:after="0" w:line="18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On December 27, 2022, Disc issued a press release announcing that the US Food and Drug Administration granted Orphan Drug Designation to bitopertin for the treatment of erythropoietic protoporphyria. The full text of the press release is attached as Exhibit 99.1 to this Current Report on Form 8-K.</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Furnished as Exhibit 99.2 to this Current Report on Form 8-K and incorporated herein by reference are social media posts posted by Disc on LinkedIn and Twitter on December 27, 2022 regarding the announcement of the presentations.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 21E of the Exchange Act and Section 27A of the Securities Act of 1933, as amended (the “Securities Act”))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and those factors described under the heading “Risk Factors” in the Gemini’s most recent Annual Report on Form 10-K filed with the SEC and the definitive proxy/prospectus filed by Gemini with the SEC on December 2, 2022, as well as discussions of potential risks, uncertainties, and other important factors included in later filings, including any Quarterly Reports on Form 10-Q and Current Reports on Form 8-K. Should one or more of these risks or uncertainties materialize, or should any of Gemini’s assumptions prove incorrect, actual results may vary in material</w:t>
      </w:r>
    </w:p>
    <w:p>
      <w:pPr>
        <w:sectPr>
          <w:pgSz w:w="11900" w:h="16838" w:orient="portrait"/>
          <w:cols w:equalWidth="0" w:num="1">
            <w:col w:w="11000"/>
          </w:cols>
          <w:pgMar w:left="440" w:top="266" w:right="459" w:bottom="1440" w:gutter="0" w:footer="0" w:header="0"/>
        </w:sectPr>
      </w:pPr>
    </w:p>
    <w:bookmarkStart w:id="2" w:name="page3"/>
    <w:bookmarkEnd w:id="2"/>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respects from those projected in these forward-looking statements.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definitive proxy/prospectus filed by Gemini with the SEC on December 2, 2022, and any amendments thereto as filed with the SEC. These documents can be obtained free of charge from the sources indicated above.</w:t>
      </w:r>
    </w:p>
    <w:p>
      <w:pPr>
        <w:sectPr>
          <w:pgSz w:w="11900" w:h="16838" w:orient="portrait"/>
          <w:cols w:equalWidth="0" w:num="1">
            <w:col w:w="10980"/>
          </w:cols>
          <w:pgMar w:left="440" w:top="270" w:right="47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700" w:hanging="26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issued by Disc Medicine, Inc. on December 27, 2022</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Social media posts, posted by Disc Medicine, Inc. on December 27, 2022</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66"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GEMINI THERAPEUTICS,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27, 2022</w:t>
            </w: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Georges Gemayel</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Georges Gemayel</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37426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42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Receives FDA Orphan Drug Designation for Bitopertin for the Treatment of Erythropoietic Protoporphyria</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WATERTOWN, Mass. (December 27, 2022) –Disc Medicine, Inc. (“Disc”), a clinical-stage biopharmaceutical company focused on the discovery, development, and commercialization of novel treatments for patients suffering from serious hematologic diseases, announced today that the U.S. Food and Drug Administration (“FDA”) granted Orphan Drug Designation to bitopertin for the treatment of erythropoietic protoporphyria (“EPP”). Bitopertin is an investigational oral, selective inhibitor of glycine transporter 1 (“GlyT1”) designed to modulate heme biosynthesis, and has been shown in preclinical studies to reduce accumulation of protoporphyrin IX (“PPIX”), the toxic metabolite that causes disease pathology in EPP patients. It is currently being studied in two ongoing Phase 2 studies in EPP, AURORA (NCT05308472) and BEACON (ACTRN12622000799752).</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“Receiving orphan drug designation for bitopertin is incredibly encouraging and validates our commitment to bring a potential new treatment to EPP patients,” said John Quisel, J.D., Ph.D., Chief Executive Officer and President of Disc. “We are eagerly awaiting the results of our ongoing Phase 2 trials and look forward to collaborating with the FDA to progress bitopertin through clinical development.”</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FDA Orphan Drug Designation may be granted to investigational drugs or biological products which show promise in treating rare medical diseases or conditions that affect fewer than 200,000 people in the United States. By receiving Orphan Drug Designation, bitopertin can benefit from certain development incentives and seven years of market exclusivity, subject to regulatory approval.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EPP</w:t>
      </w:r>
    </w:p>
    <w:p>
      <w:pPr>
        <w:spacing w:after="0" w:line="12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EPP is a rare, debilitating and potentially life-threatening diseases caused by mutations that affect heme biosynthesis, resulting in the accumulation of a toxic, photoactive intermediate, PPIX. This causes severe reactions when patients are exposed to sunlight, characterized by excruciating pain, edema, burning sensations and potential blistering and disfigurement. PPIX also accumulates in the hepatobiliary system and can result in complications including gallstones, cholestasis, and liver damage in 20-30% of patients and in extreme cases liver failure. Current standard of care involves extreme measures to avoid sunlight, including restricting outdoor activities to nighttime, use of protective clothing and opaque shields, and pain management. This has a significant impact on the psychosocial development, quality of life, and daily activities of patients, particularly in young children and families. There is currently no cure for EPP and only one FDA-approved therapy, a surgically implanted synthetic hormone designed to stimulate melanin production called Scenesse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(afamelanotide).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Bitopertin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Bitopertin is a clinical-stage, orally administered inhibitor of GlyT1 that is designed to modulate heme biosynthesis. GlyT1 is a membrane transporter expressed on developing red blood cells and is required to supply sufficient glycine for heme biosynthesis and support erythropoiesis. The safety profile and effects of bitopertin on heme biosynthesis were previously established in a comprehensive clinical program comprising over 4,000 individuals across multiple clinical studies. Disc is planning to develop bitopertin as a potential treatment for a range of hematologic diseases beginning with EPP and X-linked protoporphyria (“XLP”). In preclinical models of EPP and XLP, bitopertin was shown to significantly decrease PPIX, a toxic intermediate of heme biosynthesis which is the underlying cause of the disease.</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Bitopertin is an experimental agent and is not approved for use as a therapy in any jurisdiction worldwide. Disc obtained global rights to bitopertin under a license agreement from Roche in May 2021.</w:t>
      </w:r>
    </w:p>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74265"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374265" cy="462915"/>
                    </a:xfrm>
                    <a:prstGeom prst="rect">
                      <a:avLst/>
                    </a:prstGeom>
                    <a:noFill/>
                  </pic:spPr>
                </pic:pic>
              </a:graphicData>
            </a:graphic>
          </wp:anchor>
        </w:drawing>
        <w:t>About Disc Medicine, Inc</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Disc is a clinical-stage biopharmaceutical company that is dedicated to transforming the lives of patients with hematologic disorders. We are building a portfolio of innovative, potential first-in-class therapeutic candidates that affect fundamental pathways of red blood cell biology. We are committed to developing treatments that empower and bring hope to the many patients who suffer from hematologic diseases. In August 2022, Disc announced it entered into a definitive merger agreement with Gemini Therapeutics, Inc. (NASDAQ:GMTX) (“Gemini”). For more information, please visit www.discmedicine.com.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for purposes of the federal securities laws concerning the proposed transaction between Disc and Gemini including whether and when the proposed transaction will be consummated; statements about the structure, timing and completion of the proposed transaction; and other matters, including Disc’s expectations with respect to its AURORA and BEACON clinical trials and Phase 1b/2a clinical study of DISC-0974 in myelofibrosis and anemia, its plans to initiate a Phase 2 study of DISC-0974 in chronic kidney disease, and other statements that are not historical in nature. These forward-looking statements include express or implied statements relating to Disc’s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Disc, Gemini or the proposed transaction will be those that have been anticipated. These forward-looking statements involve a number of risks, uncertainties (some of which are beyond Disc’s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and legislative, regulatory, political and economic developments. The foregoing list of factors is not exhaustive. You should carefully consider the foregoing factors and the other risks and uncertainties described in the “Risk Factors” section of the proxy statement/prospectus included in the registration statement on Form S-4 (the “Initial Registration Statement”), which was initially filed on September 2, 2022, as amended by Amendment No. 1 to the Initial Registration Statement filed with the SEC on October 7, 2022, Amendment No. 2 to the Initial Registration Statement filed with the SEC on November 3, 2022, Amendment No. 3 to the Initial Registration Statement filed with the SEC on November 23, 2022 and Amendment No. 4 to the Initial Registration Statement filed with the SEC on December 1, 2022 (together with the Initial Registration Statement, the “Registration Statement”) and declared effective on December 2, 2022, in connection with the transaction and other documents filed by Gemini from time to time with the SEC. Should one or more of these risks or uncertainties materialize, or should any of Disc’s assumptions prove incorrect, actual results may vary in material respects from those</w:t>
      </w:r>
    </w:p>
    <w:p>
      <w:pPr>
        <w:sectPr>
          <w:pgSz w:w="11900" w:h="16838" w:orient="portrait"/>
          <w:cols w:equalWidth="0" w:num="1">
            <w:col w:w="11000"/>
          </w:cols>
          <w:pgMar w:left="440" w:top="1143" w:right="45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74265"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374265" cy="462915"/>
                    </a:xfrm>
                    <a:prstGeom prst="rect">
                      <a:avLst/>
                    </a:prstGeom>
                    <a:noFill/>
                  </pic:spPr>
                </pic:pic>
              </a:graphicData>
            </a:graphic>
          </wp:anchor>
        </w:drawing>
        <w:t>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Disc’s forward-looking statements only speak as of the date they are made, and Gemini and Disc do not undertake any obligation to update or revise any forward-looking statements, whether as a result of new information, future events or otherwise, except as may be required under applicable securities 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definitive proxy/prospectus filed by Gemini with the SEC on December 2, 2022, and any amendments thereto as filed with the SEC. These documents can be obtained free of charge from the sources indicated above.</w:t>
      </w:r>
    </w:p>
    <w:p>
      <w:pPr>
        <w:sectPr>
          <w:pgSz w:w="11900" w:h="16838" w:orient="portrait"/>
          <w:cols w:equalWidth="0" w:num="1">
            <w:col w:w="11000"/>
          </w:cols>
          <w:pgMar w:left="440" w:top="1147"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7426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374265" cy="462915"/>
                    </a:xfrm>
                    <a:prstGeom prst="rect">
                      <a:avLst/>
                    </a:prstGeom>
                    <a:noFill/>
                  </pic:spPr>
                </pic:pic>
              </a:graphicData>
            </a:graphic>
          </wp:anchor>
        </w:drawing>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Verge Scientific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 (Investor)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christina.tartaglia@sternir.com</w:t>
      </w:r>
    </w:p>
    <w:p>
      <w:pPr>
        <w:sectPr>
          <w:pgSz w:w="11900" w:h="16838" w:orient="portrait"/>
          <w:cols w:equalWidth="0" w:num="1">
            <w:col w:w="10019"/>
          </w:cols>
          <w:pgMar w:left="440" w:top="1143" w:right="1440" w:bottom="1440" w:gutter="0" w:footer="0" w:header="0"/>
        </w:sectPr>
      </w:pPr>
    </w:p>
    <w:bookmarkStart w:id="9" w:name="page10"/>
    <w:bookmarkEnd w:id="9"/>
    <w:p>
      <w:pPr>
        <w:ind w:left="10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97355"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97355" cy="34290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 ODD Social Media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LinkedIn</w:t>
            </w:r>
          </w:p>
        </w:tc>
      </w:tr>
      <w:tr>
        <w:trPr>
          <w:trHeight w:val="191"/>
        </w:trPr>
        <w:tc>
          <w:tcPr>
            <w:tcW w:w="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Tuesday,</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U.S. FDA recently granted orphan drug</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 27</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designation to bitopertin for the treatment of</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8 am</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erythropoietic protoporphyria (#EPP) - read</w:t>
            </w: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more: [link to press release]</w:t>
            </w:r>
          </w:p>
        </w:tc>
      </w:tr>
      <w:tr>
        <w:trPr>
          <w:trHeight w:val="319"/>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Bitopertin is an experimental agent and is not</w:t>
            </w: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approved for use as a therapy in any jurisdiction</w:t>
            </w: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4"/>
          <w:szCs w:val="14"/>
          <w:b w:val="1"/>
          <w:bCs w:val="1"/>
          <w:color w:val="auto"/>
        </w:rPr>
        <w:t>Twitter (max 280 characters)</w:t>
      </w:r>
      <w:r>
        <w:rPr>
          <w:sz w:val="20"/>
          <w:szCs w:val="20"/>
          <w:color w:val="auto"/>
        </w:rPr>
        <w:tab/>
      </w:r>
      <w:r>
        <w:rPr>
          <w:rFonts w:ascii="Times New Roman" w:cs="Times New Roman" w:eastAsia="Times New Roman" w:hAnsi="Times New Roman"/>
          <w:sz w:val="14"/>
          <w:szCs w:val="14"/>
          <w:b w:val="1"/>
          <w:bCs w:val="1"/>
          <w:color w:val="auto"/>
        </w:rPr>
        <w:t>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4131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FDA recently granted orphan drug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designation to bitopertin for the treatment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erythropoietic protoporphyria (#EPP) - read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[link to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323215</wp:posOffset>
            </wp:positionV>
            <wp:extent cx="77152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2">
        <w:col w:w="4400" w:space="100"/>
        <w:col w:w="6520"/>
      </w:cols>
      <w:pgMar w:left="440"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2022-12-27T07:09:58Z</dcterms:created>
  <dcterms:modified xsi:type="dcterms:W3CDTF">2022-12-27T07:09:58Z</dcterms:modified>
</cp:coreProperties>
</file>