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593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593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Quisel John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12/23/2024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19,820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91,885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12/23/2024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3,414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62.3777</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88,471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12/23/2024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12,194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63.1185</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76,277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12/23/2024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4,212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63.8017</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72,065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12/23/2024</w:t>
            </w:r>
          </w:p>
        </w:tc>
        <w:tc>
          <w:tcPr>
            <w:tcW w:w="1140" w:type="dxa"/>
            <w:vAlign w:val="bottom"/>
          </w:tcPr>
          <w:p>
            <w:pPr>
              <w:spacing w:after="0"/>
              <w:rPr>
                <w:sz w:val="16"/>
                <w:szCs w:val="16"/>
                <w:color w:val="auto"/>
              </w:rPr>
            </w:pPr>
          </w:p>
        </w:tc>
        <w:tc>
          <w:tcPr>
            <w:tcW w:w="44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19,820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10/22/2030</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19,820</w:t>
            </w: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41,830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July 2, 2024.</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$61.66 to $62.65,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$62.66 to $63.655,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$63.695 to $63.86,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are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Rahul Khara, as</w:t>
            </w:r>
          </w:p>
        </w:tc>
        <w:tc>
          <w:tcPr>
            <w:tcW w:w="6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12/26/2024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86788"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2024-12-26T16:22:52Z</dcterms:created>
  <dcterms:modified xsi:type="dcterms:W3CDTF">2024-12-26T16:22:52Z</dcterms:modified>
</cp:coreProperties>
</file>