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9" w:lineRule="exact"/>
        <w:rPr>
          <w:sz w:val="24"/>
          <w:szCs w:val="24"/>
          <w:color w:val="auto"/>
        </w:r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On October 10, 2023, Disc Medicine, Inc. (the “Company”)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“Agreement”) with Jefferies LLC (“Jefferies”), pursuant to which the Company may, from time to time in its sole discretion, issue and sell through Jefferies, acting as sales agent, or directly to Jefferies, acting as principal, shares of the Company’s common stock, par value $0.0001 per share (“common stock”). The issuance and sale, if any, of shares of common stock having an aggregate offering price of up to $59.7 million by the Company under the Agreement (the “Placement Shares”) will only be made pursuant to the Company’s effective registration statement on Form S-3 (No. 333-269272) and a prospectus supplement related thereto.</w:t>
      </w:r>
    </w:p>
    <w:p>
      <w:pPr>
        <w:spacing w:after="0" w:line="20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Agreement, Jefferies may sell the Placement Shares by any method permitted by law deemed to be an “at the market” offering as defined in Rule 415 of the Securities Act of 1933, as amended (the “Securities Act”). Jefferies will use commercially reasonable efforts consistent with its normal sales and trading practices to sell the Placement Shares from time to time, based upon instructions from the Company (including any price or size limits or other customary parameters or conditions the Company may impose). The Company may also sell Placement Shares to Jefferies as principal at a price agreed upon by the parties at each relevant time Placement Shares are sold pursuant to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pay Jefferies a commission of up to 3.0% of the gross proceeds of any Placement Shares sold pursuant to the Agreement.</w:t>
      </w:r>
    </w:p>
    <w:p>
      <w:pPr>
        <w:spacing w:after="0" w:line="2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is not obligated to make any sales of Placement Shares under the Agreement. The offering of Placement Shares pursuant to the Agreement will terminate upon the earlier to occur of (i) the issuance and sale, through Jefferies, of all Placement Shares subject to the Agreement and (ii) the termination of the Agreement in accordance with its terms.</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Agreement contains representations, warranties and covenants that are customary for transactions of this type. In addition, the Company has agreed to indemnify Jefferies against certain liabilities, including liabilities under the Securities Act or the Securities Exchange Act of 1934, as amended.</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 A copy of the opinion of Goodwin Procter LLP relating to the validity of the Placement Shares in the offering is attached as Exhibit 5.1 hereto.</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10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 No. </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 1.1</w:t>
            </w:r>
          </w:p>
        </w:tc>
        <w:tc>
          <w:tcPr>
            <w:tcW w:w="2140" w:type="dxa"/>
            <w:vAlign w:val="bottom"/>
            <w:vMerge w:val="restart"/>
          </w:tcPr>
          <w:p>
            <w:pPr>
              <w:spacing w:after="0"/>
              <w:rPr>
                <w:sz w:val="20"/>
                <w:szCs w:val="20"/>
                <w:color w:val="auto"/>
              </w:rPr>
            </w:pPr>
            <w:r>
              <w:rPr>
                <w:rFonts w:ascii="Arial" w:cs="Arial" w:eastAsia="Arial" w:hAnsi="Arial"/>
                <w:sz w:val="18"/>
                <w:szCs w:val="18"/>
                <w:color w:val="0000EE"/>
                <w:w w:val="89"/>
              </w:rPr>
              <w:t>Open Market Sale Agreement</w:t>
            </w: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92"/>
              </w:rPr>
              <w:t>SM</w:t>
            </w:r>
          </w:p>
        </w:tc>
        <w:tc>
          <w:tcPr>
            <w:tcW w:w="5760" w:type="dxa"/>
            <w:vAlign w:val="bottom"/>
            <w:gridSpan w:val="5"/>
            <w:vMerge w:val="restart"/>
          </w:tcPr>
          <w:p>
            <w:pPr>
              <w:ind w:left="40"/>
              <w:spacing w:after="0"/>
              <w:rPr>
                <w:sz w:val="20"/>
                <w:szCs w:val="20"/>
                <w:color w:val="auto"/>
              </w:rPr>
            </w:pPr>
            <w:r>
              <w:rPr>
                <w:rFonts w:ascii="Arial" w:cs="Arial" w:eastAsia="Arial" w:hAnsi="Arial"/>
                <w:sz w:val="18"/>
                <w:szCs w:val="18"/>
                <w:color w:val="0000EE"/>
                <w:w w:val="90"/>
              </w:rPr>
              <w:t>dated October 10, 2023 by and between Disc Medicine, Inc. and Jefferies LLC.</w:t>
            </w:r>
          </w:p>
        </w:tc>
        <w:tc>
          <w:tcPr>
            <w:tcW w:w="0" w:type="dxa"/>
            <w:vAlign w:val="bottom"/>
          </w:tcPr>
          <w:p>
            <w:pPr>
              <w:spacing w:after="0"/>
              <w:rPr>
                <w:sz w:val="1"/>
                <w:szCs w:val="1"/>
                <w:color w:val="auto"/>
              </w:rPr>
            </w:pPr>
          </w:p>
        </w:tc>
      </w:tr>
      <w:tr>
        <w:trPr>
          <w:trHeight w:val="21"/>
        </w:trPr>
        <w:tc>
          <w:tcPr>
            <w:tcW w:w="1040" w:type="dxa"/>
            <w:vAlign w:val="bottom"/>
            <w:gridSpan w:val="2"/>
            <w:vMerge w:val="continue"/>
          </w:tcPr>
          <w:p>
            <w:pPr>
              <w:spacing w:after="0" w:line="20" w:lineRule="exact"/>
              <w:rPr>
                <w:sz w:val="1"/>
                <w:szCs w:val="1"/>
                <w:color w:val="auto"/>
              </w:rPr>
            </w:pPr>
          </w:p>
        </w:tc>
        <w:tc>
          <w:tcPr>
            <w:tcW w:w="214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60" w:type="dxa"/>
            <w:vAlign w:val="bottom"/>
            <w:tcBorders>
              <w:bottom w:val="single" w:sz="8" w:color="0000EE"/>
            </w:tcBorders>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 5.1</w:t>
            </w:r>
          </w:p>
        </w:tc>
        <w:tc>
          <w:tcPr>
            <w:tcW w:w="8100" w:type="dxa"/>
            <w:vAlign w:val="bottom"/>
            <w:gridSpan w:val="8"/>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Goodwin Procter LLP (contained in Exhibit 5.1)</w:t>
            </w:r>
          </w:p>
        </w:tc>
        <w:tc>
          <w:tcPr>
            <w:tcW w:w="3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1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 MEDICINE, INC.</w:t>
      </w:r>
    </w:p>
    <w:p>
      <w:pPr>
        <w:spacing w:after="0" w:line="252"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October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6"/>
          <w:szCs w:val="26"/>
          <w:b w:val="1"/>
          <w:bCs w:val="1"/>
          <w:color w:val="auto"/>
          <w:vertAlign w:val="superscript"/>
        </w:rPr>
        <w:t>SM</w:t>
      </w:r>
    </w:p>
    <w:p>
      <w:pPr>
        <w:spacing w:after="0" w:line="137"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October 10,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140" w:firstLine="440"/>
        <w:spacing w:after="0" w:line="314" w:lineRule="auto"/>
        <w:rPr>
          <w:sz w:val="20"/>
          <w:szCs w:val="20"/>
          <w:color w:val="auto"/>
        </w:rPr>
      </w:pPr>
      <w:r>
        <w:rPr>
          <w:rFonts w:ascii="Arial" w:cs="Arial" w:eastAsia="Arial" w:hAnsi="Arial"/>
          <w:sz w:val="16"/>
          <w:szCs w:val="16"/>
          <w:color w:val="auto"/>
        </w:rPr>
        <w:t>Disc Medicine,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 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having an aggregate offering price of up to $59,700,000 on the terms set forth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27"/>
          <w:szCs w:val="27"/>
          <w:color w:val="auto"/>
          <w:vertAlign w:val="superscript"/>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Company’s Common Shares issued or issuable pursuant to this Agreement.</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4" w:right="40" w:hanging="4"/>
        <w:spacing w:after="0" w:line="255"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Settlement Date, (4) each Triggering Event Date (as defined below) and (5) 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Commission a shelf registration statement on Form S-3 (File</w:t>
      </w:r>
    </w:p>
    <w:p>
      <w:pPr>
        <w:spacing w:after="0" w:line="35"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No. 333-269272) that contains a base prospectus. Such registration statement registers the issuance and sale by the Company of the Shares under the Securities Act. The Company may file one or more additional registration statements from time to time that will contain a base prospectus and a related prospectus or prospectus supplement, if applicable, with respect to the Shares including pursuant to Rule 462(b) under the Securities Act (any such registration statement filed pursuant to Rule 462(b),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ind w:right="3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the Registration Statement was or will be originally declared effective and at the time the Company’s most recent annual report on Form 10-K was filed with the Commission, if later, the Company met or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7" w:lineRule="exact"/>
        <w:rPr>
          <w:sz w:val="20"/>
          <w:szCs w:val="20"/>
          <w:color w:val="auto"/>
        </w:rPr>
      </w:pPr>
    </w:p>
    <w:p>
      <w:pPr>
        <w:ind w:right="160" w:firstLine="436"/>
        <w:spacing w:after="0" w:line="275" w:lineRule="auto"/>
        <w:tabs>
          <w:tab w:leader="none" w:pos="69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Registration Statement has been and any Rule 462(b) Registration Statement filed after the date of this Agreement will be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7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Prospectus when filed complied or will comply in all material respects with the Securities Act and, if filed with the Commission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(except as may be permitted by Regulation S-T under the Securities Act), was or will be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and as of the Prospectus and any Free Writing Prospectus (as defined below) considered together (collectively, the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did not contain any untrue statement of a material fact or omit to state a material fact necessary to make the statements therein,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20" w:firstLine="436"/>
        <w:spacing w:after="0" w:line="287"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Issuer Status</w:t>
      </w:r>
      <w:r>
        <w:rPr>
          <w:rFonts w:ascii="Arial" w:cs="Arial" w:eastAsia="Arial" w:hAnsi="Arial"/>
          <w:sz w:val="16"/>
          <w:szCs w:val="16"/>
          <w:color w:val="auto"/>
        </w:rPr>
        <w:t>. As of the date of this Agreement, the Company is an “ineligible issuer” pursuant to Rules 164, 405 and 433 under the Securities Act. Accordingly, until such time that the Company is no longer an “ineligible issuer,” the Company will not, prepare, use or refer to any Free Writing Prospectus, including any broadly available roadshow, as such term is defined in Rule 405 under the Securities Act, in connection with the offer and sale of the Shares. Once the Company is no longer an “ineligible issuer,” any Free Writing Prospectus that the Company is required to file pursuant to Rule 433(d) under the Securities Act will be filed with the Commission in accordance with the requirements of the Securities Act. Each Free Writing Prospectus that the Company is required to file pursuant to Rule 433(d) under the Securities Act or that was prepared by or behalf of or used or referred to by the Company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67" w:lineRule="exact"/>
        <w:rPr>
          <w:rFonts w:ascii="Arial" w:cs="Arial" w:eastAsia="Arial" w:hAnsi="Arial"/>
          <w:sz w:val="16"/>
          <w:szCs w:val="16"/>
          <w:color w:val="auto"/>
        </w:rPr>
      </w:pPr>
    </w:p>
    <w:p>
      <w:pPr>
        <w:ind w:left="-20" w:firstLine="436"/>
        <w:spacing w:after="0" w:line="301" w:lineRule="auto"/>
        <w:tabs>
          <w:tab w:leader="none" w:pos="67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ind w:left="-20" w:right="20" w:firstLine="436"/>
        <w:spacing w:after="0" w:line="293"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9" w:name="page10"/>
    <w:bookmarkEnd w:id="9"/>
    <w:p>
      <w:pPr>
        <w:ind w:left="-20" w:right="80" w:firstLine="436"/>
        <w:spacing w:after="0" w:line="263" w:lineRule="auto"/>
        <w:tabs>
          <w:tab w:leader="none" w:pos="64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Statistical and Market-Related Data</w:t>
      </w:r>
      <w:r>
        <w:rPr>
          <w:rFonts w:ascii="Arial" w:cs="Arial" w:eastAsia="Arial" w:hAnsi="Arial"/>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83" w:lineRule="exact"/>
        <w:rPr>
          <w:rFonts w:ascii="Arial" w:cs="Arial" w:eastAsia="Arial" w:hAnsi="Arial"/>
          <w:sz w:val="18"/>
          <w:szCs w:val="18"/>
          <w:color w:val="auto"/>
        </w:rPr>
      </w:pPr>
    </w:p>
    <w:p>
      <w:pPr>
        <w:ind w:left="-20" w:right="280" w:firstLine="436"/>
        <w:spacing w:after="0" w:line="308" w:lineRule="auto"/>
        <w:tabs>
          <w:tab w:leader="none" w:pos="67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From the time of initial confidential submission of the Company’s Registration Statement on Form S-1 (File No. 333-240098), the Company has been and is an “emerging growth company,” as defined in Section 2(a) of the Securities Act.</w:t>
      </w:r>
    </w:p>
    <w:p>
      <w:pPr>
        <w:spacing w:after="0" w:line="146" w:lineRule="exact"/>
        <w:rPr>
          <w:rFonts w:ascii="Arial" w:cs="Arial" w:eastAsia="Arial" w:hAnsi="Arial"/>
          <w:sz w:val="17"/>
          <w:szCs w:val="17"/>
          <w:color w:val="auto"/>
        </w:rPr>
      </w:pPr>
    </w:p>
    <w:p>
      <w:pPr>
        <w:ind w:left="-20" w:right="160" w:firstLine="436"/>
        <w:spacing w:after="0" w:line="263"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iXBRL</w:t>
      </w:r>
      <w:r>
        <w:rPr>
          <w:rFonts w:ascii="Arial" w:cs="Arial" w:eastAsia="Arial" w:hAnsi="Arial"/>
          <w:sz w:val="18"/>
          <w:szCs w:val="18"/>
          <w:color w:val="auto"/>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8"/>
          <w:szCs w:val="18"/>
          <w:color w:val="auto"/>
        </w:rPr>
      </w:pPr>
    </w:p>
    <w:p>
      <w:pPr>
        <w:ind w:left="-20" w:right="60" w:firstLine="436"/>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Company is subject to and in compliance in all material respects with the reporting requirements of Section 13 or Section 15(d) of the Exchange Act. The Company’s Common Shares are registered pursuant to Section 12(b) of the Exchange Act and are listed on the Principal Market, and the Company has taken no action designed to, or reasonably likely to have the effect of, terminating the registration of the Company’s Common Shares under the Exchange Act or delisting the Company’s Common Shares from the Principal Market, nor has the Company received any notification that the Commission or the Principal Market is contemplating terminating such registration or listing. The Company is in compliance with the current listing standards of the Principal Market. The Company has filed a Notification of Listing of Additional Shares with the Principal Market with respect to the Shares.</w:t>
      </w:r>
    </w:p>
    <w:p>
      <w:pPr>
        <w:spacing w:after="0" w:line="194" w:lineRule="exact"/>
        <w:rPr>
          <w:rFonts w:ascii="Arial" w:cs="Arial" w:eastAsia="Arial" w:hAnsi="Arial"/>
          <w:sz w:val="18"/>
          <w:szCs w:val="18"/>
          <w:color w:val="auto"/>
        </w:rPr>
      </w:pPr>
    </w:p>
    <w:p>
      <w:pPr>
        <w:ind w:left="-20" w:firstLine="436"/>
        <w:spacing w:after="0" w:line="25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No person (as such term is defined in Rule 1-02 of Regulation S-X promulgated under the Securities Act) has the right to act as an underwriter or as a financial advisor to the Company in connection with the offer and sale of the Shares hereunder, whether as a result of the filing or effectiveness of the Registration Statement or the sale of the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7" w:lineRule="exact"/>
        <w:rPr>
          <w:rFonts w:ascii="Arial" w:cs="Arial" w:eastAsia="Arial" w:hAnsi="Arial"/>
          <w:sz w:val="18"/>
          <w:szCs w:val="18"/>
          <w:color w:val="auto"/>
        </w:rPr>
      </w:pPr>
    </w:p>
    <w:p>
      <w:pPr>
        <w:ind w:left="-20" w:right="140" w:firstLine="436"/>
        <w:spacing w:after="0" w:line="290" w:lineRule="auto"/>
        <w:tabs>
          <w:tab w:leader="none" w:pos="67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w:t>
      </w:r>
      <w:r>
        <w:rPr>
          <w:rFonts w:ascii="Arial" w:cs="Arial" w:eastAsia="Arial" w:hAnsi="Arial"/>
          <w:sz w:val="16"/>
          <w:szCs w:val="16"/>
          <w:color w:val="auto"/>
        </w:rPr>
        <w:t>. 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the Time of Sale Information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or liabilities of the Company and its Subsidiaries, taken as a whole, whether or not arising from transactions in the ordinary course of business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10" w:name="page11"/>
    <w:bookmarkEnd w:id="10"/>
    <w:p>
      <w:pPr>
        <w:ind w:firstLine="436"/>
        <w:spacing w:after="0" w:line="285"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w:t>
      </w:r>
      <w:r>
        <w:rPr>
          <w:rFonts w:ascii="Arial" w:cs="Arial" w:eastAsia="Arial" w:hAnsi="Arial"/>
          <w:sz w:val="16"/>
          <w:szCs w:val="16"/>
          <w:color w:val="auto"/>
        </w:rPr>
        <w:t>. Each of the Company’s “subsidiaries” (for purposes of this Agreement, as defined in Rule 405 under the Securities Act)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the Time of Sale Information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Disc Medicine Opco, Inc., a Delaware corporation, Disc Medicine Pty Ltd, an Australian proprietary company, limited by shares, Disc Medicine B.V., a Netherlands private limited company, and Disc Medicine Securities Corp., a Delaware corporation, the Company does not own or control, directly or indirectly, any corporation, association or other entity. Only Disc Medicine Opco, Inc.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76" w:lineRule="exact"/>
        <w:rPr>
          <w:rFonts w:ascii="Arial" w:cs="Arial" w:eastAsia="Arial" w:hAnsi="Arial"/>
          <w:sz w:val="16"/>
          <w:szCs w:val="16"/>
          <w:color w:val="auto"/>
        </w:rPr>
      </w:pPr>
    </w:p>
    <w:p>
      <w:pPr>
        <w:ind w:right="240" w:firstLine="436"/>
        <w:spacing w:after="0" w:line="277" w:lineRule="auto"/>
        <w:tabs>
          <w:tab w:leader="none" w:pos="74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capital stock of the Company conforms as to legal matters to the description thereof contained in each of the Registration Statement, the Time of Sale Information and the Prospectus.</w:t>
      </w:r>
    </w:p>
    <w:p>
      <w:pPr>
        <w:spacing w:after="0" w:line="170" w:lineRule="exact"/>
        <w:rPr>
          <w:rFonts w:ascii="Arial" w:cs="Arial" w:eastAsia="Arial" w:hAnsi="Arial"/>
          <w:sz w:val="18"/>
          <w:szCs w:val="18"/>
          <w:color w:val="auto"/>
        </w:rPr>
      </w:pPr>
    </w:p>
    <w:p>
      <w:pPr>
        <w:ind w:firstLine="436"/>
        <w:spacing w:after="0" w:line="289"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w:t>
      </w:r>
      <w:r>
        <w:rPr>
          <w:rFonts w:ascii="Arial" w:cs="Arial" w:eastAsia="Arial" w:hAnsi="Arial"/>
          <w:sz w:val="16"/>
          <w:szCs w:val="16"/>
          <w:color w:val="auto"/>
        </w:rPr>
        <w:t>. The Common Shares conform in all material respects to the description thereof contained in the Registration Statement, the Time of Sale Information and the Prospectus, including under the heading “Description of Capital Stock.” All of the issued and outstanding share capital or other equity or ownership interest of the Company (including the Common Shares)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Arial" w:cs="Arial" w:eastAsia="Arial" w:hAnsi="Arial"/>
          <w:sz w:val="16"/>
          <w:szCs w:val="16"/>
          <w:b w:val="1"/>
          <w:bCs w:val="1"/>
          <w:color w:val="auto"/>
        </w:rPr>
        <w:t>Stock Plans</w:t>
      </w:r>
      <w:r>
        <w:rPr>
          <w:rFonts w:ascii="Arial" w:cs="Arial" w:eastAsia="Arial" w:hAnsi="Arial"/>
          <w:sz w:val="16"/>
          <w:szCs w:val="16"/>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right="240" w:firstLine="436"/>
        <w:spacing w:after="0" w:line="311"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the Shares</w:t>
      </w:r>
      <w:r>
        <w:rPr>
          <w:rFonts w:ascii="Arial" w:cs="Arial" w:eastAsia="Arial" w:hAnsi="Arial"/>
          <w:sz w:val="16"/>
          <w:szCs w:val="16"/>
          <w:color w:val="auto"/>
        </w:rPr>
        <w:t>.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 This Agreement has been duly authorized, executed and delivered by the Company.</w:t>
      </w:r>
    </w:p>
    <w:p>
      <w:pPr>
        <w:spacing w:after="0" w:line="148" w:lineRule="exact"/>
        <w:rPr>
          <w:rFonts w:ascii="Arial" w:cs="Arial" w:eastAsia="Arial" w:hAnsi="Arial"/>
          <w:sz w:val="16"/>
          <w:szCs w:val="16"/>
          <w:color w:val="auto"/>
        </w:rPr>
      </w:pPr>
    </w:p>
    <w:p>
      <w:pPr>
        <w:ind w:firstLine="436"/>
        <w:spacing w:after="0" w:line="311"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Not an “Investment Company”</w:t>
      </w:r>
      <w:r>
        <w:rPr>
          <w:rFonts w:ascii="Arial" w:cs="Arial" w:eastAsia="Arial" w:hAnsi="Arial"/>
          <w:sz w:val="16"/>
          <w:szCs w:val="16"/>
          <w:color w:val="auto"/>
        </w:rPr>
        <w:t>. The Company is not, and after giving effect to the offering and sale of the Shares and the application of the proceeds thereof as described in each of the Registration Statement, the Time of Sale Information and the Prospectus will not be, required to register as an “investment company” as such term is defined in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firstLine="436"/>
        <w:spacing w:after="0" w:line="270"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 No Further Authorizations or Approvals Required</w:t>
      </w:r>
      <w:r>
        <w:rPr>
          <w:rFonts w:ascii="Arial" w:cs="Arial" w:eastAsia="Arial" w:hAnsi="Arial"/>
          <w:sz w:val="17"/>
          <w:szCs w:val="17"/>
          <w:color w:val="auto"/>
        </w:rPr>
        <w:t>. 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Shares.</w:t>
      </w:r>
    </w:p>
    <w:p>
      <w:pPr>
        <w:spacing w:after="0" w:line="180" w:lineRule="exact"/>
        <w:rPr>
          <w:rFonts w:ascii="Arial" w:cs="Arial" w:eastAsia="Arial" w:hAnsi="Arial"/>
          <w:sz w:val="17"/>
          <w:szCs w:val="17"/>
          <w:color w:val="auto"/>
        </w:rPr>
      </w:pPr>
    </w:p>
    <w:p>
      <w:pPr>
        <w:ind w:right="60" w:firstLine="436"/>
        <w:spacing w:after="0" w:line="263" w:lineRule="auto"/>
        <w:tabs>
          <w:tab w:leader="none" w:pos="66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Information.</w:t>
      </w:r>
    </w:p>
    <w:p>
      <w:pPr>
        <w:spacing w:after="0" w:line="183" w:lineRule="exact"/>
        <w:rPr>
          <w:rFonts w:ascii="Arial" w:cs="Arial" w:eastAsia="Arial" w:hAnsi="Arial"/>
          <w:sz w:val="18"/>
          <w:szCs w:val="18"/>
          <w:color w:val="auto"/>
        </w:rPr>
      </w:pPr>
    </w:p>
    <w:p>
      <w:pPr>
        <w:ind w:right="20" w:firstLine="436"/>
        <w:spacing w:after="0" w:line="279" w:lineRule="auto"/>
        <w:tabs>
          <w:tab w:leader="none" w:pos="67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Applicable Registration or Other Similar Rights</w:t>
      </w:r>
      <w:r>
        <w:rPr>
          <w:rFonts w:ascii="Arial" w:cs="Arial" w:eastAsia="Arial" w:hAnsi="Arial"/>
          <w:sz w:val="17"/>
          <w:szCs w:val="17"/>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validly waived or complied with in connection with the issuance and sale of the Shares contemplated hereby.</w:t>
      </w:r>
    </w:p>
    <w:p>
      <w:pPr>
        <w:spacing w:after="0" w:line="171" w:lineRule="exact"/>
        <w:rPr>
          <w:rFonts w:ascii="Arial" w:cs="Arial" w:eastAsia="Arial" w:hAnsi="Arial"/>
          <w:sz w:val="17"/>
          <w:szCs w:val="17"/>
          <w:color w:val="auto"/>
        </w:rPr>
      </w:pPr>
    </w:p>
    <w:p>
      <w:pPr>
        <w:ind w:right="20" w:firstLine="436"/>
        <w:spacing w:after="0" w:line="273"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included in each of the Registration Statement, the Time of Sale Information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applied on a consistent basis throughout the periods covered thereby except for any normal year-end adjustments in the Company’s quarterly financial statements. The other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information included in each of the Registration Statement, the Time of Sale Information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the Time of Sale Information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the Time of Sale Information and the Prospectus. All disclosures contained in the Registration Statement, the Time of Sale Information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the Time of Sale Information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74" w:lineRule="exact"/>
        <w:rPr>
          <w:sz w:val="20"/>
          <w:szCs w:val="20"/>
          <w:color w:val="auto"/>
        </w:rPr>
      </w:pPr>
    </w:p>
    <w:p>
      <w:pPr>
        <w:ind w:firstLine="436"/>
        <w:spacing w:after="0" w:line="289"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Information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Information and the Prospectus or (ii) that are required to be described in the Registration Statement, the Time of Sale Information or the Prospectus and are not so described in all material respects; and there are no statutes, regulations, contracts or other documents that are required to be described in the Registration Statement, the Time of Sale Information or the Prospectus or to be filed as exhibits to the Registration Statement that are not described in all material respects or filed as required.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firstLine="436"/>
        <w:spacing w:after="0" w:line="293"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Registered Public Accounting Firm</w:t>
      </w:r>
      <w:r>
        <w:rPr>
          <w:rFonts w:ascii="Arial" w:cs="Arial" w:eastAsia="Arial" w:hAnsi="Arial"/>
          <w:sz w:val="16"/>
          <w:szCs w:val="16"/>
          <w:color w:val="auto"/>
        </w:rPr>
        <w:t>.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Information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Ernst &amp; Young LLP has not been engaged by the Company to perform any “prohibited activities” or provided to the Company any “non-audit services” (as defined in Section 10A of the Exchange Act).</w:t>
      </w:r>
    </w:p>
    <w:p>
      <w:pPr>
        <w:spacing w:after="0" w:line="164" w:lineRule="exact"/>
        <w:rPr>
          <w:rFonts w:ascii="Arial" w:cs="Arial" w:eastAsia="Arial" w:hAnsi="Arial"/>
          <w:sz w:val="16"/>
          <w:szCs w:val="16"/>
          <w:color w:val="auto"/>
        </w:rPr>
      </w:pPr>
    </w:p>
    <w:p>
      <w:pPr>
        <w:ind w:right="260" w:firstLine="436"/>
        <w:spacing w:after="0" w:line="263"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Shares.</w:t>
      </w:r>
    </w:p>
    <w:p>
      <w:pPr>
        <w:spacing w:after="0" w:line="183"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Labor Disputes</w:t>
      </w:r>
      <w:r>
        <w:rPr>
          <w:rFonts w:ascii="Arial" w:cs="Arial" w:eastAsia="Arial" w:hAnsi="Arial"/>
          <w:sz w:val="18"/>
          <w:szCs w:val="18"/>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86"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192" w:lineRule="exact"/>
        <w:rPr>
          <w:rFonts w:ascii="Arial" w:cs="Arial" w:eastAsia="Arial" w:hAnsi="Arial"/>
          <w:sz w:val="18"/>
          <w:szCs w:val="18"/>
          <w:color w:val="auto"/>
        </w:rPr>
      </w:pPr>
    </w:p>
    <w:p>
      <w:pPr>
        <w:ind w:firstLine="436"/>
        <w:spacing w:after="0" w:line="293" w:lineRule="auto"/>
        <w:tabs>
          <w:tab w:leader="none" w:pos="68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Title to Properties</w:t>
      </w:r>
      <w:r>
        <w:rPr>
          <w:rFonts w:ascii="Arial" w:cs="Arial" w:eastAsia="Arial" w:hAnsi="Arial"/>
          <w:sz w:val="16"/>
          <w:szCs w:val="16"/>
          <w:color w:val="auto"/>
        </w:rPr>
        <w:t>.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164" w:lineRule="exact"/>
        <w:rPr>
          <w:sz w:val="20"/>
          <w:szCs w:val="20"/>
          <w:color w:val="auto"/>
        </w:rPr>
      </w:pPr>
    </w:p>
    <w:p>
      <w:pPr>
        <w:ind w:right="20" w:firstLine="436"/>
        <w:spacing w:after="0" w:line="255" w:lineRule="auto"/>
        <w:tabs>
          <w:tab w:leader="none" w:pos="7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All Necessary Permits, etc</w:t>
      </w:r>
      <w:r>
        <w:rPr>
          <w:rFonts w:ascii="Arial" w:cs="Arial" w:eastAsia="Arial" w:hAnsi="Arial"/>
          <w:sz w:val="18"/>
          <w:szCs w:val="18"/>
          <w:color w:val="auto"/>
        </w:rPr>
        <w:t>. 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the Time of Sale Information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firstLine="436"/>
        <w:spacing w:after="0" w:line="290" w:lineRule="auto"/>
        <w:tabs>
          <w:tab w:leader="none" w:pos="78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 and Procedures; Deficiencies in or Changes to Internal Control Over Financial Reporting</w:t>
      </w:r>
      <w:r>
        <w:rPr>
          <w:rFonts w:ascii="Arial" w:cs="Arial" w:eastAsia="Arial" w:hAnsi="Arial"/>
          <w:sz w:val="16"/>
          <w:szCs w:val="16"/>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165" w:lineRule="exact"/>
        <w:rPr>
          <w:rFonts w:ascii="Arial" w:cs="Arial" w:eastAsia="Arial" w:hAnsi="Arial"/>
          <w:sz w:val="16"/>
          <w:szCs w:val="16"/>
          <w:color w:val="auto"/>
        </w:rPr>
      </w:pPr>
    </w:p>
    <w:p>
      <w:pPr>
        <w:ind w:right="60" w:firstLine="436"/>
        <w:spacing w:after="0" w:line="255" w:lineRule="auto"/>
        <w:tabs>
          <w:tab w:leader="none" w:pos="76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Shares or (ii) any action designed to or that might constitute or reasonably be expected to cause or result in a violation of Regulation M under the Exchange Act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40" w:firstLine="436"/>
        <w:spacing w:after="0" w:line="272" w:lineRule="auto"/>
        <w:tabs>
          <w:tab w:leader="none" w:pos="78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77" w:lineRule="exact"/>
        <w:rPr>
          <w:rFonts w:ascii="Arial" w:cs="Arial" w:eastAsia="Arial" w:hAnsi="Arial"/>
          <w:sz w:val="17"/>
          <w:szCs w:val="17"/>
          <w:color w:val="auto"/>
        </w:rPr>
      </w:pPr>
    </w:p>
    <w:p>
      <w:pPr>
        <w:ind w:right="40" w:firstLine="436"/>
        <w:spacing w:after="0" w:line="273" w:lineRule="auto"/>
        <w:tabs>
          <w:tab w:leader="none" w:pos="76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and the regulations and published interpretations thereunder with respect to a Plan (as defined below)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Arial" w:cs="Arial" w:eastAsia="Arial" w:hAnsi="Arial"/>
          <w:sz w:val="17"/>
          <w:szCs w:val="17"/>
          <w:b w:val="1"/>
          <w:bCs w:val="1"/>
          <w:color w:val="auto"/>
        </w:rPr>
        <w:t>Plan</w:t>
      </w:r>
      <w:r>
        <w:rPr>
          <w:rFonts w:ascii="Arial" w:cs="Arial" w:eastAsia="Arial" w:hAnsi="Arial"/>
          <w:sz w:val="17"/>
          <w:szCs w:val="17"/>
          <w:color w:val="auto"/>
        </w:rPr>
        <w:t>” means a plan (within the meaning of Section 3(3) of ERISA) subject to Title IV of ERISA with respect to which the Company or any of its Subsidiaries may have any liability.</w:t>
      </w:r>
    </w:p>
    <w:p>
      <w:pPr>
        <w:spacing w:after="0" w:line="179" w:lineRule="exact"/>
        <w:rPr>
          <w:sz w:val="20"/>
          <w:szCs w:val="20"/>
          <w:color w:val="auto"/>
        </w:rPr>
      </w:pPr>
    </w:p>
    <w:p>
      <w:pPr>
        <w:ind w:firstLine="436"/>
        <w:spacing w:after="0" w:line="257" w:lineRule="auto"/>
        <w:tabs>
          <w:tab w:leader="none" w:pos="72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has taken all necessary actions to ensure that it is in compliance with all applicable provisions of the Sarbanes-Oxley Act of 2002 and the rules and regulations promulgated in connection therewith (the “Sarbanes-Oxley Act”)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187" w:lineRule="exact"/>
        <w:rPr>
          <w:rFonts w:ascii="Arial" w:cs="Arial" w:eastAsia="Arial" w:hAnsi="Arial"/>
          <w:sz w:val="18"/>
          <w:szCs w:val="18"/>
          <w:color w:val="auto"/>
        </w:rPr>
      </w:pPr>
    </w:p>
    <w:p>
      <w:pPr>
        <w:ind w:firstLine="436"/>
        <w:spacing w:after="0" w:line="287" w:lineRule="auto"/>
        <w:tabs>
          <w:tab w:leader="none" w:pos="78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Anti-Corruption and Anti-Bribery Laws</w:t>
      </w:r>
      <w:r>
        <w:rPr>
          <w:rFonts w:ascii="Arial" w:cs="Arial" w:eastAsia="Arial" w:hAnsi="Arial"/>
          <w:sz w:val="16"/>
          <w:szCs w:val="16"/>
          <w:color w:val="auto"/>
        </w:rPr>
        <w:t>.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of the Shares in furtherance of an offer, payment, promise to pay, or authorization of the payment or giving of money, or anything else of value, to any person in violation of any applicable anti-corruption 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firstLine="436"/>
        <w:spacing w:after="0" w:line="254" w:lineRule="auto"/>
        <w:tabs>
          <w:tab w:leader="none" w:pos="7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Laundering Laws</w:t>
      </w:r>
      <w:r>
        <w:rPr>
          <w:rFonts w:ascii="Arial" w:cs="Arial" w:eastAsia="Arial" w:hAnsi="Arial"/>
          <w:sz w:val="18"/>
          <w:szCs w:val="18"/>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Arial" w:cs="Arial" w:eastAsia="Arial" w:hAnsi="Arial"/>
          <w:sz w:val="18"/>
          <w:szCs w:val="18"/>
          <w:color w:val="auto"/>
        </w:rPr>
      </w:pPr>
    </w:p>
    <w:p>
      <w:pPr>
        <w:ind w:right="20" w:firstLine="436"/>
        <w:spacing w:after="0" w:line="263"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Covered Person</w:t>
      </w:r>
      <w:r>
        <w:rPr>
          <w:rFonts w:ascii="Arial" w:cs="Arial" w:eastAsia="Arial" w:hAnsi="Arial"/>
          <w:sz w:val="18"/>
          <w:szCs w:val="18"/>
          <w:color w:val="auto"/>
        </w:rPr>
        <w:t>”) that is, or is owned or controlled by one or more Covered Persons that are:</w:t>
      </w:r>
    </w:p>
    <w:p>
      <w:pPr>
        <w:spacing w:after="0" w:line="183" w:lineRule="exact"/>
        <w:rPr>
          <w:rFonts w:ascii="Arial" w:cs="Arial" w:eastAsia="Arial" w:hAnsi="Arial"/>
          <w:sz w:val="18"/>
          <w:szCs w:val="18"/>
          <w:color w:val="auto"/>
        </w:rPr>
      </w:pPr>
    </w:p>
    <w:p>
      <w:pPr>
        <w:ind w:right="160" w:firstLine="987"/>
        <w:spacing w:after="0" w:line="342" w:lineRule="auto"/>
        <w:tabs>
          <w:tab w:leader="none" w:pos="12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”),or</w:t>
      </w:r>
    </w:p>
    <w:p>
      <w:pPr>
        <w:spacing w:after="0" w:line="123" w:lineRule="exact"/>
        <w:rPr>
          <w:rFonts w:ascii="Arial" w:cs="Arial" w:eastAsia="Arial" w:hAnsi="Arial"/>
          <w:sz w:val="16"/>
          <w:szCs w:val="16"/>
          <w:color w:val="auto"/>
        </w:rPr>
      </w:pPr>
    </w:p>
    <w:p>
      <w:pPr>
        <w:ind w:right="320" w:firstLine="987"/>
        <w:spacing w:after="0" w:line="277" w:lineRule="auto"/>
        <w:tabs>
          <w:tab w:leader="none" w:pos="12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the so called Donetsk People’s Republic or the so-called Luhansk People’s Republic, Cuba, Iran, North Korea and Syria).</w:t>
      </w:r>
    </w:p>
    <w:p>
      <w:pPr>
        <w:spacing w:after="0" w:line="62" w:lineRule="exact"/>
        <w:rPr>
          <w:sz w:val="20"/>
          <w:szCs w:val="20"/>
          <w:color w:val="auto"/>
        </w:rPr>
      </w:pPr>
    </w:p>
    <w:p>
      <w:pPr>
        <w:ind w:right="40" w:firstLine="436"/>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Covered Person:</w:t>
      </w:r>
    </w:p>
    <w:p>
      <w:pPr>
        <w:spacing w:after="0" w:line="170" w:lineRule="exact"/>
        <w:rPr>
          <w:rFonts w:ascii="Arial" w:cs="Arial" w:eastAsia="Arial" w:hAnsi="Arial"/>
          <w:sz w:val="18"/>
          <w:szCs w:val="18"/>
          <w:color w:val="auto"/>
        </w:rPr>
      </w:pPr>
    </w:p>
    <w:p>
      <w:pPr>
        <w:ind w:right="400" w:firstLine="987"/>
        <w:spacing w:after="0" w:line="342" w:lineRule="auto"/>
        <w:tabs>
          <w:tab w:leader="none" w:pos="12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fund or facilitate any activities or business of or with any Covered Person or in any country or territory that, at the time of such funding or facilitation, is the subject of Sanctions, except to the extent permitted for a Covered Person required to comply with Sanctions; or</w:t>
      </w:r>
    </w:p>
    <w:p>
      <w:pPr>
        <w:spacing w:after="0" w:line="123" w:lineRule="exact"/>
        <w:rPr>
          <w:rFonts w:ascii="Arial" w:cs="Arial" w:eastAsia="Arial" w:hAnsi="Arial"/>
          <w:sz w:val="16"/>
          <w:szCs w:val="16"/>
          <w:color w:val="auto"/>
        </w:rPr>
      </w:pPr>
    </w:p>
    <w:p>
      <w:pPr>
        <w:ind w:right="120" w:firstLine="987"/>
        <w:spacing w:after="0" w:line="277" w:lineRule="auto"/>
        <w:tabs>
          <w:tab w:leader="none" w:pos="12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Covered Person (including any Covered Person participating in the offering, whether as underwriter, advisor, investor or otherwise).</w:t>
      </w:r>
    </w:p>
    <w:p>
      <w:pPr>
        <w:spacing w:after="0" w:line="62" w:lineRule="exact"/>
        <w:rPr>
          <w:rFonts w:ascii="Arial" w:cs="Arial" w:eastAsia="Arial" w:hAnsi="Arial"/>
          <w:sz w:val="18"/>
          <w:szCs w:val="18"/>
          <w:color w:val="auto"/>
        </w:rPr>
      </w:pPr>
    </w:p>
    <w:p>
      <w:pPr>
        <w:ind w:right="280" w:firstLine="436"/>
        <w:spacing w:after="0" w:line="263" w:lineRule="auto"/>
        <w:tabs>
          <w:tab w:leader="none" w:pos="7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engage in, any dealings or transactions with any Covered Person, or in any country or territory, that at the time of the dealing or transaction is or was the subject of Sanctions.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firstLine="436"/>
        <w:spacing w:after="0" w:line="285"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w:t>
      </w:r>
      <w:r>
        <w:rPr>
          <w:rFonts w:ascii="Arial" w:cs="Arial" w:eastAsia="Arial" w:hAnsi="Arial"/>
          <w:sz w:val="16"/>
          <w:szCs w:val="16"/>
          <w:i w:val="1"/>
          <w:iCs w:val="1"/>
          <w:color w:val="auto"/>
        </w:rPr>
        <w:t>.</w:t>
      </w:r>
      <w:r>
        <w:rPr>
          <w:rFonts w:ascii="Arial" w:cs="Arial" w:eastAsia="Arial" w:hAnsi="Arial"/>
          <w:sz w:val="16"/>
          <w:szCs w:val="16"/>
          <w:color w:val="auto"/>
        </w:rPr>
        <w:t xml:space="preserve"> (i)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73" w:lineRule="exact"/>
        <w:rPr>
          <w:rFonts w:ascii="Arial" w:cs="Arial" w:eastAsia="Arial" w:hAnsi="Arial"/>
          <w:sz w:val="16"/>
          <w:szCs w:val="16"/>
          <w:color w:val="auto"/>
        </w:rPr>
      </w:pPr>
    </w:p>
    <w:p>
      <w:pPr>
        <w:ind w:right="180" w:firstLine="436"/>
        <w:spacing w:after="0" w:line="254" w:lineRule="auto"/>
        <w:tabs>
          <w:tab w:leader="none" w:pos="78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Open Source Software.</w:t>
      </w:r>
      <w:r>
        <w:rPr>
          <w:rFonts w:ascii="Arial" w:cs="Arial" w:eastAsia="Arial" w:hAnsi="Arial"/>
          <w:sz w:val="18"/>
          <w:szCs w:val="18"/>
          <w:color w:val="auto"/>
        </w:rPr>
        <w:t xml:space="preserve">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91" w:lineRule="exact"/>
        <w:rPr>
          <w:rFonts w:ascii="Arial" w:cs="Arial" w:eastAsia="Arial" w:hAnsi="Arial"/>
          <w:sz w:val="18"/>
          <w:szCs w:val="18"/>
          <w:color w:val="auto"/>
        </w:rPr>
      </w:pPr>
    </w:p>
    <w:p>
      <w:pPr>
        <w:ind w:right="180" w:firstLine="436"/>
        <w:spacing w:after="0" w:line="293"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Arial" w:cs="Arial" w:eastAsia="Arial" w:hAnsi="Arial"/>
          <w:sz w:val="16"/>
          <w:szCs w:val="16"/>
          <w:b w:val="1"/>
          <w:bCs w:val="1"/>
          <w:color w:val="auto"/>
        </w:rPr>
        <w:t>Data Security Obligations</w:t>
      </w:r>
      <w:r>
        <w:rPr>
          <w:rFonts w:ascii="Arial" w:cs="Arial" w:eastAsia="Arial" w:hAnsi="Arial"/>
          <w:sz w:val="16"/>
          <w:szCs w:val="16"/>
          <w:color w:val="auto"/>
        </w:rPr>
        <w:t>”, and such data, “</w:t>
      </w:r>
      <w:r>
        <w:rPr>
          <w:rFonts w:ascii="Arial" w:cs="Arial" w:eastAsia="Arial" w:hAnsi="Arial"/>
          <w:sz w:val="16"/>
          <w:szCs w:val="16"/>
          <w:b w:val="1"/>
          <w:bCs w:val="1"/>
          <w:color w:val="auto"/>
        </w:rPr>
        <w:t>Data</w:t>
      </w:r>
      <w:r>
        <w:rPr>
          <w:rFonts w:ascii="Arial" w:cs="Arial" w:eastAsia="Arial" w:hAnsi="Arial"/>
          <w:sz w:val="16"/>
          <w:szCs w:val="16"/>
          <w:color w:val="auto"/>
        </w:rPr>
        <w:t>”);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 w:name="page19"/>
    <w:bookmarkEnd w:id="18"/>
    <w:p>
      <w:pPr>
        <w:ind w:right="140" w:firstLine="436"/>
        <w:spacing w:after="0" w:line="270" w:lineRule="auto"/>
        <w:tabs>
          <w:tab w:leader="none" w:pos="88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Cybersecurity</w:t>
      </w:r>
      <w:r>
        <w:rPr>
          <w:rFonts w:ascii="Arial" w:cs="Arial" w:eastAsia="Arial" w:hAnsi="Arial"/>
          <w:sz w:val="17"/>
          <w:szCs w:val="17"/>
          <w:color w:val="auto"/>
        </w:rPr>
        <w:t>. 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Arial" w:cs="Arial" w:eastAsia="Arial" w:hAnsi="Arial"/>
          <w:sz w:val="17"/>
          <w:szCs w:val="17"/>
          <w:b w:val="1"/>
          <w:bCs w:val="1"/>
          <w:color w:val="auto"/>
        </w:rPr>
        <w:t>Breach</w:t>
      </w:r>
      <w:r>
        <w:rPr>
          <w:rFonts w:ascii="Arial" w:cs="Arial" w:eastAsia="Arial" w:hAnsi="Arial"/>
          <w:sz w:val="17"/>
          <w:szCs w:val="17"/>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80" w:lineRule="exact"/>
        <w:rPr>
          <w:rFonts w:ascii="Arial" w:cs="Arial" w:eastAsia="Arial" w:hAnsi="Arial"/>
          <w:sz w:val="17"/>
          <w:szCs w:val="17"/>
          <w:color w:val="auto"/>
        </w:rPr>
      </w:pPr>
    </w:p>
    <w:p>
      <w:pPr>
        <w:ind w:firstLine="436"/>
        <w:spacing w:after="0" w:line="268" w:lineRule="auto"/>
        <w:tabs>
          <w:tab w:leader="none" w:pos="78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Clinical Trials and Preclinical Studies.</w:t>
      </w:r>
      <w:r>
        <w:rPr>
          <w:rFonts w:ascii="Arial" w:cs="Arial" w:eastAsia="Arial" w:hAnsi="Arial"/>
          <w:sz w:val="17"/>
          <w:szCs w:val="17"/>
          <w:color w:val="auto"/>
        </w:rPr>
        <w:t xml:space="preserve"> The preclinical studies and tests and clinical trials conducted by or on behalf of the Company that are described in the Registration Statement, the Time of Sale Information and the Prospectus (the “</w:t>
      </w:r>
      <w:r>
        <w:rPr>
          <w:rFonts w:ascii="Arial" w:cs="Arial" w:eastAsia="Arial" w:hAnsi="Arial"/>
          <w:sz w:val="17"/>
          <w:szCs w:val="17"/>
          <w:b w:val="1"/>
          <w:bCs w:val="1"/>
          <w:color w:val="auto"/>
        </w:rPr>
        <w:t>Company Studies and Trials</w:t>
      </w:r>
      <w:r>
        <w:rPr>
          <w:rFonts w:ascii="Arial" w:cs="Arial" w:eastAsia="Arial" w:hAnsi="Arial"/>
          <w:sz w:val="17"/>
          <w:szCs w:val="17"/>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the Time of Sale Information and the Prospectus are accurate in all material respects; the Company has no knowledge of any other studies or trials not described in the Registration Statement, the Time of Sale Information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81" w:lineRule="exact"/>
        <w:rPr>
          <w:rFonts w:ascii="Arial" w:cs="Arial" w:eastAsia="Arial" w:hAnsi="Arial"/>
          <w:sz w:val="17"/>
          <w:szCs w:val="17"/>
          <w:color w:val="auto"/>
        </w:rPr>
      </w:pPr>
    </w:p>
    <w:p>
      <w:pPr>
        <w:ind w:right="20" w:firstLine="436"/>
        <w:spacing w:after="0" w:line="301" w:lineRule="auto"/>
        <w:tabs>
          <w:tab w:leader="none" w:pos="78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Compliance with Healthcare Laws</w:t>
      </w:r>
      <w:r>
        <w:rPr>
          <w:rFonts w:ascii="Arial" w:cs="Arial" w:eastAsia="Arial" w:hAnsi="Arial"/>
          <w:sz w:val="16"/>
          <w:szCs w:val="16"/>
          <w:color w:val="auto"/>
        </w:rPr>
        <w:t>. Except as described in the Registration Statement, the Time of Sale Information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(21 U.S.C. § 301 et seq.), and the federal Anti-kickback Statute (42 U.S.C. § 1320a-7b(b)), the regulations promulgated pursuant to such laws, and any successor government programs, and comparable state laws (collectively, the “</w:t>
      </w:r>
      <w:r>
        <w:rPr>
          <w:rFonts w:ascii="Arial" w:cs="Arial" w:eastAsia="Arial" w:hAnsi="Arial"/>
          <w:sz w:val="16"/>
          <w:szCs w:val="16"/>
          <w:b w:val="1"/>
          <w:bCs w:val="1"/>
          <w:color w:val="auto"/>
        </w:rPr>
        <w:t>Applicable Laws</w:t>
      </w:r>
      <w:r>
        <w:rPr>
          <w:rFonts w:ascii="Arial" w:cs="Arial" w:eastAsia="Arial" w:hAnsi="Arial"/>
          <w:sz w:val="16"/>
          <w:szCs w:val="16"/>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387" w:lineRule="exact"/>
        <w:rPr>
          <w:sz w:val="20"/>
          <w:szCs w:val="20"/>
          <w:color w:val="auto"/>
        </w:rPr>
      </w:pPr>
    </w:p>
    <w:p>
      <w:pPr>
        <w:ind w:firstLine="436"/>
        <w:spacing w:after="0" w:line="290" w:lineRule="auto"/>
        <w:tabs>
          <w:tab w:leader="none" w:pos="78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FINRA Matters</w:t>
      </w:r>
      <w:r>
        <w:rPr>
          <w:rFonts w:ascii="Arial" w:cs="Arial" w:eastAsia="Arial" w:hAnsi="Arial"/>
          <w:sz w:val="16"/>
          <w:szCs w:val="16"/>
          <w:color w:val="auto"/>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the Time of Sale Information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165" w:lineRule="exact"/>
        <w:rPr>
          <w:rFonts w:ascii="Arial" w:cs="Arial" w:eastAsia="Arial" w:hAnsi="Arial"/>
          <w:sz w:val="16"/>
          <w:szCs w:val="16"/>
          <w:color w:val="auto"/>
        </w:rPr>
      </w:pPr>
    </w:p>
    <w:p>
      <w:pPr>
        <w:ind w:firstLine="436"/>
        <w:spacing w:after="0" w:line="286" w:lineRule="auto"/>
        <w:tabs>
          <w:tab w:leader="none" w:pos="78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Federal Reserve Board Supervision and Regulation</w:t>
      </w:r>
      <w:r>
        <w:rPr>
          <w:rFonts w:ascii="Arial" w:cs="Arial" w:eastAsia="Arial" w:hAnsi="Arial"/>
          <w:sz w:val="17"/>
          <w:szCs w:val="17"/>
          <w:color w:val="auto"/>
        </w:rPr>
        <w:t>. Neither the issuance, sale and delivery of the Shares nor the application of the proceeds thereof by the Company as described in the Registration Statement, the Time of Sale Information and the Prospectus will violate Regulation T, U or X of the Board of Governors of the Federal Reserve System or any other regulation of such Board of Governors.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left="-20" w:right="100" w:firstLine="436"/>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Independence</w:t>
      </w:r>
      <w:r>
        <w:rPr>
          <w:rFonts w:ascii="Arial" w:cs="Arial" w:eastAsia="Arial" w:hAnsi="Arial"/>
          <w:sz w:val="18"/>
          <w:szCs w:val="18"/>
          <w:color w:val="auto"/>
        </w:rPr>
        <w:t>. Each of the independent directors (or independent director nominees, once appointed, if applicable) named in the Registration Statement, the Time of Sale Information and Prospectus satisfies the independence standards established by the Principal Market and, with respect to members of the Company’s audit committee, the enhanced independence standards contained in Rule 10A-3(b)(1) promulgated by the Commission under the Exchange Act.</w:t>
      </w:r>
    </w:p>
    <w:p>
      <w:pPr>
        <w:spacing w:after="0" w:line="186" w:lineRule="exact"/>
        <w:rPr>
          <w:rFonts w:ascii="Arial" w:cs="Arial" w:eastAsia="Arial" w:hAnsi="Arial"/>
          <w:sz w:val="18"/>
          <w:szCs w:val="18"/>
          <w:color w:val="auto"/>
        </w:rPr>
      </w:pPr>
    </w:p>
    <w:p>
      <w:pPr>
        <w:ind w:left="-20" w:right="20" w:firstLine="436"/>
        <w:spacing w:after="0" w:line="255" w:lineRule="auto"/>
        <w:tabs>
          <w:tab w:leader="none" w:pos="72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92" w:lineRule="exact"/>
        <w:rPr>
          <w:rFonts w:ascii="Arial" w:cs="Arial" w:eastAsia="Arial" w:hAnsi="Arial"/>
          <w:sz w:val="18"/>
          <w:szCs w:val="18"/>
          <w:color w:val="auto"/>
        </w:rPr>
      </w:pPr>
    </w:p>
    <w:p>
      <w:pPr>
        <w:ind w:left="-20" w:right="20" w:firstLine="436"/>
        <w:spacing w:after="0" w:line="255"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the Time of Sale Information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92" w:lineRule="exact"/>
        <w:rPr>
          <w:rFonts w:ascii="Arial" w:cs="Arial" w:eastAsia="Arial" w:hAnsi="Arial"/>
          <w:sz w:val="18"/>
          <w:szCs w:val="18"/>
          <w:color w:val="auto"/>
        </w:rPr>
      </w:pPr>
    </w:p>
    <w:p>
      <w:pPr>
        <w:ind w:left="760" w:hanging="3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Company is not in or subject to a bankruptcy or insolvency proceeding in any jurisdiction.</w:t>
      </w:r>
    </w:p>
    <w:p>
      <w:pPr>
        <w:spacing w:after="0" w:line="225" w:lineRule="exact"/>
        <w:rPr>
          <w:rFonts w:ascii="Arial" w:cs="Arial" w:eastAsia="Arial" w:hAnsi="Arial"/>
          <w:sz w:val="18"/>
          <w:szCs w:val="18"/>
          <w:color w:val="auto"/>
        </w:rPr>
      </w:pPr>
    </w:p>
    <w:p>
      <w:pPr>
        <w:ind w:left="-20" w:firstLine="436"/>
        <w:spacing w:after="0" w:line="289" w:lineRule="auto"/>
        <w:tabs>
          <w:tab w:leader="none" w:pos="76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1" w:name="page22"/>
    <w:bookmarkEnd w:id="21"/>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16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right="80" w:firstLine="436"/>
        <w:spacing w:after="0" w:line="259"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line="289"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2" w:name="page23"/>
    <w:bookmarkEnd w:id="22"/>
    <w:p>
      <w:pPr>
        <w:ind w:left="540" w:right="20" w:hanging="532"/>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Efforts</w:t>
      </w:r>
      <w:r>
        <w:rPr>
          <w:rFonts w:ascii="Arial" w:cs="Arial" w:eastAsia="Arial" w:hAnsi="Arial"/>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97"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(B) as block transactions; or (C) by any other method permitted by law deemed to be an “at the market offering” as defined in Rule 415(a)</w:t>
      </w:r>
    </w:p>
    <w:p>
      <w:pPr>
        <w:spacing w:after="0" w:line="32" w:lineRule="exact"/>
        <w:rPr>
          <w:rFonts w:ascii="Arial" w:cs="Arial" w:eastAsia="Arial" w:hAnsi="Arial"/>
          <w:sz w:val="16"/>
          <w:szCs w:val="16"/>
          <w:color w:val="auto"/>
        </w:rPr>
      </w:pPr>
    </w:p>
    <w:p>
      <w:pPr>
        <w:ind w:left="540" w:right="20"/>
        <w:spacing w:after="0" w:line="253" w:lineRule="auto"/>
        <w:rPr>
          <w:rFonts w:ascii="Arial" w:cs="Arial" w:eastAsia="Arial" w:hAnsi="Arial"/>
          <w:sz w:val="16"/>
          <w:szCs w:val="16"/>
          <w:color w:val="auto"/>
        </w:rPr>
      </w:pPr>
      <w:r>
        <w:rPr>
          <w:rFonts w:ascii="Arial" w:cs="Arial" w:eastAsia="Arial" w:hAnsi="Arial"/>
          <w:sz w:val="18"/>
          <w:szCs w:val="18"/>
          <w:color w:val="auto"/>
        </w:rPr>
        <w:t>(4)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98" w:lineRule="exact"/>
        <w:rPr>
          <w:rFonts w:ascii="Arial" w:cs="Arial" w:eastAsia="Arial" w:hAnsi="Arial"/>
          <w:sz w:val="16"/>
          <w:szCs w:val="16"/>
          <w:color w:val="auto"/>
        </w:rPr>
      </w:pPr>
    </w:p>
    <w:p>
      <w:pPr>
        <w:jc w:val="both"/>
        <w:ind w:left="540" w:right="40" w:hanging="532"/>
        <w:spacing w:after="0" w:line="31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Confirmation to the Company</w:t>
      </w:r>
      <w:r>
        <w:rPr>
          <w:rFonts w:ascii="Arial" w:cs="Arial" w:eastAsia="Arial" w:hAnsi="Arial"/>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4"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Suspension or Termination of Sales</w:t>
      </w:r>
      <w:r>
        <w:rPr>
          <w:rFonts w:ascii="Arial" w:cs="Arial" w:eastAsia="Arial" w:hAnsi="Arial"/>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00"/>
          </w:cols>
          <w:pgMar w:left="860" w:top="274" w:right="439" w:bottom="1440" w:gutter="0" w:footer="0" w:header="0"/>
        </w:sectPr>
      </w:pPr>
    </w:p>
    <w:bookmarkStart w:id="23" w:name="page24"/>
    <w:bookmarkEnd w:id="23"/>
    <w:p>
      <w:pPr>
        <w:ind w:left="96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83" w:lineRule="exact"/>
        <w:rPr>
          <w:sz w:val="20"/>
          <w:szCs w:val="20"/>
          <w:color w:val="auto"/>
        </w:rPr>
      </w:pPr>
    </w:p>
    <w:p>
      <w:pPr>
        <w:ind w:left="940" w:right="480" w:hanging="532"/>
        <w:spacing w:after="0" w:line="259"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92" w:lineRule="exact"/>
        <w:rPr>
          <w:rFonts w:ascii="Arial" w:cs="Arial" w:eastAsia="Arial" w:hAnsi="Arial"/>
          <w:sz w:val="18"/>
          <w:szCs w:val="18"/>
          <w:color w:val="auto"/>
        </w:rPr>
      </w:pPr>
    </w:p>
    <w:p>
      <w:pPr>
        <w:ind w:left="940" w:hanging="532"/>
        <w:spacing w:after="0" w:line="263"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3" w:lineRule="exact"/>
        <w:rPr>
          <w:rFonts w:ascii="Arial" w:cs="Arial" w:eastAsia="Arial" w:hAnsi="Arial"/>
          <w:sz w:val="18"/>
          <w:szCs w:val="18"/>
          <w:color w:val="auto"/>
        </w:rPr>
      </w:pPr>
    </w:p>
    <w:p>
      <w:pPr>
        <w:jc w:val="both"/>
        <w:ind w:left="-20" w:right="60" w:firstLine="436"/>
        <w:spacing w:after="0" w:line="263" w:lineRule="auto"/>
        <w:tabs>
          <w:tab w:leader="none" w:pos="66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As compensation for services rendered, the Company shall pay to the Agent, on the applicable Settlement Date, the Selling Commission for the applicable Issuance Amount (including with respect to any suspended or terminated sale pursuant to Section 3(b)(vi) by the Agent deducting the Selling Commission from the applicable Issuance Amount.</w:t>
      </w:r>
    </w:p>
    <w:p>
      <w:pPr>
        <w:spacing w:after="0" w:line="183" w:lineRule="exact"/>
        <w:rPr>
          <w:rFonts w:ascii="Arial" w:cs="Arial" w:eastAsia="Arial" w:hAnsi="Arial"/>
          <w:sz w:val="18"/>
          <w:szCs w:val="18"/>
          <w:color w:val="auto"/>
        </w:rPr>
      </w:pPr>
    </w:p>
    <w:p>
      <w:pPr>
        <w:ind w:left="-20" w:firstLine="436"/>
        <w:spacing w:after="0" w:line="287" w:lineRule="auto"/>
        <w:tabs>
          <w:tab w:leader="none" w:pos="67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and any supplements thereto, advising the Agent of such qualifications, registrations, determinations and exemptions;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fees or disbursements of counsel 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24" w:name="page25"/>
    <w:bookmarkEnd w:id="24"/>
    <w:p>
      <w:pPr>
        <w:jc w:val="both"/>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Agent in connection with Section 3(d)(vi) shall be paid by the Agent except as set forth in the Sections 3(d)(vii) and (viii) below; (vii) the reasonable fees and disbursements of the Agent’s counsel, including the reasonable fees and expenses of counsel for the Agent in connection with FINRA review, if any, and approval of the Agent’s participation in the offering and distribution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reasonable and documented fees and associated expenses of the counsel for the Agent in connection with the Company’s filings with the FINRA shall not exceed $15,000 (excluding the FINRA filing fees referred to Section 3(d)(viii) and in addition to the fees and disbursements referred to in the last paragraph of this Section 3(d));</w:t>
      </w:r>
    </w:p>
    <w:p>
      <w:pPr>
        <w:spacing w:after="0" w:line="2" w:lineRule="exact"/>
        <w:rPr>
          <w:sz w:val="20"/>
          <w:szCs w:val="20"/>
          <w:color w:val="auto"/>
        </w:rPr>
      </w:pPr>
    </w:p>
    <w:p>
      <w:pPr>
        <w:ind w:left="4" w:right="80" w:hanging="4"/>
        <w:spacing w:after="0" w:line="268" w:lineRule="auto"/>
        <w:tabs>
          <w:tab w:leader="none" w:pos="4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which such amount is due upon the execution of this Agreement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except that to the extent any such Triggering Event Date includes a review of the Company’s Annual Report on Form 10-K, such amount shall not exceed $25,000.</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 w:right="40" w:firstLine="436"/>
        <w:spacing w:after="0" w:line="254"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in the Company’s sole discretion, (B) prepare a prospectus supplement containing, or include in such other filing permitted by the Securities Act or Exchange Act (each an “</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5" w:name="page26"/>
    <w:bookmarkEnd w:id="25"/>
    <w:p>
      <w:pPr>
        <w:ind w:firstLine="436"/>
        <w:spacing w:after="0" w:line="269" w:lineRule="auto"/>
        <w:tabs>
          <w:tab w:leader="none" w:pos="69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78" w:lineRule="exact"/>
        <w:rPr>
          <w:rFonts w:ascii="Arial" w:cs="Arial" w:eastAsia="Arial" w:hAnsi="Arial"/>
          <w:sz w:val="17"/>
          <w:szCs w:val="17"/>
          <w:color w:val="auto"/>
        </w:rPr>
      </w:pPr>
    </w:p>
    <w:p>
      <w:pPr>
        <w:ind w:right="100" w:firstLine="436"/>
        <w:spacing w:after="0" w:line="288"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 4(d) and Section 4(f).</w:t>
      </w:r>
    </w:p>
    <w:p>
      <w:pPr>
        <w:spacing w:after="0" w:line="168" w:lineRule="exact"/>
        <w:rPr>
          <w:rFonts w:ascii="Arial" w:cs="Arial" w:eastAsia="Arial" w:hAnsi="Arial"/>
          <w:sz w:val="16"/>
          <w:szCs w:val="16"/>
          <w:color w:val="auto"/>
        </w:rPr>
      </w:pPr>
    </w:p>
    <w:p>
      <w:pPr>
        <w:ind w:right="180" w:firstLine="436"/>
        <w:spacing w:after="0" w:line="273" w:lineRule="auto"/>
        <w:tabs>
          <w:tab w:leader="none" w:pos="69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77" w:lineRule="exact"/>
        <w:rPr>
          <w:rFonts w:ascii="Arial" w:cs="Arial" w:eastAsia="Arial" w:hAnsi="Arial"/>
          <w:sz w:val="17"/>
          <w:szCs w:val="17"/>
          <w:color w:val="auto"/>
        </w:rPr>
      </w:pPr>
    </w:p>
    <w:p>
      <w:pPr>
        <w:jc w:val="both"/>
        <w:ind w:right="80" w:firstLine="436"/>
        <w:spacing w:after="0" w:line="259"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ind w:firstLine="436"/>
        <w:spacing w:after="0" w:line="285" w:lineRule="auto"/>
        <w:tabs>
          <w:tab w:leader="none" w:pos="66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Writing Prospectuses</w:t>
      </w:r>
      <w:r>
        <w:rPr>
          <w:rFonts w:ascii="Arial" w:cs="Arial" w:eastAsia="Arial" w:hAnsi="Arial"/>
          <w:sz w:val="16"/>
          <w:szCs w:val="16"/>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73"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jc w:val="both"/>
        <w:ind w:right="300" w:firstLine="436"/>
        <w:spacing w:after="0" w:line="28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68" w:lineRule="exact"/>
        <w:rPr>
          <w:sz w:val="20"/>
          <w:szCs w:val="20"/>
          <w:color w:val="auto"/>
        </w:rPr>
      </w:pPr>
    </w:p>
    <w:p>
      <w:pPr>
        <w:ind w:right="40" w:firstLine="436"/>
        <w:spacing w:after="0" w:line="270"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80" w:lineRule="exact"/>
        <w:rPr>
          <w:rFonts w:ascii="Arial" w:cs="Arial" w:eastAsia="Arial" w:hAnsi="Arial"/>
          <w:sz w:val="17"/>
          <w:szCs w:val="17"/>
          <w:color w:val="auto"/>
        </w:rPr>
      </w:pPr>
    </w:p>
    <w:p>
      <w:pPr>
        <w:ind w:firstLine="436"/>
        <w:spacing w:after="0" w:line="31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right="220" w:firstLine="436"/>
        <w:spacing w:after="0" w:line="26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right="120" w:firstLine="436"/>
        <w:spacing w:after="0" w:line="259" w:lineRule="auto"/>
        <w:tabs>
          <w:tab w:leader="none" w:pos="74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28" w:name="page29"/>
    <w:bookmarkEnd w:id="28"/>
    <w:p>
      <w:pPr>
        <w:ind w:right="20" w:firstLine="436"/>
        <w:spacing w:after="0" w:line="291"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ind w:firstLine="987"/>
        <w:spacing w:after="0" w:line="311" w:lineRule="auto"/>
        <w:tabs>
          <w:tab w:leader="none" w:pos="128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ind w:right="20" w:firstLine="987"/>
        <w:spacing w:after="0" w:line="263" w:lineRule="auto"/>
        <w:tabs>
          <w:tab w:leader="none" w:pos="12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ind w:right="40" w:firstLine="987"/>
        <w:spacing w:after="0" w:line="259" w:lineRule="auto"/>
        <w:tabs>
          <w:tab w:leader="none" w:pos="12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Section 5(a)(iii) hereof, and (C) containing any other certification that the Agent shall reasonably request. The requirement to provide a certificate under this Section 4(o)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as of the date that the instructions for the sale of Shares are issued.</w:t>
      </w:r>
    </w:p>
    <w:p>
      <w:pPr>
        <w:spacing w:after="0" w:line="192" w:lineRule="exact"/>
        <w:rPr>
          <w:sz w:val="20"/>
          <w:szCs w:val="20"/>
          <w:color w:val="auto"/>
        </w:rPr>
      </w:pPr>
    </w:p>
    <w:p>
      <w:pPr>
        <w:ind w:right="40" w:firstLine="436"/>
        <w:spacing w:after="0" w:line="269"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Goodwin Procter LLP, counsel to the Company, Wilmer Cutler Pickering Hale and Dorr LLP, counsel to the Agent, White &amp; Case LLP and Wolf, Greenfield &amp; Sacks, P.C., both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5"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Subject to the foregoing, after the initial comfort letter is furnished on or prior to the date of the first Issuance Notice the Company shall be required to furnish no more than one comfort letter hereunder per calendar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20" w:right="40" w:firstLine="436"/>
        <w:spacing w:after="0" w:line="272" w:lineRule="auto"/>
        <w:tabs>
          <w:tab w:leader="none" w:pos="64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7" w:lineRule="exact"/>
        <w:rPr>
          <w:rFonts w:ascii="Arial" w:cs="Arial" w:eastAsia="Arial" w:hAnsi="Arial"/>
          <w:sz w:val="17"/>
          <w:szCs w:val="17"/>
          <w:color w:val="auto"/>
        </w:rPr>
      </w:pPr>
    </w:p>
    <w:p>
      <w:pPr>
        <w:ind w:left="-20" w:right="380" w:firstLine="436"/>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20" w:right="280" w:firstLine="436"/>
        <w:spacing w:after="0" w:line="342" w:lineRule="auto"/>
        <w:tabs>
          <w:tab w:leader="none" w:pos="63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ind w:left="-20" w:right="140" w:firstLine="436"/>
        <w:spacing w:after="0" w:line="291" w:lineRule="auto"/>
        <w:tabs>
          <w:tab w:leader="none" w:pos="67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6" w:lineRule="exact"/>
        <w:rPr>
          <w:rFonts w:ascii="Arial" w:cs="Arial" w:eastAsia="Arial" w:hAnsi="Arial"/>
          <w:sz w:val="16"/>
          <w:szCs w:val="16"/>
          <w:color w:val="auto"/>
        </w:rPr>
      </w:pPr>
    </w:p>
    <w:p>
      <w:pPr>
        <w:ind w:left="-20" w:firstLine="436"/>
        <w:spacing w:after="0" w:line="289" w:lineRule="auto"/>
        <w:tabs>
          <w:tab w:leader="none" w:pos="67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4" w:right="459" w:bottom="1440" w:gutter="0" w:footer="0" w:header="0"/>
        </w:sectPr>
      </w:pPr>
    </w:p>
    <w:bookmarkStart w:id="31" w:name="page32"/>
    <w:bookmarkEnd w:id="3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or other equity awards pursuant to any employee or director share option, incentive or benefit plan, share purchase or ownership plan, long-term incentive plan, dividend reinvestment plan, inducement award under Principal Market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modification of any outstanding options, warrants of any rights to purchase or acquire Common Shares, and (iv) Common Shares or securities convertible into or exchange for Common Shares as consideration for mergers, acquisitions, other business combinations or strategic alliances occurring after the date of this Agreement which are not issued for capital raising purposes.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right="60" w:firstLine="436"/>
        <w:spacing w:after="0" w:line="279" w:lineRule="auto"/>
        <w:tabs>
          <w:tab w:leader="none" w:pos="685"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76" w:lineRule="exact"/>
        <w:rPr>
          <w:rFonts w:ascii="Arial" w:cs="Arial" w:eastAsia="Arial" w:hAnsi="Arial"/>
          <w:sz w:val="17"/>
          <w:szCs w:val="17"/>
          <w:color w:val="auto"/>
        </w:rPr>
      </w:pPr>
    </w:p>
    <w:p>
      <w:pPr>
        <w:ind w:left="960" w:hanging="532"/>
        <w:spacing w:after="0" w:line="257"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The Company shall have delivered the certificate required to be delivered pursuant to Section 4(o) on or before the date on which delivery of such certificate is required pursuant to Section 4(o). The Company shall have performed, satisfied and complied with all covenants, agreements and conditions required by this Agreement to be performed, satisfied or complied with by the Company at or prior to such date, including, but not limited to, the covenants contained in Section 4(p), Section 4(q) and Section 4(r).</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60" w:right="140" w:hanging="532"/>
        <w:spacing w:after="0" w:line="255"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Material Adverse Effects</w:t>
      </w:r>
      <w:r>
        <w:rPr>
          <w:rFonts w:ascii="Arial" w:cs="Arial" w:eastAsia="Arial" w:hAnsi="Arial"/>
          <w:sz w:val="18"/>
          <w:szCs w:val="18"/>
          <w:color w:val="auto"/>
        </w:rPr>
        <w:t>. Except as disclosed in the Prospectus and the Time of Sale Information, (a) in the judgment of the Agent there shall not have occurred any event or series of events that would either individual or in the aggregate constitute a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2" w:name="page33"/>
    <w:bookmarkEnd w:id="32"/>
    <w:p>
      <w:pPr>
        <w:ind w:left="960" w:hanging="532"/>
        <w:spacing w:after="0" w:line="268" w:lineRule="auto"/>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either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6" w:lineRule="exact"/>
        <w:rPr>
          <w:sz w:val="20"/>
          <w:szCs w:val="20"/>
          <w:color w:val="auto"/>
        </w:rPr>
      </w:pPr>
    </w:p>
    <w:p>
      <w:pPr>
        <w:ind w:right="60" w:firstLine="436"/>
        <w:spacing w:after="0" w:line="275" w:lineRule="auto"/>
        <w:tabs>
          <w:tab w:leader="none" w:pos="69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6" w:lineRule="exact"/>
        <w:rPr>
          <w:rFonts w:ascii="Arial" w:cs="Arial" w:eastAsia="Arial" w:hAnsi="Arial"/>
          <w:sz w:val="17"/>
          <w:szCs w:val="17"/>
          <w:color w:val="auto"/>
        </w:rPr>
      </w:pPr>
    </w:p>
    <w:p>
      <w:pPr>
        <w:ind w:right="140" w:firstLine="436"/>
        <w:spacing w:after="0" w:line="259"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3" w:name="page34"/>
    <w:bookmarkEnd w:id="3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INDEMNIFICATION AND CONTRIBUTION</w:t>
      </w:r>
    </w:p>
    <w:p>
      <w:pPr>
        <w:spacing w:after="0" w:line="121" w:lineRule="exact"/>
        <w:rPr>
          <w:sz w:val="20"/>
          <w:szCs w:val="20"/>
          <w:color w:val="auto"/>
        </w:rPr>
      </w:pPr>
    </w:p>
    <w:p>
      <w:pPr>
        <w:ind w:left="4" w:right="120" w:firstLine="436"/>
        <w:spacing w:after="0" w:line="284" w:lineRule="auto"/>
        <w:tabs>
          <w:tab w:leader="none" w:pos="689"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4" w:right="20" w:hanging="4"/>
        <w:spacing w:after="0" w:line="284" w:lineRule="auto"/>
        <w:tabs>
          <w:tab w:leader="none" w:pos="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reasonable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first sentence of the ninth paragraph under the heading “Plan of Distribution” in the Prospectus.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72" w:lineRule="exact"/>
        <w:rPr>
          <w:rFonts w:ascii="Arial" w:cs="Arial" w:eastAsia="Arial" w:hAnsi="Arial"/>
          <w:sz w:val="16"/>
          <w:szCs w:val="16"/>
          <w:color w:val="auto"/>
        </w:rPr>
      </w:pPr>
    </w:p>
    <w:p>
      <w:pPr>
        <w:ind w:left="4" w:firstLine="436"/>
        <w:spacing w:after="0" w:line="254" w:lineRule="auto"/>
        <w:tabs>
          <w:tab w:leader="none" w:pos="69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of the Company, its Directors and Officers</w:t>
      </w:r>
      <w:r>
        <w:rPr>
          <w:rFonts w:ascii="Arial" w:cs="Arial" w:eastAsia="Arial" w:hAnsi="Arial"/>
          <w:sz w:val="18"/>
          <w:szCs w:val="18"/>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34" w:name="page35"/>
    <w:bookmarkEnd w:id="3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86" w:lineRule="exact"/>
        <w:rPr>
          <w:sz w:val="20"/>
          <w:szCs w:val="20"/>
          <w:color w:val="auto"/>
        </w:rPr>
      </w:pPr>
    </w:p>
    <w:p>
      <w:pPr>
        <w:ind w:right="20" w:firstLine="436"/>
        <w:spacing w:after="0" w:line="267" w:lineRule="auto"/>
        <w:tabs>
          <w:tab w:leader="none" w:pos="68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5" w:name="page36"/>
    <w:bookmarkEnd w:id="35"/>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92" w:lineRule="exact"/>
        <w:rPr>
          <w:sz w:val="20"/>
          <w:szCs w:val="20"/>
          <w:color w:val="auto"/>
        </w:rPr>
      </w:pPr>
    </w:p>
    <w:p>
      <w:pPr>
        <w:ind w:left="4" w:firstLine="436"/>
        <w:spacing w:after="0" w:line="285" w:lineRule="auto"/>
        <w:tabs>
          <w:tab w:leader="none" w:pos="69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20" w:hanging="4"/>
        <w:spacing w:after="0" w:line="270" w:lineRule="auto"/>
        <w:tabs>
          <w:tab w:leader="none" w:pos="2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settlement is entered into more than thirty (30) calendar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Arial" w:cs="Arial" w:eastAsia="Arial" w:hAnsi="Arial"/>
          <w:sz w:val="17"/>
          <w:szCs w:val="17"/>
          <w:color w:val="auto"/>
        </w:rPr>
      </w:pPr>
    </w:p>
    <w:p>
      <w:pPr>
        <w:ind w:left="4" w:right="20" w:firstLine="436"/>
        <w:spacing w:after="0" w:line="286" w:lineRule="auto"/>
        <w:tabs>
          <w:tab w:leader="none" w:pos="689"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6" w:name="page37"/>
    <w:bookmarkEnd w:id="36"/>
    <w:p>
      <w:pPr>
        <w:ind w:right="1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with respect to notice of commencement of any action shall apply if a claim for contribution is to be made under this Section 6(d);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6(d)</w:t>
      </w:r>
      <w:r>
        <w:rPr>
          <w:rFonts w:ascii="Arial" w:cs="Arial" w:eastAsia="Arial" w:hAnsi="Arial"/>
          <w:sz w:val="16"/>
          <w:szCs w:val="16"/>
          <w:color w:val="auto"/>
        </w:rPr>
        <w:t>.</w:t>
      </w:r>
    </w:p>
    <w:p>
      <w:pPr>
        <w:spacing w:after="0" w:line="124"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6(d)</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20" w:firstLine="436"/>
        <w:spacing w:after="0" w:line="277"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line="287"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w:t>
      </w:r>
    </w:p>
    <w:p>
      <w:pPr>
        <w:spacing w:after="0" w:line="2" w:lineRule="exact"/>
        <w:rPr>
          <w:rFonts w:ascii="Arial" w:cs="Arial" w:eastAsia="Arial" w:hAnsi="Arial"/>
          <w:sz w:val="16"/>
          <w:szCs w:val="16"/>
          <w:color w:val="auto"/>
        </w:rPr>
      </w:pPr>
    </w:p>
    <w:p>
      <w:pPr>
        <w:ind w:left="960" w:right="5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7" w:name="page38"/>
    <w:bookmarkEnd w:id="37"/>
    <w:p>
      <w:pPr>
        <w:ind w:left="960" w:hanging="532"/>
        <w:spacing w:after="0" w:line="25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69" w:lineRule="auto"/>
        <w:tabs>
          <w:tab w:leader="none" w:pos="68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1" w:lineRule="exact"/>
        <w:rPr>
          <w:rFonts w:ascii="Arial" w:cs="Arial" w:eastAsia="Arial" w:hAnsi="Arial"/>
          <w:sz w:val="17"/>
          <w:szCs w:val="17"/>
          <w:color w:val="auto"/>
        </w:rPr>
      </w:pPr>
    </w:p>
    <w:p>
      <w:pPr>
        <w:ind w:right="20" w:firstLine="436"/>
        <w:spacing w:after="0" w:line="289"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8" w:name="page39"/>
    <w:bookmarkEnd w:id="38"/>
    <w:p>
      <w:pPr>
        <w:ind w:firstLine="987"/>
        <w:spacing w:after="0" w:line="254" w:lineRule="auto"/>
        <w:tabs>
          <w:tab w:leader="none" w:pos="12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 World Trade 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 Greenwich Street New</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York, New York 10007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Lisa Firenze.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321 Arsenal St, Suite 101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Watertown, Massachusetts 02472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Rahul Khara, General Counsel.</w:t>
      </w:r>
    </w:p>
    <w:p>
      <w:pPr>
        <w:spacing w:after="0" w:line="103"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Massachusetts 02210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William D. Collins.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party hereto may change the address for receipt of communications by giving written notice to the others in accordance with this </w:t>
      </w:r>
      <w:r>
        <w:rPr>
          <w:rFonts w:ascii="Arial" w:cs="Arial" w:eastAsia="Arial" w:hAnsi="Arial"/>
          <w:sz w:val="16"/>
          <w:szCs w:val="16"/>
          <w:u w:val="single" w:color="auto"/>
          <w:color w:val="auto"/>
        </w:rPr>
        <w:t>Section 8(d)</w:t>
      </w:r>
      <w:r>
        <w:rPr>
          <w:rFonts w:ascii="Arial" w:cs="Arial" w:eastAsia="Arial" w:hAnsi="Arial"/>
          <w:sz w:val="16"/>
          <w:szCs w:val="16"/>
          <w:color w:val="auto"/>
        </w:rPr>
        <w:t>.</w:t>
      </w:r>
    </w:p>
    <w:p>
      <w:pPr>
        <w:spacing w:after="0" w:line="248" w:lineRule="exact"/>
        <w:rPr>
          <w:sz w:val="20"/>
          <w:szCs w:val="20"/>
          <w:color w:val="auto"/>
        </w:rPr>
      </w:pPr>
    </w:p>
    <w:p>
      <w:pPr>
        <w:jc w:val="both"/>
        <w:ind w:right="260" w:firstLine="987"/>
        <w:spacing w:after="0" w:line="259"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8"/>
          <w:szCs w:val="18"/>
          <w:u w:val="single" w:color="auto"/>
          <w:color w:val="auto"/>
        </w:rPr>
        <w:t>Section 6</w:t>
      </w:r>
      <w:r>
        <w:rPr>
          <w:rFonts w:ascii="Arial" w:cs="Arial" w:eastAsia="Arial" w:hAnsi="Arial"/>
          <w:sz w:val="18"/>
          <w:szCs w:val="18"/>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9" w:name="page40"/>
    <w:bookmarkEnd w:id="39"/>
    <w:p>
      <w:pPr>
        <w:ind w:right="220" w:firstLine="436"/>
        <w:spacing w:after="0" w:line="259" w:lineRule="auto"/>
        <w:tabs>
          <w:tab w:leader="none" w:pos="66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firstLine="436"/>
        <w:spacing w:after="0" w:line="288"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8" w:lineRule="exact"/>
        <w:rPr>
          <w:rFonts w:ascii="Arial" w:cs="Arial" w:eastAsia="Arial" w:hAnsi="Arial"/>
          <w:sz w:val="16"/>
          <w:szCs w:val="16"/>
          <w:color w:val="auto"/>
        </w:rPr>
      </w:pPr>
    </w:p>
    <w:p>
      <w:pPr>
        <w:ind w:right="20" w:firstLine="436"/>
        <w:spacing w:after="0" w:line="272"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0" w:name="page41"/>
    <w:bookmarkEnd w:id="40"/>
    <w:p>
      <w:pPr>
        <w:ind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Quisel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foregoing Agreement is hereby confirmed and accepted by the Agent in New York, New York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Donald Lynaugh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20"/>
          </w:cols>
          <w:pgMar w:left="440" w:top="274" w:right="739" w:bottom="1440" w:gutter="0" w:footer="0" w:header="0"/>
        </w:sectPr>
      </w:pPr>
    </w:p>
    <w:bookmarkStart w:id="41" w:name="page42"/>
    <w:bookmarkEnd w:id="41"/>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113"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color w:val="auto"/>
        </w:rPr>
        <w:t>Reference is made to the Open Market Sale Agreement between Disc Medicine,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October 10, 2023. The Company confirms that all conditions to the delivery of this Issuance Notice are satisfied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-10160</wp:posOffset>
            </wp:positionV>
            <wp:extent cx="1085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5215"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126365</wp:posOffset>
            </wp:positionV>
            <wp:extent cx="1513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116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116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116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220345</wp:posOffset>
            </wp:positionV>
            <wp:extent cx="16116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Comments: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-3175</wp:posOffset>
            </wp:positionV>
            <wp:extent cx="5798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8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999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40"/>
          </w:cols>
          <w:pgMar w:left="440" w:top="270" w:right="719" w:bottom="1440" w:gutter="0" w:footer="0" w:header="0"/>
        </w:sectPr>
      </w:pPr>
    </w:p>
    <w:bookmarkStart w:id="42" w:name="page43"/>
    <w:bookmarkEnd w:id="4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Notice Parties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Quisel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Joanne Bryce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Rahul Khara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Lynaugh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Brinkman</w:t>
      </w:r>
    </w:p>
    <w:p>
      <w:pPr>
        <w:sectPr>
          <w:pgSz w:w="11900" w:h="16838" w:orient="portrait"/>
          <w:cols w:equalWidth="0" w:num="1">
            <w:col w:w="10019"/>
          </w:cols>
          <w:pgMar w:left="440" w:top="27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(File No. 333-269272) (as amended or supplemented, the “Registration Statement”) filed on January 18, 2023 with the Securities and Exchange Commission (the “Commission”) pursuant to the Securities Act of 1933, as amended (the “Securities Act”), relating to the registration of the offering by Disc Medicine, Inc., a Delaware corporation (the “Company”) of up to $300,000,000 of any combination of securities of the types specified therein. Reference is made to our opinion letter dated January 17, 2023 and included as Exhibit 5.1 to the Registration Statement. We are delivering this supplemental opinion letter in connection with the prospectus supplement (the “Prospectus Supplement”) filed on October 10, 2023 by the Company with the Commission pursuant to Rule 424 under the Securities Act. The Prospectus Supplement relates to the offering by the Company of up to $59,700,000 in shares (the “Shares”) of the Company’s common stock, par value $0.0001 per share (“Common Stock”) covered by the Registration Statement. The Shares are being offered and sold by the sales agent named in, and pursuant to, the sales agreement by and between the Company and such sales agent</w:t>
      </w:r>
    </w:p>
    <w:p>
      <w:pPr>
        <w:spacing w:after="0" w:line="166"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ectPr>
          <w:pgSz w:w="11900" w:h="16838" w:orient="portrait"/>
          <w:cols w:equalWidth="0" w:num="1">
            <w:col w:w="11020"/>
          </w:cols>
          <w:pgMar w:left="440" w:top="121"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Future Approval and Issuance, will be validly issued, fully paid and nonassessable.</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Lawyer </w:t>
      </w:r>
      <w:r>
        <w:rPr>
          <w:rFonts w:ascii="Arial" w:cs="Arial" w:eastAsia="Arial" w:hAnsi="Arial"/>
          <w:sz w:val="18"/>
          <w:szCs w:val="18"/>
          <w:color w:val="auto"/>
        </w:rPr>
        <w:t>815 (Summer 2019).</w:t>
      </w:r>
    </w:p>
    <w:p>
      <w:pPr>
        <w:spacing w:after="0" w:line="170"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Exhibit 5.1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decimal"/>
      <w:start w:val="3"/>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lowerLetter"/>
      <w:start w:val="6"/>
    </w:lvl>
  </w:abstractNum>
  <w:abstractNum w:abstractNumId="6">
    <w:nsid w:val="2CA88611"/>
    <w:multiLevelType w:val="hybridMultilevel"/>
    <w:lvl w:ilvl="0">
      <w:lvlJc w:val="left"/>
      <w:lvlText w:val="(%1)"/>
      <w:numFmt w:val="lowerLetter"/>
      <w:start w:val="12"/>
    </w:lvl>
  </w:abstractNum>
  <w:abstractNum w:abstractNumId="7">
    <w:nsid w:val="836C40E"/>
    <w:multiLevelType w:val="hybridMultilevel"/>
    <w:lvl w:ilvl="0">
      <w:lvlJc w:val="left"/>
      <w:lvlText w:val="(%1)"/>
      <w:numFmt w:val="lowerLetter"/>
      <w:start w:val="15"/>
    </w:lvl>
  </w:abstractNum>
  <w:abstractNum w:abstractNumId="8">
    <w:nsid w:val="2901D82"/>
    <w:multiLevelType w:val="hybridMultilevel"/>
    <w:lvl w:ilvl="0">
      <w:lvlJc w:val="left"/>
      <w:lvlText w:val="(%1)"/>
      <w:numFmt w:val="lowerLetter"/>
      <w:start w:val="21"/>
    </w:lvl>
  </w:abstractNum>
  <w:abstractNum w:abstractNumId="9">
    <w:nsid w:val="3A95F874"/>
    <w:multiLevelType w:val="hybridMultilevel"/>
    <w:lvl w:ilvl="0">
      <w:lvlJc w:val="left"/>
      <w:lvlText w:val="(%1)"/>
      <w:numFmt w:val="lowerLetter"/>
      <w:start w:val="22"/>
    </w:lvl>
  </w:abstractNum>
  <w:abstractNum w:abstractNumId="10">
    <w:nsid w:val="8138641"/>
    <w:multiLevelType w:val="hybridMultilevel"/>
    <w:lvl w:ilvl="0">
      <w:lvlJc w:val="left"/>
      <w:lvlText w:val="(%1)"/>
      <w:numFmt w:val="lowerLetter"/>
      <w:start w:val="27"/>
    </w:lvl>
  </w:abstractNum>
  <w:abstractNum w:abstractNumId="11">
    <w:nsid w:val="1E7FF521"/>
    <w:multiLevelType w:val="hybridMultilevel"/>
    <w:lvl w:ilvl="0">
      <w:lvlJc w:val="left"/>
      <w:lvlText w:val="(%1)"/>
      <w:numFmt w:val="lowerLetter"/>
      <w:start w:val="28"/>
    </w:lvl>
  </w:abstractNum>
  <w:abstractNum w:abstractNumId="12">
    <w:nsid w:val="7C3DBD3D"/>
    <w:multiLevelType w:val="hybridMultilevel"/>
    <w:lvl w:ilvl="0">
      <w:lvlJc w:val="left"/>
      <w:lvlText w:val="(%1)"/>
      <w:numFmt w:val="lowerLetter"/>
      <w:start w:val="32"/>
    </w:lvl>
  </w:abstractNum>
  <w:abstractNum w:abstractNumId="13">
    <w:nsid w:val="737B8DDC"/>
    <w:multiLevelType w:val="hybridMultilevel"/>
    <w:lvl w:ilvl="0">
      <w:lvlJc w:val="left"/>
      <w:lvlText w:val="(%1)"/>
      <w:numFmt w:val="lowerLetter"/>
      <w:start w:val="34"/>
    </w:lvl>
    <w:lvl w:ilvl="1">
      <w:lvlJc w:val="left"/>
      <w:lvlText w:val="(%2)"/>
      <w:numFmt w:val="upperLetter"/>
      <w:start w:val="1"/>
    </w:lvl>
  </w:abstractNum>
  <w:abstractNum w:abstractNumId="14">
    <w:nsid w:val="6CEAF087"/>
    <w:multiLevelType w:val="hybridMultilevel"/>
    <w:lvl w:ilvl="0">
      <w:lvlJc w:val="left"/>
      <w:lvlText w:val="(%1)"/>
      <w:numFmt w:val="lowerRoman"/>
      <w:start w:val="2"/>
    </w:lvl>
    <w:lvl w:ilvl="1">
      <w:lvlJc w:val="left"/>
      <w:lvlText w:val="(%2)"/>
      <w:numFmt w:val="upperLetter"/>
      <w:start w:val="1"/>
    </w:lvl>
  </w:abstractNum>
  <w:abstractNum w:abstractNumId="15">
    <w:nsid w:val="22221A70"/>
    <w:multiLevelType w:val="hybridMultilevel"/>
    <w:lvl w:ilvl="0">
      <w:lvlJc w:val="left"/>
      <w:lvlText w:val="(%1)"/>
      <w:numFmt w:val="lowerLetter"/>
      <w:start w:val="36"/>
    </w:lvl>
  </w:abstractNum>
  <w:abstractNum w:abstractNumId="16">
    <w:nsid w:val="4516DDE9"/>
    <w:multiLevelType w:val="hybridMultilevel"/>
    <w:lvl w:ilvl="0">
      <w:lvlJc w:val="left"/>
      <w:lvlText w:val="(%1)"/>
      <w:numFmt w:val="lowerLetter"/>
      <w:start w:val="39"/>
    </w:lvl>
  </w:abstractNum>
  <w:abstractNum w:abstractNumId="17">
    <w:nsid w:val="3006C83E"/>
    <w:multiLevelType w:val="hybridMultilevel"/>
    <w:lvl w:ilvl="0">
      <w:lvlJc w:val="left"/>
      <w:lvlText w:val="(%1)"/>
      <w:numFmt w:val="lowerLetter"/>
      <w:start w:val="42"/>
    </w:lvl>
  </w:abstractNum>
  <w:abstractNum w:abstractNumId="18">
    <w:nsid w:val="614FD4A1"/>
    <w:multiLevelType w:val="hybridMultilevel"/>
    <w:lvl w:ilvl="0">
      <w:lvlJc w:val="left"/>
      <w:lvlText w:val="(%1)"/>
      <w:numFmt w:val="lowerLetter"/>
      <w:start w:val="44"/>
    </w:lvl>
  </w:abstractNum>
  <w:abstractNum w:abstractNumId="19">
    <w:nsid w:val="419AC241"/>
    <w:multiLevelType w:val="hybridMultilevel"/>
    <w:lvl w:ilvl="0">
      <w:lvlJc w:val="left"/>
      <w:lvlText w:val="(%1)"/>
      <w:numFmt w:val="lowerLetter"/>
      <w:start w:val="1"/>
    </w:lvl>
    <w:lvl w:ilvl="1">
      <w:lvlJc w:val="left"/>
      <w:lvlText w:val="%2"/>
      <w:numFmt w:val="lowerLetter"/>
      <w:start w:val="1"/>
    </w:lvl>
  </w:abstractNum>
  <w:abstractNum w:abstractNumId="20">
    <w:nsid w:val="5577F8E1"/>
    <w:multiLevelType w:val="hybridMultilevel"/>
    <w:lvl w:ilvl="0">
      <w:lvlJc w:val="left"/>
      <w:lvlText w:val="(%1)"/>
      <w:numFmt w:val="lowerLetter"/>
      <w:start w:val="9"/>
    </w:lvl>
    <w:lvl w:ilvl="1">
      <w:lvlJc w:val="left"/>
      <w:lvlText w:val="%2"/>
      <w:numFmt w:val="lowerLetter"/>
      <w:start w:val="1"/>
    </w:lvl>
  </w:abstractNum>
  <w:abstractNum w:abstractNumId="21">
    <w:nsid w:val="440BADFC"/>
    <w:multiLevelType w:val="hybridMultilevel"/>
    <w:lvl w:ilvl="0">
      <w:lvlJc w:val="left"/>
      <w:lvlText w:val="(%1)"/>
      <w:numFmt w:val="lowerRoman"/>
      <w:start w:val="2"/>
    </w:lvl>
  </w:abstractNum>
  <w:abstractNum w:abstractNumId="22">
    <w:nsid w:val="5072367"/>
    <w:multiLevelType w:val="hybridMultilevel"/>
    <w:lvl w:ilvl="0">
      <w:lvlJc w:val="left"/>
      <w:lvlText w:val="(%1)"/>
      <w:numFmt w:val="lowerRoman"/>
      <w:start w:val="7"/>
    </w:lvl>
    <w:lvl w:ilvl="1">
      <w:lvlJc w:val="left"/>
      <w:lvlText w:val="(%2)"/>
      <w:numFmt w:val="lowerLetter"/>
      <w:start w:val="3"/>
    </w:lvl>
  </w:abstractNum>
  <w:abstractNum w:abstractNumId="23">
    <w:nsid w:val="3804823E"/>
    <w:multiLevelType w:val="hybridMultilevel"/>
    <w:lvl w:ilvl="0">
      <w:lvlJc w:val="left"/>
      <w:lvlText w:val="(%1)"/>
      <w:numFmt w:val="lowerRoman"/>
      <w:start w:val="8"/>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2"/>
    </w:lvl>
  </w:abstractNum>
  <w:abstractNum w:abstractNumId="26">
    <w:nsid w:val="5C482A97"/>
    <w:multiLevelType w:val="hybridMultilevel"/>
    <w:lvl w:ilvl="0">
      <w:lvlJc w:val="left"/>
      <w:lvlText w:val="(%1)"/>
      <w:numFmt w:val="lowerLetter"/>
      <w:start w:val="6"/>
    </w:lvl>
  </w:abstractNum>
  <w:abstractNum w:abstractNumId="27">
    <w:nsid w:val="2463B9EA"/>
    <w:multiLevelType w:val="hybridMultilevel"/>
    <w:lvl w:ilvl="0">
      <w:lvlJc w:val="left"/>
      <w:lvlText w:val="(%1)"/>
      <w:numFmt w:val="lowerLetter"/>
      <w:start w:val="9"/>
    </w:lvl>
  </w:abstractNum>
  <w:abstractNum w:abstractNumId="28">
    <w:nsid w:val="5E884ADC"/>
    <w:multiLevelType w:val="hybridMultilevel"/>
    <w:lvl w:ilvl="0">
      <w:lvlJc w:val="left"/>
      <w:lvlText w:val="(%1)"/>
      <w:numFmt w:val="lowerLetter"/>
      <w:start w:val="14"/>
    </w:lvl>
    <w:lvl w:ilvl="1">
      <w:lvlJc w:val="left"/>
      <w:lvlText w:val="(%2)"/>
      <w:numFmt w:val="upperLetter"/>
      <w:start w:val="1"/>
    </w:lvl>
  </w:abstractNum>
  <w:abstractNum w:abstractNumId="29">
    <w:nsid w:val="51EAD36B"/>
    <w:multiLevelType w:val="hybridMultilevel"/>
    <w:lvl w:ilvl="0">
      <w:lvlJc w:val="left"/>
      <w:lvlText w:val="(%1)"/>
      <w:numFmt w:val="lowerLetter"/>
      <w:start w:val="16"/>
    </w:lvl>
  </w:abstractNum>
  <w:abstractNum w:abstractNumId="30">
    <w:nsid w:val="2D517796"/>
    <w:multiLevelType w:val="hybridMultilevel"/>
    <w:lvl w:ilvl="0">
      <w:lvlJc w:val="left"/>
      <w:lvlText w:val="(%1)"/>
      <w:numFmt w:val="lowerLetter"/>
      <w:start w:val="18"/>
    </w:lvl>
  </w:abstractNum>
  <w:abstractNum w:abstractNumId="31">
    <w:nsid w:val="580BD78F"/>
    <w:multiLevelType w:val="hybridMultilevel"/>
    <w:lvl w:ilvl="0">
      <w:lvlJc w:val="left"/>
      <w:lvlText w:val="%1"/>
      <w:numFmt w:val="lowerRoman"/>
      <w:start w:val="1"/>
    </w:lvl>
    <w:lvl w:ilvl="1">
      <w:lvlJc w:val="left"/>
      <w:lvlText w:val="(%2)"/>
      <w:numFmt w:val="lowerLetter"/>
      <w:start w:val="1"/>
    </w:lvl>
  </w:abstractNum>
  <w:abstractNum w:abstractNumId="32">
    <w:nsid w:val="153EA438"/>
    <w:multiLevelType w:val="hybridMultilevel"/>
    <w:lvl w:ilvl="0">
      <w:lvlJc w:val="left"/>
      <w:lvlText w:val="%1"/>
      <w:numFmt w:val="lowerRoman"/>
      <w:start w:val="1"/>
    </w:lvl>
    <w:lvl w:ilvl="1">
      <w:lvlJc w:val="left"/>
      <w:lvlText w:val="(%2)"/>
      <w:numFmt w:val="lowerLetter"/>
      <w:start w:val="9"/>
    </w:lvl>
  </w:abstractNum>
  <w:abstractNum w:abstractNumId="33">
    <w:nsid w:val="3855585C"/>
    <w:multiLevelType w:val="hybridMultilevel"/>
    <w:lvl w:ilvl="0">
      <w:lvlJc w:val="left"/>
      <w:lvlText w:val="%1"/>
      <w:numFmt w:val="lowerRoman"/>
      <w:start w:val="1"/>
    </w:lvl>
    <w:lvl w:ilvl="1">
      <w:lvlJc w:val="left"/>
      <w:lvlText w:val="(%2)"/>
      <w:numFmt w:val="lowerLetter"/>
      <w:start w:val="35"/>
    </w:lvl>
  </w:abstractNum>
  <w:abstractNum w:abstractNumId="34">
    <w:nsid w:val="70A64E2A"/>
    <w:multiLevelType w:val="hybridMultilevel"/>
    <w:lvl w:ilvl="0">
      <w:lvlJc w:val="left"/>
      <w:lvlText w:val="%1"/>
      <w:numFmt w:val="lowerRoman"/>
      <w:start w:val="1"/>
    </w:lvl>
    <w:lvl w:ilvl="1">
      <w:lvlJc w:val="left"/>
      <w:lvlText w:val="(%2)"/>
      <w:numFmt w:val="lowerLetter"/>
      <w:start w:val="61"/>
    </w:lvl>
  </w:abstractNum>
  <w:abstractNum w:abstractNumId="35">
    <w:nsid w:val="6A2342EC"/>
    <w:multiLevelType w:val="hybridMultilevel"/>
    <w:lvl w:ilvl="0">
      <w:lvlJc w:val="left"/>
      <w:lvlText w:val="(%1)"/>
      <w:numFmt w:val="lowerRoman"/>
      <w:start w:val="4"/>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Letter"/>
      <w:start w:val="1"/>
    </w:lvl>
    <w:lvl w:ilvl="1">
      <w:lvlJc w:val="left"/>
      <w:lvlText w:val="(%2)"/>
      <w:numFmt w:val="lowerLetter"/>
      <w:start w:val="1"/>
    </w:lvl>
  </w:abstractNum>
  <w:abstractNum w:abstractNumId="38">
    <w:nsid w:val="725A06FB"/>
    <w:multiLevelType w:val="hybridMultilevel"/>
    <w:lvl w:ilvl="0">
      <w:lvlJc w:val="left"/>
      <w:lvlText w:val="(%1)"/>
      <w:numFmt w:val="lowerLetter"/>
      <w:start w:val="35"/>
    </w:lvl>
    <w:lvl w:ilvl="1">
      <w:lvlJc w:val="left"/>
      <w:lvlText w:val="(%2)"/>
      <w:numFmt w:val="lowerLetter"/>
      <w:start w:val="2"/>
    </w:lvl>
  </w:abstractNum>
  <w:abstractNum w:abstractNumId="39">
    <w:nsid w:val="2CD89A32"/>
    <w:multiLevelType w:val="hybridMultilevel"/>
    <w:lvl w:ilvl="0">
      <w:lvlJc w:val="left"/>
      <w:lvlText w:val="(%1)"/>
      <w:numFmt w:val="lowerLetter"/>
      <w:start w:val="3"/>
    </w:lvl>
  </w:abstractNum>
  <w:abstractNum w:abstractNumId="40">
    <w:nsid w:val="57E4CCAF"/>
    <w:multiLevelType w:val="hybridMultilevel"/>
    <w:lvl w:ilvl="0">
      <w:lvlJc w:val="left"/>
      <w:lvlText w:val="%1"/>
      <w:numFmt w:val="lowerLetter"/>
      <w:start w:val="1"/>
    </w:lvl>
    <w:lvl w:ilvl="1">
      <w:lvlJc w:val="left"/>
      <w:lvlText w:val="(%2)"/>
      <w:numFmt w:val="lowerLetter"/>
      <w:start w:val="4"/>
    </w:lvl>
  </w:abstractNum>
  <w:abstractNum w:abstractNumId="41">
    <w:nsid w:val="7A6D8D3C"/>
    <w:multiLevelType w:val="hybridMultilevel"/>
    <w:lvl w:ilvl="0">
      <w:lvlJc w:val="left"/>
      <w:lvlText w:val="(%1)"/>
      <w:numFmt w:val="lowerLetter"/>
      <w:start w:val="9"/>
    </w:lvl>
    <w:lvl w:ilvl="1">
      <w:lvlJc w:val="left"/>
      <w:lvlText w:val="(%2)"/>
      <w:numFmt w:val="lowerLetter"/>
      <w:start w:val="5"/>
    </w:lvl>
  </w:abstractNum>
  <w:abstractNum w:abstractNumId="42">
    <w:nsid w:val="4B588F54"/>
    <w:multiLevelType w:val="hybridMultilevel"/>
    <w:lvl w:ilvl="0">
      <w:lvlJc w:val="left"/>
      <w:lvlText w:val="(%1)"/>
      <w:numFmt w:val="lowerLetter"/>
      <w:start w:val="1"/>
    </w:lvl>
    <w:lvl w:ilvl="1">
      <w:lvlJc w:val="left"/>
      <w:lvlText w:val="%2"/>
      <w:numFmt w:val="lowerLetter"/>
      <w:start w:val="1"/>
    </w:lvl>
  </w:abstractNum>
  <w:abstractNum w:abstractNumId="43">
    <w:nsid w:val="542289EC"/>
    <w:multiLevelType w:val="hybridMultilevel"/>
    <w:lvl w:ilvl="0">
      <w:lvlJc w:val="left"/>
      <w:lvlText w:val="(%1)"/>
      <w:numFmt w:val="lowerLetter"/>
      <w:start w:val="9"/>
    </w:lvl>
    <w:lvl w:ilvl="1">
      <w:lvlJc w:val="left"/>
      <w:lvlText w:val="%2"/>
      <w:numFmt w:val="lowerLetter"/>
      <w:start w:val="1"/>
    </w:lvl>
  </w:abstractNum>
  <w:abstractNum w:abstractNumId="44">
    <w:nsid w:val="6DE91B18"/>
    <w:multiLevelType w:val="hybridMultilevel"/>
    <w:lvl w:ilvl="0">
      <w:lvlJc w:val="left"/>
      <w:lvlText w:val="(%1)"/>
      <w:numFmt w:val="lowerRoman"/>
      <w:start w:val="2"/>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3"/>
    </w:lvl>
  </w:abstractNum>
  <w:abstractNum w:abstractNumId="47">
    <w:nsid w:val="32FFF902"/>
    <w:multiLevelType w:val="hybridMultilevel"/>
    <w:lvl w:ilvl="0">
      <w:lvlJc w:val="left"/>
      <w:lvlText w:val="(%1)"/>
      <w:numFmt w:val="lowerLetter"/>
      <w:start w:val="5"/>
    </w:lvl>
  </w:abstractNum>
  <w:abstractNum w:abstractNumId="48">
    <w:nsid w:val="684A481A"/>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2023-10-10T15:50:21Z</dcterms:created>
  <dcterms:modified xsi:type="dcterms:W3CDTF">2023-10-10T15:50:21Z</dcterms:modified>
</cp:coreProperties>
</file>