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8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333-281359</w:t>
            </w:r>
          </w:p>
        </w:tc>
        <w:tc>
          <w:tcPr>
            <w:tcW w:w="0" w:type="dxa"/>
            <w:vAlign w:val="bottom"/>
          </w:tcPr>
          <w:p>
            <w:pPr>
              <w:spacing w:after="0"/>
              <w:rPr>
                <w:sz w:val="1"/>
                <w:szCs w:val="1"/>
                <w:color w:val="auto"/>
              </w:rPr>
            </w:pPr>
          </w:p>
        </w:tc>
      </w:tr>
      <w:tr>
        <w:trPr>
          <w:trHeight w:val="513"/>
        </w:trPr>
        <w:tc>
          <w:tcPr>
            <w:tcW w:w="840" w:type="dxa"/>
            <w:vAlign w:val="bottom"/>
            <w:vMerge w:val="restart"/>
            <w:textDirection w:val="btLr"/>
          </w:tcPr>
          <w:p>
            <w:pPr>
              <w:ind w:left="753"/>
              <w:spacing w:after="0"/>
              <w:rPr>
                <w:sz w:val="20"/>
                <w:szCs w:val="20"/>
                <w:color w:val="auto"/>
              </w:rPr>
            </w:pPr>
            <w:r>
              <w:rPr>
                <w:rFonts w:ascii="Times New Roman" w:cs="Times New Roman" w:eastAsia="Times New Roman" w:hAnsi="Times New Roman"/>
                <w:sz w:val="1"/>
                <w:szCs w:val="1"/>
                <w:b w:val="1"/>
                <w:bCs w:val="1"/>
                <w:color w:val="FF4338"/>
                <w:w w:val="35"/>
              </w:rPr>
              <w:t>Theinformationinthispreliminaryprospectussupplementisnotcompleteandmaybechanged.AregistrationstatementrelatingtothesesecuritieshasbeenfiledwiththeSecuritiesandExchangeCommissionandiseffective.Thispreliminaryprospectussupplementandtheaccompanyingprospectusarenotanoffertosellthesesecuritiesandtheyarenotsolicitinganoffertobuythesesecuritiesinanyjurisdictionwheretheofferorsaleisnotpermitted.</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0" w:type="dxa"/>
            <w:vAlign w:val="bottom"/>
            <w:gridSpan w:val="8"/>
          </w:tcPr>
          <w:p>
            <w:pPr>
              <w:jc w:val="center"/>
              <w:ind w:left="940"/>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JANUARY 21, 2025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40" w:type="dxa"/>
            <w:vAlign w:val="bottom"/>
            <w:vMerge w:val="continue"/>
          </w:tcPr>
          <w:p>
            <w:pPr>
              <w:spacing w:after="0"/>
              <w:rPr>
                <w:sz w:val="9"/>
                <w:szCs w:val="9"/>
                <w:color w:val="auto"/>
              </w:rPr>
            </w:pPr>
          </w:p>
        </w:tc>
        <w:tc>
          <w:tcPr>
            <w:tcW w:w="7260" w:type="dxa"/>
            <w:vAlign w:val="bottom"/>
            <w:gridSpan w:val="10"/>
          </w:tcPr>
          <w:p>
            <w:pPr>
              <w:ind w:left="140"/>
              <w:spacing w:after="0" w:line="110" w:lineRule="exact"/>
              <w:rPr>
                <w:sz w:val="20"/>
                <w:szCs w:val="20"/>
                <w:color w:val="auto"/>
              </w:rPr>
            </w:pPr>
            <w:r>
              <w:rPr>
                <w:rFonts w:ascii="Times New Roman" w:cs="Times New Roman" w:eastAsia="Times New Roman" w:hAnsi="Times New Roman"/>
                <w:sz w:val="12"/>
                <w:szCs w:val="12"/>
                <w:color w:val="auto"/>
              </w:rPr>
              <w:t>common stock at the public offering price, less the underwriting discounts and commissions.</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82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PROSPECTUS SUPPLEMENT</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 prospectus dated August 8, 2024)</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8"/>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940" w:type="dxa"/>
            <w:vAlign w:val="bottom"/>
            <w:gridSpan w:val="3"/>
          </w:tcPr>
          <w:p>
            <w:pPr>
              <w:jc w:val="center"/>
              <w:spacing w:after="0"/>
              <w:rPr>
                <w:sz w:val="20"/>
                <w:szCs w:val="20"/>
                <w:color w:val="auto"/>
              </w:rPr>
            </w:pPr>
            <w:r>
              <w:rPr>
                <w:rFonts w:ascii="Times New Roman" w:cs="Times New Roman" w:eastAsia="Times New Roman" w:hAnsi="Times New Roman"/>
                <w:sz w:val="32"/>
                <w:szCs w:val="32"/>
                <w:b w:val="1"/>
                <w:bCs w:val="1"/>
                <w:color w:val="auto"/>
              </w:rPr>
              <w:t>$200,000,000</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2"/>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0" w:type="dxa"/>
            <w:vAlign w:val="bottom"/>
            <w:gridSpan w:val="8"/>
          </w:tcPr>
          <w:p>
            <w:pPr>
              <w:jc w:val="center"/>
              <w:ind w:left="940"/>
              <w:spacing w:after="0"/>
              <w:rPr>
                <w:sz w:val="20"/>
                <w:szCs w:val="20"/>
                <w:color w:val="auto"/>
              </w:rPr>
            </w:pPr>
            <w:r>
              <w:rPr>
                <w:rFonts w:ascii="Times New Roman" w:cs="Times New Roman" w:eastAsia="Times New Roman" w:hAnsi="Times New Roman"/>
                <w:sz w:val="25"/>
                <w:szCs w:val="25"/>
                <w:b w:val="1"/>
                <w:bCs w:val="1"/>
                <w:color w:val="auto"/>
              </w:rPr>
              <w:t>Shares of Common Stock</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40" w:type="dxa"/>
            <w:vAlign w:val="bottom"/>
            <w:gridSpan w:val="12"/>
          </w:tcPr>
          <w:p>
            <w:pPr>
              <w:jc w:val="center"/>
              <w:ind w:right="2000"/>
              <w:spacing w:after="0"/>
              <w:rPr>
                <w:sz w:val="20"/>
                <w:szCs w:val="20"/>
                <w:color w:val="auto"/>
              </w:rPr>
            </w:pPr>
            <w:r>
              <w:rPr>
                <w:rFonts w:ascii="Times New Roman" w:cs="Times New Roman" w:eastAsia="Times New Roman" w:hAnsi="Times New Roman"/>
                <w:sz w:val="25"/>
                <w:szCs w:val="25"/>
                <w:b w:val="1"/>
                <w:bCs w:val="1"/>
                <w:color w:val="auto"/>
              </w:rPr>
              <w:t>Pre-Funded Warrants to Purchase Shares of Common Stock</w:t>
            </w:r>
          </w:p>
        </w:tc>
        <w:tc>
          <w:tcPr>
            <w:tcW w:w="0" w:type="dxa"/>
            <w:vAlign w:val="bottom"/>
          </w:tcPr>
          <w:p>
            <w:pPr>
              <w:spacing w:after="0"/>
              <w:rPr>
                <w:sz w:val="1"/>
                <w:szCs w:val="1"/>
                <w:color w:val="auto"/>
              </w:rPr>
            </w:pPr>
          </w:p>
        </w:tc>
      </w:tr>
      <w:tr>
        <w:trPr>
          <w:trHeight w:val="356"/>
        </w:trPr>
        <w:tc>
          <w:tcPr>
            <w:tcW w:w="84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25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40" w:type="dxa"/>
            <w:vAlign w:val="bottom"/>
          </w:tcPr>
          <w:p>
            <w:pPr>
              <w:spacing w:after="0"/>
              <w:rPr>
                <w:sz w:val="24"/>
                <w:szCs w:val="24"/>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We are offering            shares of our common stock and, in lieu of common stock to certain investors that so choose,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pre-funded warrants to purchase            shares of common stock in this offering. Our common stock is listed on the Nasdaq</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Global Market under the symbol “IRON.” On January 21, 2025, the closing sale price of our common stock on the Nasdaq</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Global Market, was $60.52 per share.</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0" w:type="dxa"/>
            <w:vAlign w:val="bottom"/>
          </w:tcPr>
          <w:p>
            <w:pPr>
              <w:spacing w:after="0"/>
              <w:rPr>
                <w:sz w:val="24"/>
                <w:szCs w:val="24"/>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The purchase price of each pre-funded warrant will equal the price per share at which shares of our common stock are being sold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to the public in this offering, minus $0.0001, which is the exercise price of each pre-funded warrant. The pre-funded warrants do</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not expire, and each pre-funded warrant will be exercisable at any time after the date of issuance, subject to an ownership</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limitation and in some cases clearance under the Hart-Scott-Rodino Antitrust Improvements Act of 1976, as amended, or the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HSR Act. This prospectus supplement also relates to the offering of the shares of common stock issuable upon exercise of such</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pre-funded warrants.</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0" w:type="dxa"/>
            <w:vAlign w:val="bottom"/>
          </w:tcPr>
          <w:p>
            <w:pPr>
              <w:spacing w:after="0"/>
              <w:rPr>
                <w:sz w:val="24"/>
                <w:szCs w:val="24"/>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18"/>
                <w:szCs w:val="18"/>
                <w:color w:val="auto"/>
              </w:rPr>
              <w:t>intend to list the pre-funded warrants on the Nasdaq Global Market or any other national securities exchange or nationally</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recognized trading system.</w:t>
            </w: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4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25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4"/>
                <w:szCs w:val="24"/>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Please read “</w:t>
            </w:r>
            <w:r>
              <w:rPr>
                <w:rFonts w:ascii="Times New Roman" w:cs="Times New Roman" w:eastAsia="Times New Roman" w:hAnsi="Times New Roman"/>
                <w:sz w:val="22"/>
                <w:szCs w:val="22"/>
                <w:b w:val="1"/>
                <w:bCs w:val="1"/>
                <w:color w:val="0000EE"/>
              </w:rPr>
              <w:t>Risk Factors</w:t>
            </w:r>
            <w:r>
              <w:rPr>
                <w:rFonts w:ascii="Times New Roman" w:cs="Times New Roman" w:eastAsia="Times New Roman" w:hAnsi="Times New Roman"/>
                <w:sz w:val="22"/>
                <w:szCs w:val="22"/>
                <w:b w:val="1"/>
                <w:bCs w:val="1"/>
                <w:color w:val="auto"/>
              </w:rPr>
              <w:t>” beginning on</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560" w:type="dxa"/>
            <w:vAlign w:val="bottom"/>
            <w:gridSpan w:val="8"/>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page S-6 of this prospectus supplement, page 1 in the accompanying</w:t>
            </w:r>
          </w:p>
        </w:tc>
        <w:tc>
          <w:tcPr>
            <w:tcW w:w="1180" w:type="dxa"/>
            <w:vAlign w:val="bottom"/>
            <w:gridSpan w:val="4"/>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40" w:type="dxa"/>
            <w:vAlign w:val="bottom"/>
          </w:tcPr>
          <w:p>
            <w:pPr>
              <w:spacing w:after="0"/>
              <w:rPr>
                <w:sz w:val="20"/>
                <w:szCs w:val="20"/>
                <w:color w:val="auto"/>
              </w:rPr>
            </w:pPr>
          </w:p>
        </w:tc>
        <w:tc>
          <w:tcPr>
            <w:tcW w:w="6560" w:type="dxa"/>
            <w:vAlign w:val="bottom"/>
            <w:gridSpan w:val="8"/>
            <w:vMerge w:val="continue"/>
          </w:tcPr>
          <w:p>
            <w:pPr>
              <w:spacing w:after="0"/>
              <w:rPr>
                <w:sz w:val="20"/>
                <w:szCs w:val="20"/>
                <w:color w:val="auto"/>
              </w:rPr>
            </w:pPr>
          </w:p>
        </w:tc>
        <w:tc>
          <w:tcPr>
            <w:tcW w:w="3740" w:type="dxa"/>
            <w:vAlign w:val="bottom"/>
            <w:gridSpan w:val="6"/>
          </w:tcPr>
          <w:p>
            <w:pPr>
              <w:jc w:val="right"/>
              <w:ind w:right="1100"/>
              <w:spacing w:after="0" w:line="232" w:lineRule="exact"/>
              <w:rPr>
                <w:sz w:val="20"/>
                <w:szCs w:val="20"/>
                <w:color w:val="auto"/>
              </w:rPr>
            </w:pPr>
            <w:r>
              <w:rPr>
                <w:rFonts w:ascii="Times New Roman" w:cs="Times New Roman" w:eastAsia="Times New Roman" w:hAnsi="Times New Roman"/>
                <w:sz w:val="22"/>
                <w:szCs w:val="22"/>
                <w:b w:val="1"/>
                <w:bCs w:val="1"/>
                <w:color w:val="auto"/>
                <w:w w:val="93"/>
              </w:rPr>
              <w:t>prospectus, and under similar</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10300" w:type="dxa"/>
            <w:vAlign w:val="bottom"/>
            <w:gridSpan w:val="14"/>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headings in the documents that are incorporated by reference into this prospectus supplement</w:t>
            </w:r>
          </w:p>
        </w:tc>
        <w:tc>
          <w:tcPr>
            <w:tcW w:w="0" w:type="dxa"/>
            <w:vAlign w:val="bottom"/>
          </w:tcPr>
          <w:p>
            <w:pPr>
              <w:spacing w:after="0"/>
              <w:rPr>
                <w:sz w:val="1"/>
                <w:szCs w:val="1"/>
                <w:color w:val="auto"/>
              </w:rPr>
            </w:pPr>
          </w:p>
        </w:tc>
      </w:tr>
      <w:tr>
        <w:trPr>
          <w:trHeight w:val="286"/>
        </w:trPr>
        <w:tc>
          <w:tcPr>
            <w:tcW w:w="840" w:type="dxa"/>
            <w:vAlign w:val="bottom"/>
          </w:tcPr>
          <w:p>
            <w:pPr>
              <w:spacing w:after="0"/>
              <w:rPr>
                <w:sz w:val="24"/>
                <w:szCs w:val="24"/>
                <w:color w:val="auto"/>
              </w:rPr>
            </w:pPr>
          </w:p>
        </w:tc>
        <w:tc>
          <w:tcPr>
            <w:tcW w:w="10300" w:type="dxa"/>
            <w:vAlign w:val="bottom"/>
            <w:gridSpan w:val="14"/>
          </w:tcPr>
          <w:p>
            <w:pPr>
              <w:ind w:left="140"/>
              <w:spacing w:after="0"/>
              <w:rPr>
                <w:sz w:val="20"/>
                <w:szCs w:val="20"/>
                <w:color w:val="auto"/>
              </w:rPr>
            </w:pPr>
            <w:r>
              <w:rPr>
                <w:rFonts w:ascii="Times New Roman" w:cs="Times New Roman" w:eastAsia="Times New Roman" w:hAnsi="Times New Roman"/>
                <w:sz w:val="22"/>
                <w:szCs w:val="22"/>
                <w:b w:val="1"/>
                <w:bCs w:val="1"/>
                <w:color w:val="auto"/>
              </w:rPr>
              <w:t>concerning factors you should carefully consider before investing in our securities.</w:t>
            </w:r>
          </w:p>
        </w:tc>
        <w:tc>
          <w:tcPr>
            <w:tcW w:w="0" w:type="dxa"/>
            <w:vAlign w:val="bottom"/>
          </w:tcPr>
          <w:p>
            <w:pPr>
              <w:spacing w:after="0"/>
              <w:rPr>
                <w:sz w:val="1"/>
                <w:szCs w:val="1"/>
                <w:color w:val="auto"/>
              </w:rPr>
            </w:pPr>
          </w:p>
        </w:tc>
      </w:tr>
      <w:tr>
        <w:trPr>
          <w:trHeight w:val="35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w:t>
            </w:r>
          </w:p>
        </w:tc>
        <w:tc>
          <w:tcPr>
            <w:tcW w:w="340" w:type="dxa"/>
            <w:vAlign w:val="bottom"/>
          </w:tcPr>
          <w:p>
            <w:pPr>
              <w:spacing w:after="0"/>
              <w:rPr>
                <w:sz w:val="24"/>
                <w:szCs w:val="24"/>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20" w:type="dxa"/>
            <w:vAlign w:val="bottom"/>
          </w:tcPr>
          <w:p>
            <w:pPr>
              <w:spacing w:after="0"/>
              <w:rPr>
                <w:sz w:val="12"/>
                <w:szCs w:val="12"/>
                <w:color w:val="auto"/>
              </w:rPr>
            </w:pPr>
          </w:p>
        </w:tc>
        <w:tc>
          <w:tcPr>
            <w:tcW w:w="2920" w:type="dxa"/>
            <w:vAlign w:val="bottom"/>
            <w:gridSpan w:val="3"/>
            <w:vMerge w:val="restart"/>
          </w:tcPr>
          <w:p>
            <w:pPr>
              <w:jc w:val="right"/>
              <w:ind w:right="2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340" w:type="dxa"/>
            <w:vAlign w:val="bottom"/>
          </w:tcPr>
          <w:p>
            <w:pPr>
              <w:spacing w:after="0"/>
              <w:rPr>
                <w:sz w:val="15"/>
                <w:szCs w:val="15"/>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5"/>
                <w:szCs w:val="15"/>
                <w:color w:val="auto"/>
              </w:rPr>
            </w:pPr>
          </w:p>
        </w:tc>
        <w:tc>
          <w:tcPr>
            <w:tcW w:w="2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9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Underwriting discounts and</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6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commissions </w:t>
            </w:r>
            <w:r>
              <w:rPr>
                <w:rFonts w:ascii="Times New Roman" w:cs="Times New Roman" w:eastAsia="Times New Roman" w:hAnsi="Times New Roman"/>
                <w:sz w:val="26"/>
                <w:szCs w:val="26"/>
                <w:color w:val="auto"/>
                <w:vertAlign w:val="superscript"/>
              </w:rPr>
              <w:t>(1)</w:t>
            </w:r>
          </w:p>
        </w:tc>
        <w:tc>
          <w:tcPr>
            <w:tcW w:w="18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8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85725</wp:posOffset>
            </wp:positionV>
            <wp:extent cx="6515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-5545455</wp:posOffset>
            </wp:positionV>
            <wp:extent cx="3891915"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91915" cy="617220"/>
                    </a:xfrm>
                    <a:prstGeom prst="rect">
                      <a:avLst/>
                    </a:prstGeom>
                    <a:noFill/>
                  </pic:spPr>
                </pic:pic>
              </a:graphicData>
            </a:graphic>
          </wp:anchor>
        </w:drawing>
      </w:r>
    </w:p>
    <w:p>
      <w:pPr>
        <w:spacing w:after="0" w:line="151" w:lineRule="exact"/>
        <w:rPr>
          <w:sz w:val="24"/>
          <w:szCs w:val="24"/>
          <w:color w:val="auto"/>
        </w:rPr>
      </w:pPr>
    </w:p>
    <w:p>
      <w:pPr>
        <w:ind w:left="1340" w:right="1580" w:hanging="359"/>
        <w:spacing w:after="0" w:line="282" w:lineRule="auto"/>
        <w:tabs>
          <w:tab w:leader="none" w:pos="1320" w:val="left"/>
        </w:tabs>
        <w:rPr>
          <w:sz w:val="20"/>
          <w:szCs w:val="20"/>
          <w:color w:val="auto"/>
        </w:rPr>
      </w:pPr>
      <w:r>
        <w:rPr>
          <w:rFonts w:ascii="Times New Roman" w:cs="Times New Roman" w:eastAsia="Times New Roman" w:hAnsi="Times New Roman"/>
          <w:sz w:val="18"/>
          <w:szCs w:val="18"/>
          <w:color w:val="auto"/>
        </w:rPr>
        <w:t>(1)</w:t>
        <w:tab/>
        <w:t>See the section titled “Underwriting” beginning on page S-25 for a description of the compensation payable to the underwriters.</w:t>
      </w:r>
    </w:p>
    <w:p>
      <w:pPr>
        <w:spacing w:after="0" w:line="16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$30 million of shares of our</w:t>
      </w:r>
    </w:p>
    <w:p>
      <w:pPr>
        <w:spacing w:after="0" w:line="200" w:lineRule="exact"/>
        <w:rPr>
          <w:sz w:val="24"/>
          <w:szCs w:val="24"/>
          <w:color w:val="auto"/>
        </w:rPr>
      </w:pPr>
    </w:p>
    <w:p>
      <w:pPr>
        <w:spacing w:after="0" w:line="237" w:lineRule="exact"/>
        <w:rPr>
          <w:sz w:val="24"/>
          <w:szCs w:val="24"/>
          <w:color w:val="auto"/>
        </w:rPr>
      </w:pPr>
    </w:p>
    <w:p>
      <w:pPr>
        <w:ind w:left="980" w:right="10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5" w:lineRule="exact"/>
        <w:rPr>
          <w:sz w:val="24"/>
          <w:szCs w:val="24"/>
          <w:color w:val="auto"/>
        </w:rPr>
      </w:pPr>
    </w:p>
    <w:p>
      <w:pPr>
        <w:ind w:left="980" w:right="1200" w:firstLine="371"/>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shares of common stock and pre-funded warrants against payment therefor on or about 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200025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1300"/>
        <w:spacing w:after="0"/>
        <w:tabs>
          <w:tab w:leader="none" w:pos="3540" w:val="left"/>
          <w:tab w:leader="none" w:pos="7260" w:val="left"/>
          <w:tab w:leader="none" w:pos="9020" w:val="left"/>
        </w:tabs>
        <w:rPr>
          <w:sz w:val="20"/>
          <w:szCs w:val="20"/>
          <w:color w:val="auto"/>
        </w:rPr>
      </w:pPr>
      <w:r>
        <w:rPr>
          <w:rFonts w:ascii="Times New Roman" w:cs="Times New Roman" w:eastAsia="Times New Roman" w:hAnsi="Times New Roman"/>
          <w:sz w:val="29"/>
          <w:szCs w:val="29"/>
          <w:b w:val="1"/>
          <w:bCs w:val="1"/>
          <w:color w:val="auto"/>
        </w:rPr>
        <w:t>Jefferies</w:t>
      </w:r>
      <w:r>
        <w:rPr>
          <w:sz w:val="20"/>
          <w:szCs w:val="20"/>
          <w:color w:val="auto"/>
        </w:rPr>
        <w:tab/>
      </w:r>
      <w:r>
        <w:rPr>
          <w:rFonts w:ascii="Times New Roman" w:cs="Times New Roman" w:eastAsia="Times New Roman" w:hAnsi="Times New Roman"/>
          <w:sz w:val="29"/>
          <w:szCs w:val="29"/>
          <w:b w:val="1"/>
          <w:bCs w:val="1"/>
          <w:color w:val="auto"/>
        </w:rPr>
        <w:t>Leerink Partners</w:t>
      </w:r>
      <w:r>
        <w:rPr>
          <w:sz w:val="20"/>
          <w:szCs w:val="20"/>
          <w:color w:val="auto"/>
        </w:rPr>
        <w:tab/>
      </w:r>
      <w:r>
        <w:rPr>
          <w:rFonts w:ascii="Times New Roman" w:cs="Times New Roman" w:eastAsia="Times New Roman" w:hAnsi="Times New Roman"/>
          <w:sz w:val="29"/>
          <w:szCs w:val="29"/>
          <w:b w:val="1"/>
          <w:bCs w:val="1"/>
          <w:color w:val="auto"/>
        </w:rPr>
        <w:t>Stifel</w:t>
      </w:r>
      <w:r>
        <w:rPr>
          <w:sz w:val="20"/>
          <w:szCs w:val="20"/>
          <w:color w:val="auto"/>
        </w:rPr>
        <w:tab/>
      </w:r>
      <w:r>
        <w:rPr>
          <w:rFonts w:ascii="Times New Roman" w:cs="Times New Roman" w:eastAsia="Times New Roman" w:hAnsi="Times New Roman"/>
          <w:sz w:val="28"/>
          <w:szCs w:val="28"/>
          <w:b w:val="1"/>
          <w:bCs w:val="1"/>
          <w:color w:val="auto"/>
        </w:rPr>
        <w:t>Cantor</w:t>
      </w:r>
    </w:p>
    <w:p>
      <w:pPr>
        <w:sectPr>
          <w:pgSz w:w="11900" w:h="16838" w:orient="portrait"/>
          <w:cols w:equalWidth="0" w:num="1">
            <w:col w:w="11140"/>
          </w:cols>
          <w:pgMar w:left="320" w:top="216" w:right="439" w:bottom="195" w:gutter="0" w:footer="0" w:header="0"/>
        </w:sect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 2025</w:t>
      </w:r>
    </w:p>
    <w:p>
      <w:pPr>
        <w:sectPr>
          <w:pgSz w:w="11900" w:h="16838" w:orient="portrait"/>
          <w:cols w:equalWidth="0" w:num="1">
            <w:col w:w="11140"/>
          </w:cols>
          <w:pgMar w:left="320" w:top="216" w:right="439" w:bottom="195"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8060" w:type="dxa"/>
            <w:vAlign w:val="bottom"/>
            <w:gridSpan w:val="11"/>
            <w:vMerge w:val="restart"/>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19"/>
            <w:vMerge w:val="continue"/>
          </w:tcPr>
          <w:p>
            <w:pPr>
              <w:spacing w:after="0"/>
              <w:rPr>
                <w:sz w:val="13"/>
                <w:szCs w:val="13"/>
                <w:color w:val="auto"/>
              </w:rPr>
            </w:pPr>
          </w:p>
        </w:tc>
        <w:tc>
          <w:tcPr>
            <w:tcW w:w="8060" w:type="dxa"/>
            <w:vAlign w:val="bottom"/>
            <w:gridSpan w:val="11"/>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5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6040" w:type="dxa"/>
            <w:vAlign w:val="bottom"/>
            <w:gridSpan w:val="4"/>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14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380" w:type="dxa"/>
            <w:vAlign w:val="bottom"/>
            <w:gridSpan w:val="2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560" w:type="dxa"/>
            <w:vAlign w:val="bottom"/>
            <w:tcBorders>
              <w:top w:val="single" w:sz="8" w:color="0000EE"/>
            </w:tcBorders>
            <w:gridSpan w:val="5"/>
          </w:tcPr>
          <w:p>
            <w:pPr>
              <w:spacing w:after="0"/>
              <w:rPr>
                <w:sz w:val="17"/>
                <w:szCs w:val="17"/>
                <w:color w:val="auto"/>
              </w:rPr>
            </w:pPr>
          </w:p>
        </w:tc>
        <w:tc>
          <w:tcPr>
            <w:tcW w:w="9400" w:type="dxa"/>
            <w:vAlign w:val="bottom"/>
            <w:gridSpan w:val="2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Pre-Funded Warrants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for Investors in Common Stock</w:t>
            </w:r>
          </w:p>
        </w:tc>
        <w:tc>
          <w:tcPr>
            <w:tcW w:w="47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560" w:type="dxa"/>
            <w:vAlign w:val="bottom"/>
            <w:gridSpan w:val="2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S-37</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S-38</w:t>
            </w:r>
          </w:p>
        </w:tc>
        <w:tc>
          <w:tcPr>
            <w:tcW w:w="0" w:type="dxa"/>
            <w:vAlign w:val="bottom"/>
          </w:tcPr>
          <w:p>
            <w:pPr>
              <w:spacing w:after="0"/>
              <w:rPr>
                <w:sz w:val="1"/>
                <w:szCs w:val="1"/>
                <w:color w:val="auto"/>
              </w:rPr>
            </w:pPr>
          </w:p>
        </w:tc>
      </w:tr>
      <w:tr>
        <w:trPr>
          <w:trHeight w:val="668"/>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4"/>
        </w:trPr>
        <w:tc>
          <w:tcPr>
            <w:tcW w:w="1056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5"/>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8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960" w:type="dxa"/>
            <w:vAlign w:val="bottom"/>
            <w:gridSpan w:val="1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18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54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852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480" w:firstLine="440"/>
        <w:spacing w:after="0" w:line="312" w:lineRule="auto"/>
        <w:rPr>
          <w:sz w:val="20"/>
          <w:szCs w:val="20"/>
          <w:color w:val="auto"/>
        </w:rPr>
      </w:pPr>
      <w:r>
        <w:rPr>
          <w:rFonts w:ascii="Times New Roman" w:cs="Times New Roman" w:eastAsia="Times New Roman" w:hAnsi="Times New Roman"/>
          <w:sz w:val="17"/>
          <w:szCs w:val="17"/>
          <w:color w:val="auto"/>
        </w:rPr>
        <w:t>This prospectus supplement is part of an automatic shelf registration statement on Form S-3 (File No. 333-281359) that we filed with the Securities and Exchange Commission, or SEC, on August 8, 2024 as a “well-known seasoned issuer” as defined in Rule 405 of the Securities Act.</w:t>
      </w:r>
    </w:p>
    <w:p>
      <w:pPr>
        <w:spacing w:after="0" w:line="14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common stock and pre-funded warrants.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shares of common stock or pre-funded warrants offered hereby, we urge you to read carefully this prospectus supplement and the accompanying prospectus, together with the information incorporated herein by reference as described below under the heading “Incorporation of Certain Information by Reference,” as well as the additional information described in this prospectus supplement under “Where You Can Find More Information.”</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information other than the information that we have provided or incorporated by reference in this prospectus supplement and the accompanying prospectus and your reliance on any unauthorized information or representation is at your own risk.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and pre-funded warrants. Our business, financial condition and results of operations may have changed since those dates.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No action is being taken in any jurisdiction outside the United States to permit a public offering of the securities or possession or distribution of this prospectus supplement or the accompanying prospectus in that jurisdiction.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solicitation of an offer to buy, any securities offered by this prospectus supplement and the accompanying prospectus by any person in any jurisdiction in which it is unlawful for such person to make such an offer or solicitation.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All references in this prospectus supplement and the accompanying prospectus to our consolidated financial statements include the related notes thereto.</w:t>
      </w:r>
    </w:p>
    <w:p>
      <w:pPr>
        <w:spacing w:after="0" w:line="162" w:lineRule="exact"/>
        <w:rPr>
          <w:sz w:val="20"/>
          <w:szCs w:val="20"/>
          <w:color w:val="auto"/>
        </w:rPr>
      </w:pPr>
    </w:p>
    <w:p>
      <w:pPr>
        <w:ind w:left="120" w:right="100" w:firstLine="440"/>
        <w:spacing w:after="0" w:line="243" w:lineRule="auto"/>
        <w:rPr>
          <w:sz w:val="20"/>
          <w:szCs w:val="20"/>
          <w:color w:val="auto"/>
        </w:rPr>
      </w:pPr>
      <w:r>
        <w:rPr>
          <w:rFonts w:ascii="Times New Roman" w:cs="Times New Roman" w:eastAsia="Times New Roman" w:hAnsi="Times New Roman"/>
          <w:sz w:val="17"/>
          <w:szCs w:val="17"/>
          <w:color w:val="auto"/>
        </w:rPr>
        <w:t>Disc Medicine, Inc., the Disc logo and our other registered or common law trademarks, trade names or service marks appearing in this prospectus supplement are owned by us. All other trademarks or trade names referred to in this prospectus supplement are the property of their respective owners. Solely for convenience, the trademarks and trade names in this prospectus supplement are referred to without the symbols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but such references should not be construed as any indicator that their respective owners will not assert, to the fullest extent under applicable law, their rights thereto.</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97" w:lineRule="exact"/>
        <w:rPr>
          <w:sz w:val="20"/>
          <w:szCs w:val="20"/>
          <w:color w:val="auto"/>
        </w:rPr>
      </w:pPr>
    </w:p>
    <w:p>
      <w:pPr>
        <w:ind w:left="1080" w:right="140" w:hanging="424"/>
        <w:spacing w:after="0" w:line="258"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planned APOLLO clinical trial of bitopertin, our ongoing Phase 1b and Phase 2 clinical trials of DISC-0974 and our planned Phase 2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9" w:lineRule="auto"/>
        <w:tabs>
          <w:tab w:leader="none" w:pos="10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the U.S. Food and Drug Administration’s, or FDA’s, Accelerated Approval Program for bitopertin, including the treatment of the APOLLO clinical study as a post-marketing confirmatory trial, and the timeline for a potential New Drug Application, or NDA, submission and accelerated approval, if granted, and whether the NDA submission will meet the standards of accelerated approval;</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this offering and any other financing transaction we may undertake.</w:t>
      </w:r>
    </w:p>
    <w:p>
      <w:pPr>
        <w:spacing w:after="0" w:line="11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You should therefore not rely on these forward-looking statements as representing our views as of any date subsequent to the date of this prospectus supplement.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prospectus, their estimates, in particular, as they relate to projections, involve numerous assumptions, are subject to risks and uncertainties and are subject to change based on various factors. You should read this prospectus supplement, the accompanying prospectus and the documents that we reference herein and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Quarterly Report on Form 10-Q for the quarter ended September 30, 2024 filed with the SEC on November 12, 2024, which is incorporated by reference into this prospectus supplement and the accompanying prospectus, and the section of this prospectus supplement and the accompanying prospectus entitled “Risk Factors”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and does not contain all of the information that you should consider before investing in our common stock or pre-funded warrants. You should read this prospectus supplement, the accompanying prospectus and the documents incorporated by reference herein and therein carefully, especially those associated with the risks of investing in our common stock or pre-funded warrants discussed under “Risk Factors” beginning on page S-6 of this prospectus supplement and in the section entitled “Risk Factors” of our quarterly report on Form 10-Q for the quarter ended September 30, 2024, filed with the SEC on November 12, 2024, and any subsequent reports we file with the SEC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94"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In June and December 2023, we presented interim data from BEACON, a Phase 2 open-label, parallel-dose clinical trial of bitopertin in EPP and XLP patients conducted at sites in Australia. In April 2024, we presented topline data from AURORA, a Phase 2, randomized, double-blind, placebo-controlled clinical trial of bitopertin in EPP patients conducted at sites in the United States. Additional analyses of the BEACON and AURORA trials were presented in June 2024 and in December 2024. All participants in AURORA and BEACON are eligible to participate in HELIOS, an ongoing open-label, long-term extension study of bitopertin in EPP and XLP. We are also planning APOLLO, a randomized, double-blind, placebo-controlled clinical trial of bitopertin in EPP and XLP patients. As a result of our end-of-Phase 2 meeting with the U.S. Food &amp; Drug Administration, or the FDA, the FDA agreed with the potential for reduction of protoporphyrin IX, or PPIX, to serve as a surrogate endpoint to support a potential accelerated approval of bitopertin in EPP and XLP. Under the FDA’s Accelerated Approval Program, we would have the potential to submit a New Drug Application, or NDA, for bitopertin in EPP and XLP based on our existing data, and we would be required to conduct a post-marketing confirmatory clinical trial. As a result of our Type C meeting with the FDA in December 2024, we aligned with the FDA on the design of our APOLLO post-marketing confirmatory trial. We plan to initiate the APOLLO trial by mid-2025 and anticipate submitting an NDA for</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80"/>
        <w:spacing w:after="0" w:line="266" w:lineRule="auto"/>
        <w:rPr>
          <w:sz w:val="20"/>
          <w:szCs w:val="20"/>
          <w:color w:val="auto"/>
        </w:rPr>
      </w:pPr>
      <w:r>
        <w:rPr>
          <w:rFonts w:ascii="Times New Roman" w:cs="Times New Roman" w:eastAsia="Times New Roman" w:hAnsi="Times New Roman"/>
          <w:sz w:val="18"/>
          <w:szCs w:val="18"/>
          <w:color w:val="auto"/>
        </w:rPr>
        <w:t>bitopertin in EPP and XLP in the second half of 2025 under the Accelerated Approval Program. We have also entered into a collaborative research and development agreement with the National Institutes of Health, or NIH, to conduct an NIH-sponsored clinical trial of bitopertin in DBA, which trial began in July 2023. We are planning additional trials of bitopertin in other indications.</w:t>
      </w:r>
    </w:p>
    <w:p>
      <w:pPr>
        <w:spacing w:after="0" w:line="176"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Investigational New Drug application, or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non-dialysis dependent CKD and anemia in October 2024, which additional interim data included safety and changes in hepcidin, iron, and hemoglobin levels for additional patients, as well as longer follow-up. In December 2024, we presented additional analyses of the Phase 1b study in anemia of MF, and initiated a Phase 2 open-label clinical trial in patients with anemia of MF. We are also planning additional trials of DISC-0974 in other anemias of inflammation. In addition, we are developing a preclinical anti-hemojuvelin, or HJV, monoclonal antibody, DISC-0998, which also targets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8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presented data from the multiple-ascending dose (MAD) portion of the Phase 1 healthy volunteer study of DISC-3405 in December 2024. We expect to develop DISC-3405 for the treatment of PV and other hematologic disorders, and plan to initiate a Phase 2 clinical trial of DISC-3405 in PV in the first half of 2025.</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300" w:right="480" w:firstLine="426"/>
        <w:spacing w:after="0" w:line="266" w:lineRule="auto"/>
        <w:rPr>
          <w:sz w:val="20"/>
          <w:szCs w:val="20"/>
          <w:color w:val="auto"/>
        </w:rPr>
      </w:pPr>
      <w:r>
        <w:rPr>
          <w:rFonts w:ascii="Times New Roman" w:cs="Times New Roman" w:eastAsia="Times New Roman" w:hAnsi="Times New Roman"/>
          <w:sz w:val="18"/>
          <w:szCs w:val="18"/>
          <w:color w:val="auto"/>
        </w:rPr>
        <w:t>On January 21, 2025, we announced positive feedback from our Type C meeting with the FDA to discuss the APOLLO post-marketing confirmatory trial for bitopertin in EPP. As a result of the meeting, we aligned with the FDA on the design of the APOLLO post-marketing confirmatory trial. Key features of the trial include:</w:t>
      </w:r>
    </w:p>
    <w:p>
      <w:pPr>
        <w:spacing w:after="0" w:line="81" w:lineRule="exact"/>
        <w:rPr>
          <w:sz w:val="20"/>
          <w:szCs w:val="20"/>
          <w:color w:val="auto"/>
        </w:rPr>
      </w:pPr>
    </w:p>
    <w:p>
      <w:pPr>
        <w:ind w:left="1240" w:right="10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Co-primary endpoints of average monthly total time in sunlight without pain between 10:00 and 18:00 during the last month of the 6-month treatment period and percent change from baseline in whole blood metal-free PPIX after 6 months of treatment;</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measures of efficacy such as occurrence of phototoxic reactions, cumulative total pain-free time in sunlight, patient global impression of change (PGIC), and time to prodrome;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60 mg dose of bitopertin and 6-month treatment duration;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patients aged 12+ with EPP including XLP;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Double-blind, placebo-controlled study with ~150 patients randomized 1:1.</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78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plan to initiate the APOLLO trial by mid-2025 and will include sites in the United States, Canada, Europe and Australia. We anticipate submitting an NDA for bitopertin in EPP and XLP in the second half of 2025 under the Accelerated Approval Program. Based on the anticipated timing of our NDA submission, we expect enrollment for the APOLLO trial to be well underway by the Prescription Drug User Fee Act date for accelerated approval, if granted.</w:t>
      </w: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We maintain an Internet website at the following address: www.discmedicine.com.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84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2844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8"/>
          <w:szCs w:val="18"/>
          <w:color w:val="auto"/>
        </w:rPr>
        <w:t>            shares.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Pre-funded warrants offered by us</w:t>
      </w:r>
      <w:r>
        <w:rPr>
          <w:sz w:val="20"/>
          <w:szCs w:val="20"/>
          <w:color w:val="auto"/>
        </w:rPr>
        <w:tab/>
      </w:r>
      <w:r>
        <w:rPr>
          <w:rFonts w:ascii="Times New Roman" w:cs="Times New Roman" w:eastAsia="Times New Roman" w:hAnsi="Times New Roman"/>
          <w:sz w:val="17"/>
          <w:szCs w:val="17"/>
          <w:color w:val="auto"/>
        </w:rPr>
        <w:t>We are also offering, in lieu of common stock to certain investors that so choose,</w:t>
      </w:r>
    </w:p>
    <w:p>
      <w:pPr>
        <w:spacing w:after="0" w:line="27" w:lineRule="exact"/>
        <w:rPr>
          <w:sz w:val="20"/>
          <w:szCs w:val="20"/>
          <w:color w:val="auto"/>
        </w:rPr>
      </w:pPr>
    </w:p>
    <w:p>
      <w:pPr>
        <w:ind w:left="4340" w:right="240"/>
        <w:spacing w:after="0" w:line="251" w:lineRule="auto"/>
        <w:rPr>
          <w:sz w:val="20"/>
          <w:szCs w:val="20"/>
          <w:color w:val="auto"/>
        </w:rPr>
      </w:pPr>
      <w:r>
        <w:rPr>
          <w:rFonts w:ascii="Times New Roman" w:cs="Times New Roman" w:eastAsia="Times New Roman" w:hAnsi="Times New Roman"/>
          <w:sz w:val="18"/>
          <w:szCs w:val="18"/>
          <w:color w:val="auto"/>
        </w:rPr>
        <w:t>pre-funded warrants to purchase        shares of our common stock. Each pre-funded warrant is exercisable for one share of our common stock. The purchase price of each pre-funded warrant will equal the price per share at which shares of common stock are being sold to the public in this offering, less $0.0001, which is the exercise price of each pre-funded warrant. The pre-funded warrants do not expire, and each pre-funded warrant will be exercisable at any time after the date of issuance, subject to an ownership limitation and in some cases clearance under the HSR Act. See “Description of Pre-Funded Warrants.” This prospectus supplement also relates to the offering of the shares of our common stock issuable upon exercise of the pre-funded warrants</w:t>
      </w:r>
    </w:p>
    <w:p>
      <w:pPr>
        <w:sectPr>
          <w:pgSz w:w="11900" w:h="16838" w:orient="portrait"/>
          <w:cols w:equalWidth="0" w:num="1">
            <w:col w:w="11140"/>
          </w:cols>
          <w:pgMar w:left="320" w:top="455" w:right="439" w:bottom="1440" w:gutter="0" w:footer="0" w:header="0"/>
        </w:sectPr>
      </w:pPr>
    </w:p>
    <w:p>
      <w:pPr>
        <w:spacing w:after="0" w:line="220"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Common stock to be outstanding immediately after this offering</w:t>
      </w: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shares (or        shares, if the underwriters exercise their option in full to purchase additional shares), in each case, assuming no exercise of any pre-funded warrants offered and sold by us.</w:t>
      </w:r>
    </w:p>
    <w:p>
      <w:pPr>
        <w:spacing w:after="0" w:line="203"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cash equivalents and marketable securities, to fund research and clinical development of our current or additional product candidates, support the potential commercialization of bitopertin for EPP and XLP,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See “Use of Proceeds” on page S-12 of this prospectus supplement.</w:t>
      </w:r>
    </w:p>
    <w:p>
      <w:pPr>
        <w:spacing w:after="0" w:line="200" w:lineRule="exact"/>
        <w:rPr>
          <w:sz w:val="20"/>
          <w:szCs w:val="20"/>
          <w:color w:val="auto"/>
        </w:rPr>
      </w:pPr>
    </w:p>
    <w:p>
      <w:pPr>
        <w:sectPr>
          <w:pgSz w:w="11900" w:h="16838" w:orient="portrait"/>
          <w:cols w:equalWidth="0" w:num="2">
            <w:col w:w="4000" w:space="340"/>
            <w:col w:w="6800"/>
          </w:cols>
          <w:pgMar w:left="320" w:top="455" w:right="439" w:bottom="1440" w:gutter="0" w:footer="0" w:header="0"/>
          <w:type w:val="continuous"/>
        </w:sectPr>
      </w:pP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7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Your investment involves a high degree of risk. You should read the “Risk Factors” section</w:t>
            </w:r>
          </w:p>
        </w:tc>
      </w:tr>
      <w:tr>
        <w:trPr>
          <w:trHeight w:val="216"/>
        </w:trPr>
        <w:tc>
          <w:tcPr>
            <w:tcW w:w="3300" w:type="dxa"/>
            <w:vAlign w:val="bottom"/>
          </w:tcPr>
          <w:p>
            <w:pPr>
              <w:spacing w:after="0"/>
              <w:rPr>
                <w:sz w:val="18"/>
                <w:szCs w:val="18"/>
                <w:color w:val="auto"/>
              </w:rPr>
            </w:pPr>
          </w:p>
        </w:tc>
        <w:tc>
          <w:tcPr>
            <w:tcW w:w="77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of this prospectus supplement beginning on page S-6 and in our Quarterly Report on</w:t>
            </w:r>
          </w:p>
        </w:tc>
      </w:tr>
      <w:tr>
        <w:trPr>
          <w:trHeight w:val="216"/>
        </w:trPr>
        <w:tc>
          <w:tcPr>
            <w:tcW w:w="3300" w:type="dxa"/>
            <w:vAlign w:val="bottom"/>
          </w:tcPr>
          <w:p>
            <w:pPr>
              <w:spacing w:after="0"/>
              <w:rPr>
                <w:sz w:val="18"/>
                <w:szCs w:val="18"/>
                <w:color w:val="auto"/>
              </w:rPr>
            </w:pPr>
          </w:p>
        </w:tc>
        <w:tc>
          <w:tcPr>
            <w:tcW w:w="77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Form 10-Q for the quarter ended September 30, 2024, as well as the other documents</w:t>
            </w:r>
          </w:p>
        </w:tc>
      </w:tr>
      <w:tr>
        <w:trPr>
          <w:trHeight w:val="216"/>
        </w:trPr>
        <w:tc>
          <w:tcPr>
            <w:tcW w:w="3300" w:type="dxa"/>
            <w:vAlign w:val="bottom"/>
          </w:tcPr>
          <w:p>
            <w:pPr>
              <w:spacing w:after="0"/>
              <w:rPr>
                <w:sz w:val="18"/>
                <w:szCs w:val="18"/>
                <w:color w:val="auto"/>
              </w:rPr>
            </w:pPr>
          </w:p>
        </w:tc>
        <w:tc>
          <w:tcPr>
            <w:tcW w:w="77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and the accompanying prospectus</w:t>
            </w:r>
          </w:p>
        </w:tc>
      </w:tr>
      <w:tr>
        <w:trPr>
          <w:trHeight w:val="234"/>
        </w:trPr>
        <w:tc>
          <w:tcPr>
            <w:tcW w:w="3300" w:type="dxa"/>
            <w:vAlign w:val="bottom"/>
          </w:tcPr>
          <w:p>
            <w:pPr>
              <w:spacing w:after="0"/>
              <w:rPr>
                <w:sz w:val="20"/>
                <w:szCs w:val="20"/>
                <w:color w:val="auto"/>
              </w:rPr>
            </w:pPr>
          </w:p>
        </w:tc>
        <w:tc>
          <w:tcPr>
            <w:tcW w:w="77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 a discussion of factors to consider carefully before deciding to invest in our securities.</w:t>
            </w:r>
          </w:p>
        </w:tc>
      </w:tr>
      <w:tr>
        <w:trPr>
          <w:trHeight w:val="441"/>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Nasdaq Global Market symbol</w:t>
            </w:r>
          </w:p>
        </w:tc>
        <w:tc>
          <w:tcPr>
            <w:tcW w:w="77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“IRON”. We do not intend to list the pre-funded warrants on the Nasdaq Global Market or</w:t>
            </w:r>
          </w:p>
        </w:tc>
      </w:tr>
      <w:tr>
        <w:trPr>
          <w:trHeight w:val="234"/>
        </w:trPr>
        <w:tc>
          <w:tcPr>
            <w:tcW w:w="3300" w:type="dxa"/>
            <w:vAlign w:val="bottom"/>
          </w:tcPr>
          <w:p>
            <w:pPr>
              <w:spacing w:after="0"/>
              <w:rPr>
                <w:sz w:val="20"/>
                <w:szCs w:val="20"/>
                <w:color w:val="auto"/>
              </w:rPr>
            </w:pPr>
          </w:p>
        </w:tc>
        <w:tc>
          <w:tcPr>
            <w:tcW w:w="77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any other national securities exchange or nationally recognized trading system.</w:t>
            </w:r>
          </w:p>
        </w:tc>
      </w:tr>
      <w:tr>
        <w:trPr>
          <w:trHeight w:val="172"/>
        </w:trPr>
        <w:tc>
          <w:tcPr>
            <w:tcW w:w="330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r>
      <w:tr>
        <w:trPr>
          <w:trHeight w:val="361"/>
        </w:trPr>
        <w:tc>
          <w:tcPr>
            <w:tcW w:w="3300" w:type="dxa"/>
            <w:vAlign w:val="bottom"/>
          </w:tcPr>
          <w:p>
            <w:pPr>
              <w:spacing w:after="0"/>
              <w:rPr>
                <w:sz w:val="24"/>
                <w:szCs w:val="24"/>
                <w:color w:val="auto"/>
              </w:rPr>
            </w:pPr>
          </w:p>
        </w:tc>
        <w:tc>
          <w:tcPr>
            <w:tcW w:w="7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887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38874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29,748,154 shares outstanding as of September 30, 2024. The number of shares outstanding as of September 30, 2024 as used throughout this prospectus supplement, unless otherwise indicated, excludes:</w:t>
      </w:r>
    </w:p>
    <w:p>
      <w:pPr>
        <w:spacing w:after="0" w:line="81" w:lineRule="exact"/>
        <w:rPr>
          <w:sz w:val="20"/>
          <w:szCs w:val="20"/>
          <w:color w:val="auto"/>
        </w:rPr>
      </w:pPr>
    </w:p>
    <w:p>
      <w:pPr>
        <w:ind w:left="1240" w:right="2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2,972,432 shares of common stock issuable upon the exercise of stock options outstanding as of September 30, 2024, at a weighted average exercise price of $25.29 per share;</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143,490 shares of common stock issuable upon the exercise of stock options granted subsequent to September 30, 2024, at a weighted average exercise price of $54.95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429,522 shares of common stock issuable upon the vesting of restricted stock awards outstanding as of September 30, 2024;</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95,649 shares of common stock issuable upon the vesting of restricted stock awards granted subsequent to September 30, 2024;</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1,634,822 shares of common stock available for issuance under our Amended and Restated 2021 Stock Option and Incentive Plan as of September 30, 2024;</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254,926 shares of common stock available for future issuance under our Amended and Restated 2021 Employee Stock Purchase Plan as of September 30, 2024;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204,081 shares of common stock issuable upon the exercise of pre-funded warrants outstanding as of September 30, 2024.</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w:t>
      </w:r>
    </w:p>
    <w:p>
      <w:pPr>
        <w:spacing w:after="0" w:line="131"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outstanding stock options or pre-funded warrants described above;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pre-funded warrants that we are offering in this offering in lieu of common stock to certain investors; and</w:t>
      </w:r>
    </w:p>
    <w:p>
      <w:pPr>
        <w:spacing w:after="0" w:line="130" w:lineRule="exact"/>
        <w:rPr>
          <w:rFonts w:ascii="Times New Roman" w:cs="Times New Roman" w:eastAsia="Times New Roman" w:hAnsi="Times New Roman"/>
          <w:sz w:val="18"/>
          <w:szCs w:val="18"/>
          <w:color w:val="auto"/>
        </w:rPr>
      </w:pPr>
    </w:p>
    <w:p>
      <w:pPr>
        <w:ind w:left="1240" w:right="80" w:hanging="415"/>
        <w:spacing w:after="0" w:line="224"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potential issuance of up to $200.0 million of common stock that remains available for sale as of the date of this prospectus supplement under our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Sales Agreement, with Cantor Fitzgerald &amp; Co. dated November 15, 2024.</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80"/>
          </w:cols>
          <w:pgMar w:left="320" w:top="455" w:right="6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Your investment in our common stock or pre-funded warrants involves a high degree of risk. Before deciding whether to invest in our common stock or pre-funded warrants, you should carefully consider the risks discussed under the section captioned “Risk Factors” contained in our Quarterly Report on Form 10-Q for the quarter ended September 30, 2024 which is incorporated by reference in this prospectus supplement and the accompanying prospectus in its entirety, together with other information in this prospectus supplement, the accompanying prospectus and in our other filings with the SEC that we have incorporated by reference herein and therein.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or pre-funded warrants sold in this offering, you will experience immediate and substantial dilution. In addition, we may issue additional equity or convertible securities in the future, which may result in additional dilution to you.</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Since the price per share of our common stock being offered is higher than the net tangible book value per share of our common stock, you will suffer dilution with respect to the net tangible book value of the shares of common stock or pre-funded warrants you purchase in this offering. Based on the public offering price of $        per share of our common stock and $        per pre-funded warrant and our net tangible book value as of September 30, 2024, if you purchase shares of common stock or pre-funded warrants in this offering, you will suffer immediate dilution of $       </w:t>
      </w:r>
    </w:p>
    <w:p>
      <w:pPr>
        <w:spacing w:after="0" w:line="3" w:lineRule="exact"/>
        <w:rPr>
          <w:sz w:val="20"/>
          <w:szCs w:val="20"/>
          <w:color w:val="auto"/>
        </w:rPr>
      </w:pPr>
    </w:p>
    <w:p>
      <w:pPr>
        <w:ind w:left="120" w:right="120"/>
        <w:spacing w:after="0" w:line="271" w:lineRule="auto"/>
        <w:rPr>
          <w:sz w:val="20"/>
          <w:szCs w:val="20"/>
          <w:color w:val="auto"/>
        </w:rPr>
      </w:pPr>
      <w:r>
        <w:rPr>
          <w:rFonts w:ascii="Times New Roman" w:cs="Times New Roman" w:eastAsia="Times New Roman" w:hAnsi="Times New Roman"/>
          <w:sz w:val="17"/>
          <w:szCs w:val="17"/>
          <w:color w:val="auto"/>
        </w:rPr>
        <w:t>per share with respect to the net tangible book value of the common stock. For a more detailed discussion of the foregoing, see the section entitled “Dilution” below. To the extent outstanding stock options or pre-funded warrants are exercised, or restricted stock units vest and settle, there will be further dilution to investors. In addition, to the extent we need to raise additional capital in the future, under our Sales Agreement with Cantor Fitzgerald &amp; Co. or otherwise,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278"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use them in ways that you and other stockholders may not approve.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expect to use the net proceeds of this offering to fund research and clinical development of our current or additional product candidates, support the potential commercialization of bitopertin for EPP and XLP,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common stock or other securities convertible into or exchangeable for our common stock at prices that may not be the same as the price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the exercise of pre-funded warrants sold in this offering will result in further dilution to the holders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after this offering could cause our stock price to fall.</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We had 29,748,154 shares of common stock outstanding as of September 30, 2024. We filed an automatic registration statement on Form S-3 (Registration No. 333-281359) that became automatically effective on August 8, 2024, and which registers the offer and sale from time to time of a variety of securities, including common stock, preferred stock, debt securities, warrants or units pursuant to one or more offerings at prices and terms to be determined at the time of sale. To the extent shares are sold into the market pursuant to this registration statement on Form S-3, under Rule 144 of the Securities Act or otherwise, particularly in substantial quantities, the market price of our common stock could decline.</w:t>
      </w:r>
    </w:p>
    <w:p>
      <w:pPr>
        <w:spacing w:after="0" w:line="189"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pre-funded warrants, or the perception that such sales may occur, could adversely affect the market price of our common stock.</w:t>
      </w:r>
    </w:p>
    <w:p>
      <w:pPr>
        <w:spacing w:after="0" w:line="15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may raise money through additional public or private offerings of our equity securities or equity-linked securities. For example, in November 2024, we entered into the Sales Agreement pursuant to which we may offer and sell, from time to time to or through Cantor Fitzgerald &amp; Co., acting as our sales agent, shares of common stock having an aggregate offering price of up to $200.0 million. As of the date of this prospectus supplement, we may issue and sell shares of our common stock having an aggregate offering price of up to $200.0 million under our “at-the-market” offering program. Any sales of our equity or equity-linked securities could have a material adverse effect on the market price of our common stock.</w:t>
      </w:r>
    </w:p>
    <w:p>
      <w:pPr>
        <w:spacing w:after="0" w:line="183"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this offering, we and our directors and executive officers have entered into lock-up agreements covering some or all of their equity ownership for a period of 45 days following this offering. The lock-up agreements are subject to various exceptions, and we and our directors and executive officers may be released from the lock-up agreements prior to the expiration of the lock-up period at the sole discretion of Jefferies LLC and Leerink Partners LLC. See the section entitled “Underwriting.” Upon expiration or earlier release of the lock-up agreements, we and our directors and executive officers may sell previously locked-up shares into the market, which could adversely affect the market price of shares of our common stock.</w:t>
      </w:r>
    </w:p>
    <w:p>
      <w:pPr>
        <w:spacing w:after="0" w:line="168"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a significant number of stock options and restricted stock units outstanding and our board of directors intends to grant additional stock options, and may also choose to issue additional restricted stock units, common stock, or securities convertible into or exchangeable for common stock, in the future 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connection with a financing, an acquisition, employee arrangements or otherwise. In the event that the outstanding options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volatility of our common stock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“Risk Factors” in this prospectus supplement, the accompanying prospectus and the documents incorporated by reference herein and therein.</w:t>
      </w:r>
    </w:p>
    <w:p>
      <w:pPr>
        <w:spacing w:after="0" w:line="180"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As a result, you may not be able to sell your shares of common stock at or above the price at which you purchase them. In addition, the stock market in general, and the Nasdaq Global Market and the stock of biotechnology and emerging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w:t>
      </w:r>
    </w:p>
    <w:p>
      <w:pPr>
        <w:spacing w:after="0" w:line="8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equity securities pursuant to a future offering, including issuances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announcements by competitors of new products or services or significant contracts, acquisitions, strategic partnerships, joint ventures,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quarterly operating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liquidity of the market for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our company and the pharmaceutical and biotechnology industries generally;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success of competitive products or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or failure to obtain, regulatory approvals, including approvals of NDAs from the FDA and our ability to use accelerated regulatory pathways;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corporate strategy and goals;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technologies 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or announcements regarding transactions involving our company 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national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any additional funds upon the exercise of the pre-funded warrants.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pre-funded warrant is exercisable for $0.0001 per share of common stock underlying such pre-funded warrant, which may be paid by way of a cashless exercise, in which the holder would receive upon such exercise the net number of shares of common stock determined according to the formula set forth in the pre-funded warrant. Accordingly, we will not receive a significant amount of additional funds (if any) upon the exercise of the pre-funded warrants.</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for the right to participate in certain dividends and distributions, holders of the pre-funded warrants will have no rights as stockholders until such holders exercise their pre-funded warrants and acquire shares of our common stock.</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Until holders of the pre-funded warrants exercise their pre-funded warrants and acquire shares of our common stock, such holders will have no rights with respect to the shares of common stock underlying such pre-funded warrants, except that the holder of a pre-funded warrant shall be entitled to participate in certain distributions, including cash dividends, if any, to all holders of our common stock for no consideration, subject to certain ownership limitations and in some cases clearance under the HSR Act. Upon exercise of the pre-funded warrants, the holders will be entitled to exercise the rights of a holder of common stock only as to matters for which the record date occurs after the exercise date. See “Description of Pre-Funded Warrants—No Rights as a Stockholder.”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holder of a pre-funded warrant will not be entitled to exercise any portion of any pre-funded warrant which, upon giving effect to such exercise, would cause the aggregate number of shares of our common stock beneficially owned by the holder (together with its affiliates and other attribution parties, as defined under “Description of Pre-Funded Warrants—Exercise Limitations”) to exceed 24.99%, or if the purchaser elected prior to the issuance of pre-funded warrants to have the initial exercise limitation set at any of 4.99%, 9.99% or 19.99% of our outstanding common stock, such lower threshold, of the number of shares of our common stock that would be outstanding immediately after giving effect to the exercise. However, subject to certain limitations,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holder may increase or decrease such percentage to any other percentage not in excess of 24.99% upon at least 61 days’ prior notice from the holder to us. In addition, where a holder notifies us that a filing under the HSR Act is required,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to equal or exceed the HSR Threshold (as defined below), until the applicable waiting period under the HSR Act has expired.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is restricted by the terms of our loan and security agreement with Hercules Capital, Inc., and may be restricted by the terms of any of our future indebtedness.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the sale of the shares of common stock and pre-funded warrants to purchase shares of common stock that we are offering will be approximately $        million after deducting underwriting discounts and commissions and estimated offering expenses payable by us. We will receive nominal proceeds, if any, from the exercise of the pre-funded warrants.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2024, we had cash, cash equivalents and marketable securities of $487.4 million. We currently intend to use the net proceeds from this offering, together with our existing cash, cash equivalents and marketable securities, to fund research and clinical development of our current or additional product candidates, support the potential commercialization of bitopertin for EPP and XLP,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w:t>
      </w:r>
    </w:p>
    <w:p>
      <w:pPr>
        <w:spacing w:after="0" w:line="18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feedback from regulatory authorities,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Pending use of the proceeds as described above, we intend to invest the proceeds in a variety of capital preservation instruments, including high quality, investment grade instruments, certificates of deposit or direct or guaranteed obligations of the U.S. government, or may hold such proceeds as cash, until they are used for their stated purpose.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the completion of this offering, assuming net proceeds to us, after deducting estimated offering expenses payable by us, of approximately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$187 million, we expect that our cash, cash equivalents and marketable securities, will be sufficient to fund our current operating and capital expenditure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plans into 2028. Without the proceeds of this offering, we anticipate that our existing cash, cash equivalents and marketable securities will be sufficient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fund our operating and capital expenditure plans well into 2027. These expectations do not take into account any potential net cash inflows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bitopertin or any other marketed product, if approved during such period. Our future capital requirements will depend on many factors, including those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discussed in “Liquidity and Capital Resources” of our Quarterly Report on Form 10-Q for the quarter ended September 30, 2024.</w:t>
      </w:r>
    </w:p>
    <w:p>
      <w:pPr>
        <w:spacing w:after="0" w:line="20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based our estimates on assumptions that may prove to be wrong. In addition, we could use our available capital resources sooner than we currently expect, in which case we would need to obtain additional funding, which may not be available to us on acceptable terms, or at all. See the “Risk Factors” section of this prospectus supplement and the documents incorporated by reference for a discussion of the risks affecting our business that could have an adverse effect on our available capital resources.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you purchase shares of our common stock or pre-funded warrants in this offering, your ownership interest will be diluted to the extent of the difference between the price per share of our common stock or pre-funded warrant you pay in this offering and the net tangible book value per share of our common stock immediately after this offering.</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September 30, 2024 was approximately $468.00 million, or $15.73 per share of common stock, based upon 29,748,154 shares outstanding as of that date. Net tangible book value per share is equal to our total tangible assets, less our total liabilities, divided by the total number of shares outstanding.</w:t>
      </w:r>
    </w:p>
    <w:p>
      <w:pPr>
        <w:spacing w:after="0" w:line="17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After giving effect to our issuance and sale of shares of our common stock and pre-funded warrants at the public offering price of $        per share and $        per pre-funded warrant (which equals the $        per share price at which shares of our common stock are being sold to the public in this offering, less the $0.0001 per share exercise price of each such pre-funded warrant) (excluding shares of common stock issuable upon exercise of the pre-funded warrants, any proceeds which may be received upon exercise of the pre-funded warrants or any resulting accounting associated with the exercise of the pre-funded warrants), after deducting underwriting discounts and commissions and estimated offering expenses payable by us, our adjusted net tangible book value as of September 30, 2024 would have been $        million, or $        per share. This represents an immediate increase in net tangible book value of $        per share to our existing stockholders, and an immediate dilution of</w:t>
      </w:r>
    </w:p>
    <w:p>
      <w:pPr>
        <w:spacing w:after="0" w:line="3"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        per share to investors purchasing shares of common stock or pre-funded warrants in the offering. Dilution per share to investors purchasing securities in this offering is determined by subtracting as adjusted net tangible book value per share after this offering from the public offering price per share of common stock (or pre-funded warrant) paid by investors.</w:t>
      </w:r>
    </w:p>
    <w:p>
      <w:pPr>
        <w:spacing w:after="0" w:line="18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8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September 30, 2024</w:t>
            </w:r>
          </w:p>
        </w:tc>
        <w:tc>
          <w:tcPr>
            <w:tcW w:w="13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$15.73</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880" w:type="dxa"/>
            <w:vAlign w:val="bottom"/>
          </w:tcPr>
          <w:p>
            <w:pPr>
              <w:spacing w:after="0"/>
              <w:rPr>
                <w:sz w:val="17"/>
                <w:szCs w:val="17"/>
                <w:color w:val="auto"/>
              </w:rPr>
            </w:pPr>
          </w:p>
        </w:tc>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investors purchasing</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common stock or pre-funded warrants in this offering</w:t>
            </w:r>
          </w:p>
        </w:tc>
        <w:tc>
          <w:tcPr>
            <w:tcW w:w="2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5"/>
        </w:trPr>
        <w:tc>
          <w:tcPr>
            <w:tcW w:w="880" w:type="dxa"/>
            <w:vAlign w:val="bottom"/>
          </w:tcPr>
          <w:p>
            <w:pPr>
              <w:spacing w:after="0"/>
              <w:rPr>
                <w:sz w:val="17"/>
                <w:szCs w:val="17"/>
                <w:color w:val="auto"/>
              </w:rPr>
            </w:pPr>
          </w:p>
        </w:tc>
        <w:tc>
          <w:tcPr>
            <w:tcW w:w="63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 adjusted net tangible book value per share as of September 30, 2024 after giving</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880" w:type="dxa"/>
            <w:vAlign w:val="bottom"/>
          </w:tcPr>
          <w:p>
            <w:pPr>
              <w:spacing w:after="0"/>
              <w:rPr>
                <w:sz w:val="20"/>
                <w:szCs w:val="20"/>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to this offering</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as adjusted net tangible book value per share to investors in this offering</w:t>
            </w:r>
          </w:p>
        </w:tc>
        <w:tc>
          <w:tcPr>
            <w:tcW w:w="2020" w:type="dxa"/>
            <w:vAlign w:val="bottom"/>
            <w:gridSpan w:val="4"/>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If holders of pre-funded warrants exercise the pre-funded warrants offered hereby, the as adjusted net tangible book value per share of our common stock after giving effect to this offering would be $        per share, and the dilution in net tangible book value per share to investors purchasing common stock in this offering would be $        per share.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tables and calculations are based on 29,748,154 shares of common stock outstanding as of September 30, 2024, and excludes:</w:t>
      </w:r>
    </w:p>
    <w:p>
      <w:pPr>
        <w:spacing w:after="0" w:line="131" w:lineRule="exact"/>
        <w:rPr>
          <w:sz w:val="20"/>
          <w:szCs w:val="20"/>
          <w:color w:val="auto"/>
        </w:rPr>
      </w:pPr>
    </w:p>
    <w:p>
      <w:pPr>
        <w:ind w:left="1080" w:right="4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2,972,432 shares of common stock issuable upon the exercise of stock options outstanding as of September 30, 2024, at a weighted average exercise price of $25.29 per share;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143,490 shares of common stock issuable upon the exercise of stock options granted subsequent to September 30, 2024, at a weighted average exercise price of $54.95 per share;</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20"/>
          </w:cols>
          <w:pgMar w:left="320" w:top="455" w:right="5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429,522 shares of common stock issuable upon the vesting of restricted stock awards outstanding as of September 30,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95,649 shares of common stock issuable upon the vesting of restricted stock awards granted subsequent to September 30, 2024;</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1,634,822 shares of common stock available for issuance under our Amended and Restated 2021 Stock Option and Incentive Plan as of September 30, 2024;</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254,926 shares of common stock available for future issuance under our Amended and Restated 2021 Employee Stock Purchase Plan as of September 30, 2024;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204,081 shares of common stock issuable upon the exercise of pre-funded warrants outstanding as of September 30, 2024.</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outstanding options or pre-funded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The form of pre-funded warrant will be filed as an exhibit to our Current Report on Form 8-K that we expect to file with the SEC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pre-funded warrants do not expire.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limitations described below in “—Exercise Limitations,” 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elect to exercise the pre-funded warrant through a cashless exercise, in which the holder would receive upon such exercise the net number of shares of common stock determined according to the formula set forth in the pre-funded warrant. No fractional shares of common stock will be issued in connection with the exercise of a pre-funded warrant. In lieu of any fractional shares that would otherwise be issuable, we will pay in cash to an exercising holder the fair market value, determined according to the terms of the pre-funded warrant, for any such fractional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Under the pre-funded warrants,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(as defined below)) to exceed 24.99% of the number of shares of our common stock that would be outstanding immediately after giving effect to the exercise. Purchasers in this offering may also elect prior to the issuance of pre-funded warrants to have the initial exercise limitation set at any of 4.99%, 9.99% or 19.99% of our outstanding common stock. However, any holder may increase or decrease such percentage to any other percentage not in excess of 24.99%, which increase or decrease shall not become effective until 61 days after notice from the holder to us. Notwithstanding the prior sentence, purchasers in this offering that select an exercise limitation of 19.99% or less will only be allowed to increase the exercise limitation above 19.99% if such increase would not result in a change of control under</w:t>
      </w:r>
    </w:p>
    <w:p>
      <w:pPr>
        <w:ind w:left="120"/>
        <w:spacing w:after="0"/>
        <w:rPr>
          <w:sz w:val="20"/>
          <w:szCs w:val="20"/>
          <w:color w:val="auto"/>
        </w:rPr>
      </w:pPr>
      <w:r>
        <w:rPr>
          <w:rFonts w:ascii="Times New Roman" w:cs="Times New Roman" w:eastAsia="Times New Roman" w:hAnsi="Times New Roman"/>
          <w:sz w:val="18"/>
          <w:szCs w:val="18"/>
          <w:color w:val="auto"/>
        </w:rPr>
        <w:t>Nasdaq rules. For purposes of the foregoing, “attribution parties” means, collectively, the following persons and entities with respect to any holder:</w:t>
      </w:r>
    </w:p>
    <w:p>
      <w:pPr>
        <w:spacing w:after="0" w:line="9" w:lineRule="exact"/>
        <w:rPr>
          <w:sz w:val="20"/>
          <w:szCs w:val="20"/>
          <w:color w:val="auto"/>
        </w:rPr>
      </w:pPr>
    </w:p>
    <w:p>
      <w:pPr>
        <w:ind w:left="120" w:hanging="4"/>
        <w:spacing w:after="0" w:line="255"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direct or indirect affiliates, (ii) any person acting or who could be deemed to be acting as a Section 13(d) “group” together with the holder or any attribution parties and (iii) any other persons whose beneficial ownership of our common stock would or could be aggregated with the holder and/or any other attribution parties for purposes of Section 13(d) or Section 16 of the Exchange Act.</w:t>
      </w:r>
    </w:p>
    <w:p>
      <w:pPr>
        <w:spacing w:after="0" w:line="186"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addition, if the exercise of a pre-funded warrant would result in a holder of pre-funded warrants (together with its attribution parties) acquiring beneficial ownership of our common stock (together with all other equity owned by such holder at such time) equal to or in excess of the notification threshold applicable to the holder under the HSR Act as of the date of delivery of the applicable exercise notice, which we refer to as the HSR</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Threshold, and no exemption to filing a notice and report form under the HSR Act is applicable, then only such portion of the pre-funded warrants held by such holder, which when exercised does not exceed the HSR Threshold, shall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 under the HSR Act or receipt of applicable approval. For certain holders of pre-funded warrants, upon expiration or early termination of the applicable waiting period under the HSR Act or receipt of applicable approval, such holder shall no longer be subject to any of the limitations on exercise described in this section.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Taxes and Expenses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Issuance and delivery of shares of common stock upon exercise of a pre-funded warrant will be made without charge to the holder thereof for any issue or transfer tax, transfer agent fee or other incidental tax or expense (excluding any applicable stamp duties) in respect of the issuance thereof, all of which taxes and expenses shall be paid by us. However, we are not required to pay any tax that may be payable in respect of any transfer involved in the registration of any warrant shares or pre-funded warrants in a name other than that of the holder or an affiliate thereof. The holder shall be responsible for all other tax liability that may arise as a result of holding or transferring its pre-funded warrants or receiving shares upon exercise thereof.</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applicable laws, the pre-funded warrants may be assigned by the holder without our consent. The ownership of the pre-funded warrants and any transfers of the pre-funded warrants will be registered in a warrant register maintained by the warrant agent. We will initially act as warrant agent.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Global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but not limited to certain reclassifications of our common stock, the sale, transfer or other disposition of all or substantially all of our properties or assets, our consolidation or merger with or into another person, the tender and acceptance for payment of shares representing more than 50% of the voting power of our capital stock pursuant to any tender or exchange offer (whether by us or another person), and the acquisition by another person of more than 50% of the voting power of our capital stock pursuant to a stock purchase agreement or other business combination, including a reorganization, recapitalization or spin-off (except for any such transaction in which our stockholders immediately prior to such transaction maintain, in substantially the same proportions, voting power of us immediately after the transaction)),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in full immediately prior to such fundamental transaction without regard to any limitations on exercise contained in the pre-funded warrants.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other attribution parties exceeding the exercise limitations described above, a portion of such distribution shall be held in abeyance for the benefit of such holder until such time as the ownership limitations would not be exceeded.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480" w:right="180"/>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CONSIDERATIONS FOR INVESTORS IN OUR COMMON STOCK AND PRE-FUNDED WARRANTS</w:t>
      </w:r>
    </w:p>
    <w:p>
      <w:pPr>
        <w:spacing w:after="0" w:line="15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considerations of the acquisition, ownership and disposition of our common stock and pre-funded warrants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or any non-U.S. tax consequences that may be relevant to investors in light of their particular circumstances.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Special rules different from those described below may apply to certain investors that are subject to special treatment under the Internal Revenue Code of 1986, as amended, or the Code, such as:</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banks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and 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and international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and traders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that own or are deemed to own (directly, indirectly or by attribution) more than 5% of our common stock or more than 5% of our pre-funded warrants;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451(b) of the Code;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or pre-funded warrants as part of a “straddle,” “hedge,” “conversion transaction,” “synthetic security” or integrated investment or other risk reduction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for U.S. tax purposes is not the U.S. dollar;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or pre-funded warrants as “capital assets” within the meaning of Section 1221 of the Code (generally, for investment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pre-funded warrants under the constructive sale provisions of the Code;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or pre-funded warrants pursuant to the exercise of any employee stock option or otherwise as compensation.</w:t>
      </w:r>
    </w:p>
    <w:p>
      <w:pPr>
        <w:spacing w:after="0" w:line="5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Such investors are urged to consult their own tax advisors to determine the U.S. federal, state, local and other tax consequences that may be relevant to them.</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other pass-through entities or persons who hold our common stock or pre-funded warrants through partnerships or other entities which are pass-through entities for U.S. federal income tax purposes. If a partnership or other pass-through entity holds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common stock or pre-funded warrants, the tax treatment of a partner will generally depend upon the status of the partner and the activities of the partnership or other pass-through entity. A partner in a partnership or other pass-through entity that will hold our common stock or pre-funded warrants should consult his, her or its own tax advisor regarding the tax consequences of the ownership and disposition of our common stock or pre-funded warrants through a partnership or other pass-through entity, as applicable.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87" w:lineRule="exact"/>
        <w:rPr>
          <w:sz w:val="20"/>
          <w:szCs w:val="20"/>
          <w:color w:val="auto"/>
        </w:rPr>
      </w:pPr>
    </w:p>
    <w:p>
      <w:pPr>
        <w:ind w:left="120" w:right="140" w:firstLine="440"/>
        <w:spacing w:after="0" w:line="276" w:lineRule="auto"/>
        <w:rPr>
          <w:sz w:val="20"/>
          <w:szCs w:val="20"/>
          <w:color w:val="auto"/>
        </w:rPr>
      </w:pPr>
      <w:r>
        <w:rPr>
          <w:rFonts w:ascii="Times New Roman" w:cs="Times New Roman" w:eastAsia="Times New Roman" w:hAnsi="Times New Roman"/>
          <w:sz w:val="17"/>
          <w:szCs w:val="17"/>
          <w:color w:val="auto"/>
        </w:rPr>
        <w:t>For the purposes of this discussion, a “U.S. Holder” means a beneficial owner of our common stock or pre-funded warrants, other than a partnership or other pass-through entity, that is, for U.S. federal income tax purposes, (a) an individual who is a citizen or resident of the United States,</w:t>
      </w:r>
    </w:p>
    <w:p>
      <w:pPr>
        <w:spacing w:after="0" w:line="1" w:lineRule="exact"/>
        <w:rPr>
          <w:sz w:val="20"/>
          <w:szCs w:val="20"/>
          <w:color w:val="auto"/>
        </w:rPr>
      </w:pPr>
    </w:p>
    <w:p>
      <w:pPr>
        <w:ind w:left="120" w:right="60" w:hanging="4"/>
        <w:spacing w:after="0" w:line="253" w:lineRule="auto"/>
        <w:tabs>
          <w:tab w:leader="none" w:pos="3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or pre-funded warrants, other than a partnership or other pass-through entity, that, for U.S. federal income tax purposes, is (i) a foreign corporation, (ii) nonresident alien individual, or (iii) a foreign estate or trust that in each case is not subject to U.S. federal income tax on a net-income basis on income or gain from common stock or pre-funded warrants.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An individual non-U.S. citizen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or pre-funded warrants.</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PERSONS CONSIDERING THE PURCHASE OF OUR COMMON STOCK OR PRE-FUNDED WARRANTS PURSUANT TO THIS OFFERING SHOULD CONSULT THEIR OWN TAX ADVISORS CONCERNING THE U.S. FEDERAL INCOME TAX CONSEQUENCES OF ACQUIRING, OWNING AND DISPOSING OF OUR COMMON STOCK OR PRE-FUNDED WARRANTS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Characterization of the Pre-Funded Warrants for Tax Purposes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Although the characterization of the pre-funded warrants for U.S. federal income tax purposes is not entirely clear, because the exercise price of the pre-funded warrants is a nominal amount, we intend to treat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pre-funded warrants as our common stock for U.S. federal income tax purposes and a holder of pre-funded warrants should generally expect to be taxed in the same manner as a holder of common stock as described below. Accordingly, for U.S. federal income tax purposes, no gain or loss should be recognized upon the exercise of a pre-funded warrant (except to the extent of cash received in lieu of a fractional share),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$0.0001 per share. The balance of this discussion generally assumes that the characterization described above is respected for U.S. federal income tax purposes.</w:t>
      </w:r>
    </w:p>
    <w:p>
      <w:pPr>
        <w:spacing w:after="0" w:line="17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position with respect to the characterization of pre-funded warrants is not binding on the IRS and the IRS may treat the pre-funded warrants as warrants to acquire our common stock and, if so, the amount and character of a holder’s gain with respect to an investment in our pre-funded warrants could change. Each holder should consult its tax advisor regarding the characterization of pre-funded warrants for U.S. federal income tax purposes, and the consequences of an investment in the pre-funded warrants based on such holder’s own particular facts and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 and Pre-funded Warrants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stated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expect to make distributions on our common stock (or pre-funded warrants) in the foreseeable future. In the event that we do make distributions of cash or other property, distributions paid on common stock (or pre-funded warrants) will be treated as a dividend to the extent paid out of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qualified dividends rate, provided certain holding period requirements are satisfied. Distributions in excess of our current and accumulated earnings and profits will be treated as a return of capital to the extent of a U.S. Holder’s tax basis in the common stock (or pre-funded warrants) and thereafter as capital gain from the sale or exchange of such common stock (or pre-funded warrants). The tax treatment of such gain is further described in “—</w:t>
      </w:r>
      <w:r>
        <w:rPr>
          <w:rFonts w:ascii="Times New Roman" w:cs="Times New Roman" w:eastAsia="Times New Roman" w:hAnsi="Times New Roman"/>
          <w:sz w:val="18"/>
          <w:szCs w:val="18"/>
          <w:i w:val="1"/>
          <w:iCs w:val="1"/>
          <w:color w:val="auto"/>
        </w:rPr>
        <w:t>Sale or Other Disposition of Common Stock or Pre-funded Warrants</w:t>
      </w:r>
      <w:r>
        <w:rPr>
          <w:rFonts w:ascii="Times New Roman" w:cs="Times New Roman" w:eastAsia="Times New Roman" w:hAnsi="Times New Roman"/>
          <w:sz w:val="18"/>
          <w:szCs w:val="18"/>
          <w:color w:val="auto"/>
        </w:rPr>
        <w:t>” below. Dividends received by a corporation may be eligible for a dividends received deduction, subject to applicable limitations. Any such distributions will also be subject to the discussions below under the section titled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of a pre-funded warrant is entitled to receive certain distributions paid with respect to common stock prior to the exercise of the pre-funded warrant and, in such case, would be taxed in the same manner as a U.S. Holder of common stock that receives such a distribution. However, under certain circumstances, it is possible for the distributions to be held in abeyance for the U.S. Holder until a pre-funded warrant is exercised or the ownership limitations (described under “</w:t>
      </w:r>
      <w:r>
        <w:rPr>
          <w:rFonts w:ascii="Times New Roman" w:cs="Times New Roman" w:eastAsia="Times New Roman" w:hAnsi="Times New Roman"/>
          <w:sz w:val="18"/>
          <w:szCs w:val="18"/>
          <w:i w:val="1"/>
          <w:iCs w:val="1"/>
          <w:color w:val="auto"/>
        </w:rPr>
        <w:t>Description of Pre-Funded Warrants</w:t>
      </w:r>
      <w:r>
        <w:rPr>
          <w:rFonts w:ascii="Times New Roman" w:cs="Times New Roman" w:eastAsia="Times New Roman" w:hAnsi="Times New Roman"/>
          <w:sz w:val="18"/>
          <w:szCs w:val="18"/>
          <w:color w:val="auto"/>
        </w:rPr>
        <w:t>”) would not be exceeded, at which time such U.S. Holder shall be entitled to receive distributions. It is possible that such entitlement to distributions could cause the declaration of a distribution on our common stock to be currently taxable to U.S. Holders of pre-funded warrants, including under the principles governing Section 305 of the Code, even though the holders will not receive such distributions until a future date. Additionally, it is possible that other adjustments to the terms of the pre-funded warrants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and the tax treatment of any other adjustments to the pre-funded warrants.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 or Pre-funded Warrants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gain or loss realized on the sale or other disposition of common stock or pre-funded warrants by a U.S. Holder will be capital gain or loss, and will be long-term capital gain or loss if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U.S. Holder has held the common stock or pre-funded warrants for more than one year. The amount of the gain or loss will equal the difference between the U.S. holder’s adjusted tax basis in the common stock or pre-funded warrants disposed of and the amount realized on the disposition. Long-term capital gains recognized by non-corporate U.S. Holders will be subject to reduced tax rates. The deductibility of capital losses is subject to limitations.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any payments of distributions on our common stock and pre-funded warrants, constructive distributions on our pre-funded warrants, and gross proceeds on the sale or other disposition of our common stock and pre-funded warrants, unless the U.S. Holder is an exempt recipient (such as a corporation),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 and Pre-funded Warrants</w:t>
      </w:r>
    </w:p>
    <w:p>
      <w:pPr>
        <w:spacing w:after="0" w:line="119"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7"/>
          <w:szCs w:val="17"/>
          <w:color w:val="auto"/>
        </w:rPr>
        <w:t>As stated under “</w:t>
      </w:r>
      <w:r>
        <w:rPr>
          <w:rFonts w:ascii="Times New Roman" w:cs="Times New Roman" w:eastAsia="Times New Roman" w:hAnsi="Times New Roman"/>
          <w:sz w:val="17"/>
          <w:szCs w:val="17"/>
          <w:i w:val="1"/>
          <w:iCs w:val="1"/>
          <w:color w:val="auto"/>
        </w:rPr>
        <w:t>Dividend Policy</w:t>
      </w:r>
      <w:r>
        <w:rPr>
          <w:rFonts w:ascii="Times New Roman" w:cs="Times New Roman" w:eastAsia="Times New Roman" w:hAnsi="Times New Roman"/>
          <w:sz w:val="17"/>
          <w:szCs w:val="17"/>
          <w:color w:val="auto"/>
        </w:rPr>
        <w:t>,” we do not expect to make any distributions on our common stock (or pre-funded warrants) in the foreseeable future. If we do make distributions on our common stock (or pre-funded warrants),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(or pre-funded warrants). Any remaining excess will be treated as gain realized as described below under the section titled “—</w:t>
      </w:r>
      <w:r>
        <w:rPr>
          <w:rFonts w:ascii="Times New Roman" w:cs="Times New Roman" w:eastAsia="Times New Roman" w:hAnsi="Times New Roman"/>
          <w:sz w:val="17"/>
          <w:szCs w:val="17"/>
          <w:i w:val="1"/>
          <w:iCs w:val="1"/>
          <w:color w:val="auto"/>
        </w:rPr>
        <w:t>Sale or Other Disposition of Common Stock and Pre-funded Warrants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Any distribution on our common stock (or pre-funded warrants)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A Non-U.S. holder that is eligible for a reduced rate of U.S. withholding tax under an income tax treaty should consult with its own tax advisor to determine if such holder is able to obtain a refund or credit of any excess amounts withheld by timely filing an appropriate claim for a refund with the IRS.</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(or any applicable withholding agent)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 of our common stock are held through 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financial institution or other agent, to the applicable withholding agent). In general, such effectively connected dividends will be subject to U.S. federal income tax on a net income basis at the regular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83"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A Non-U.S. Holder of a pre-funded warrant is entitled to receive certain distributions paid with respect to common stock prior to the exercise of the pre-funded warrant and, in such case, would be taxed in the same manner as a Non-U.S. Holder of common stock that receives such a distribution. However, under certain circumstances, it is possible for the distribution to be held in abeyance for a Non-U.S. Holder until a pre-funded warrant is exercised or the ownership limitations (described under “</w:t>
      </w:r>
      <w:r>
        <w:rPr>
          <w:rFonts w:ascii="Times New Roman" w:cs="Times New Roman" w:eastAsia="Times New Roman" w:hAnsi="Times New Roman"/>
          <w:sz w:val="17"/>
          <w:szCs w:val="17"/>
          <w:i w:val="1"/>
          <w:iCs w:val="1"/>
          <w:color w:val="auto"/>
        </w:rPr>
        <w:t>Description of Pre-Funded Warrants</w:t>
      </w:r>
      <w:r>
        <w:rPr>
          <w:rFonts w:ascii="Times New Roman" w:cs="Times New Roman" w:eastAsia="Times New Roman" w:hAnsi="Times New Roman"/>
          <w:sz w:val="17"/>
          <w:szCs w:val="17"/>
          <w:color w:val="auto"/>
        </w:rPr>
        <w:t>”) would not be exceeded, at which time the Non-U.S. Holder shall be entitled to receive distributions. It is possible that such entitlement to distributions could cause the declaration of a distribution on our common stock to be currently taxable to Non-U.S. Holders of pre-funded warrants, including under the principles governing Section 305 of the Code, even though such holders will not receive the distributions until a future date. Additionally, it is possible that other adjustments to the terms of the pre-funded warrants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and the tax treatment of any other adjustments to the pre-funded warrants.</w:t>
      </w:r>
    </w:p>
    <w:p>
      <w:pPr>
        <w:spacing w:after="0" w:line="175"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See also the section below titled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for additional withholding rules that may apply to dividends paid to certain foreign financial institutions or non-financial foreign entities.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 and Pre-funded Warrants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the sections titled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a Non-U.S. Holder generally will not be subject to U.S. federal income or withholding tax with respect to gain realized on a sale or other disposition of our common stock or pre-funded warrants unless (a) the gain is effectively connected with a trade or business of the holder in the United States (and, if required by an applicable income tax treaty, is attributable to a permanent establishment or fixed base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unless any class of our stock is regularly traded on an established securities market and the Non-U.S. Holder disposes of such class of stock and holds no more than 5% of such class of stock, directly or indirectly, actually or constructively, during the shorter of the 5-year period ending on the date of the disposition or the period that the Non-U.S. Holder held such class of stock.</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you are a Non-U.S. Holder described in (a) above, you will be required to pay tax on the net gain derived from the sale at the regular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An individual Non-U.S. Holder described in (b) above will be required to pay a flat 30% tax on the gain derived from the sale, which gain may be offset by certain U.S. source capital losses (even though such holder is not considered a resident of the United States), provided such holder has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 will not become a U.S. real property holding corporation in the future. Special rules may apply to holders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pre-funded warrants. Non-U.S. Holders of pre-funded warrants should consult their own tax advisors regarding the application of these rules to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Generally, we or certain financial middlemen must report information to the IRS with respect to any distributions we pay on our common stock or pre-funded warrants and any constructive distributions deemed paid on pre-funded warrants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64"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current U.S. federal income tax law, U.S. information reporting and backup withholding requirements generally will apply to the proceeds of a disposition of our common stock or pre-funded warrants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backup withholding is applied to a Non-U.S. Holder, such Non-U.S. holder should consult with its own tax advisor to determine whether such Non-U.S. Holder has overpaid U.S. federal income tax, and whether such Non-U.S. holder is able to obtain a tax refund or credit of the overpaid amount.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and separately from the withholding rules described above, U.S. federal withholding taxes may apply under the Foreign Account Tax Compliance Act, or FATCA, on certain types of payments, including dividends to non-U.S. financial institutions and certain other non-U.S. entities. Specifically, a 30% withholding tax may be imposed on dividends paid in respect of our common stock or pre-funded warrants, constructive distributions deemed paid with respect to pre-funded warrants and the gross proceeds of the disposition of our common stock or pre-funded warrants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Treasury Secretary has issued proposed regulations providing that the withholding provisions under FATCA do not apply with respect to payment of gross proceeds from a sale or other disposition, which may be relied upon by taxpayers until final regulations are issued. Prospective investors should consult their tax advisors regarding the potential application of withholding under FATCA to their investment in our common stock or pre-funded warrants.</w:t>
      </w:r>
    </w:p>
    <w:p>
      <w:pPr>
        <w:spacing w:after="0" w:line="180"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TAX CONSEQUENCES OF PURCHASING, HOLDING AND DISPOSING OF OUR COMMON STOCK AND PRE-FUNDED WARRANTS, INCLUDING THE CONSEQUENCES OF ANY PROPOSED CHANGE IN APPLICABLE LAW, AS WELL AS TAX CONSEQUENCES ARISING UNDER ANY STATE, LOCAL, NON-U.S. OR U.S. FEDERAL NON-INCOME TAX LAWS SUCH AS ESTATE AND GIFT TAX.</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offering the shares of common stock and pre-funded warrants described in this prospectus supplement through a number of underwriters. Jefferies LLC, Leerink Partners LLC, Stifel, Nicolaus &amp; Company, Incorporated and Cantor Fitzgerald &amp; Co. are acting as joint book-running managers of the offering and as representatives of the underwriters. We intend to enter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and pre-funded warrants listed next to its name in the following table:</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96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3"/>
                <w:szCs w:val="13"/>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640" w:type="dxa"/>
            <w:vAlign w:val="bottom"/>
            <w:vMerge w:val="restart"/>
          </w:tcPr>
          <w:p>
            <w:pPr>
              <w:spacing w:after="0"/>
              <w:rPr>
                <w:sz w:val="12"/>
                <w:szCs w:val="12"/>
                <w:color w:val="auto"/>
              </w:rPr>
            </w:pP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960" w:type="dxa"/>
            <w:vAlign w:val="bottom"/>
          </w:tcPr>
          <w:p>
            <w:pPr>
              <w:jc w:val="right"/>
              <w:ind w:right="202"/>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10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Jefferies LLC</w:t>
            </w:r>
          </w:p>
        </w:tc>
        <w:tc>
          <w:tcPr>
            <w:tcW w:w="960" w:type="dxa"/>
            <w:vAlign w:val="bottom"/>
            <w:tcBorders>
              <w:top w:val="single" w:sz="8" w:color="auto"/>
            </w:tcBorders>
            <w:shd w:val="clear" w:color="auto" w:fill="CCEEFF"/>
          </w:tcPr>
          <w:p>
            <w:pPr>
              <w:jc w:val="right"/>
              <w:ind w:right="62"/>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9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shares of common stock and pre-funded warrants offered by us if they purchase any shares or pre-funded warrants. The underwriting agreement also provides that if an underwriter defaults, the purchase commitments of non-defaulting underwriters may also be increased or the offering may be terminated.</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and pre-funded warrants directly to the public at the public offering price set forth on the cover page of this prospectus supplement and to certain dealers at that price less a concession not in excess of $      per share. After the initial offering of the shares to the public, if all of the shares are not sold at the public offering price, the underwriters may change the offering price and the other selling terms. Sales of any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from time to time, in whole or in part, up to an aggregate of       shares of common stock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shares of common stock proportionate to that underwriter’s initial purchase commitment as indicated in the table above.</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per share of common stock, or the offering price per pre-funded warrant less the amount paid by the underwriters to us per pre-funded warrant, as the case may be. The underwriting fee is $      per share and per pre-funded warrant. The following table shows the per share, per pre-funded warrant and total underwriting discounts and commissions to be paid to the underwriters, assuming both no exercise and full exercise of the underwriters’ option to purchase additional shares.</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27" w:lineRule="exact"/>
        <w:rPr>
          <w:sz w:val="20"/>
          <w:szCs w:val="20"/>
          <w:color w:val="auto"/>
        </w:rPr>
      </w:pPr>
    </w:p>
    <w:p>
      <w:pPr>
        <w:ind w:left="740" w:right="40" w:hanging="179"/>
        <w:spacing w:after="0" w:line="258" w:lineRule="auto"/>
        <w:rPr>
          <w:sz w:val="20"/>
          <w:szCs w:val="20"/>
          <w:color w:val="auto"/>
        </w:rPr>
      </w:pPr>
      <w:r>
        <w:rPr>
          <w:rFonts w:ascii="Times New Roman" w:cs="Times New Roman" w:eastAsia="Times New Roman" w:hAnsi="Times New Roman"/>
          <w:sz w:val="18"/>
          <w:szCs w:val="18"/>
          <w:color w:val="auto"/>
        </w:rPr>
        <w:t>Underwriting discounts and commissions to be paid by us</w:t>
      </w:r>
    </w:p>
    <w:p>
      <w:pPr>
        <w:ind w:left="560"/>
        <w:spacing w:after="0"/>
        <w:rPr>
          <w:sz w:val="20"/>
          <w:szCs w:val="20"/>
          <w:color w:val="auto"/>
        </w:rPr>
      </w:pPr>
      <w:r>
        <w:rPr>
          <w:rFonts w:ascii="Times New Roman" w:cs="Times New Roman" w:eastAsia="Times New Roman" w:hAnsi="Times New Roman"/>
          <w:sz w:val="18"/>
          <w:szCs w:val="18"/>
          <w:color w:val="auto"/>
        </w:rPr>
        <w:t>Proceeds, before expenses to us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600" w:type="dxa"/>
            <w:vAlign w:val="bottom"/>
            <w:vMerge w:val="restart"/>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Per Pre-</w:t>
            </w:r>
          </w:p>
        </w:tc>
        <w:tc>
          <w:tcPr>
            <w:tcW w:w="1740" w:type="dxa"/>
            <w:vAlign w:val="bottom"/>
            <w:gridSpan w:val="2"/>
            <w:vMerge w:val="restart"/>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Without option to</w:t>
            </w: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900" w:type="dxa"/>
            <w:vAlign w:val="bottom"/>
            <w:gridSpan w:val="2"/>
          </w:tcPr>
          <w:p>
            <w:pPr>
              <w:jc w:val="center"/>
              <w:ind w:left="619"/>
              <w:spacing w:after="0" w:line="149" w:lineRule="exact"/>
              <w:rPr>
                <w:sz w:val="20"/>
                <w:szCs w:val="20"/>
                <w:color w:val="auto"/>
              </w:rPr>
            </w:pPr>
            <w:r>
              <w:rPr>
                <w:rFonts w:ascii="Times New Roman" w:cs="Times New Roman" w:eastAsia="Times New Roman" w:hAnsi="Times New Roman"/>
                <w:sz w:val="14"/>
                <w:szCs w:val="14"/>
                <w:b w:val="1"/>
                <w:bCs w:val="1"/>
                <w:color w:val="auto"/>
              </w:rPr>
              <w:t>With full option to</w:t>
            </w:r>
          </w:p>
        </w:tc>
        <w:tc>
          <w:tcPr>
            <w:tcW w:w="0" w:type="dxa"/>
            <w:vAlign w:val="bottom"/>
          </w:tcPr>
          <w:p>
            <w:pPr>
              <w:spacing w:after="0"/>
              <w:rPr>
                <w:sz w:val="1"/>
                <w:szCs w:val="1"/>
                <w:color w:val="auto"/>
              </w:rPr>
            </w:pPr>
          </w:p>
        </w:tc>
      </w:tr>
      <w:tr>
        <w:trPr>
          <w:trHeight w:val="148"/>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Funded</w:t>
            </w:r>
          </w:p>
        </w:tc>
        <w:tc>
          <w:tcPr>
            <w:tcW w:w="174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purchase additional</w:t>
            </w:r>
          </w:p>
        </w:tc>
        <w:tc>
          <w:tcPr>
            <w:tcW w:w="190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 additional</w:t>
            </w:r>
          </w:p>
        </w:tc>
        <w:tc>
          <w:tcPr>
            <w:tcW w:w="0" w:type="dxa"/>
            <w:vAlign w:val="bottom"/>
          </w:tcPr>
          <w:p>
            <w:pPr>
              <w:spacing w:after="0"/>
              <w:rPr>
                <w:sz w:val="1"/>
                <w:szCs w:val="1"/>
                <w:color w:val="auto"/>
              </w:rPr>
            </w:pPr>
          </w:p>
        </w:tc>
      </w:tr>
      <w:tr>
        <w:trPr>
          <w:trHeight w:val="168"/>
        </w:trPr>
        <w:tc>
          <w:tcPr>
            <w:tcW w:w="680" w:type="dxa"/>
            <w:vAlign w:val="bottom"/>
            <w:vMerge w:val="continue"/>
          </w:tcPr>
          <w:p>
            <w:pPr>
              <w:spacing w:after="0"/>
              <w:rPr>
                <w:sz w:val="14"/>
                <w:szCs w:val="14"/>
                <w:color w:val="auto"/>
              </w:rPr>
            </w:pPr>
          </w:p>
        </w:tc>
        <w:tc>
          <w:tcPr>
            <w:tcW w:w="160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52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shares exercise</w:t>
            </w:r>
          </w:p>
        </w:tc>
        <w:tc>
          <w:tcPr>
            <w:tcW w:w="800" w:type="dxa"/>
            <w:vAlign w:val="bottom"/>
          </w:tcPr>
          <w:p>
            <w:pPr>
              <w:spacing w:after="0"/>
              <w:rPr>
                <w:sz w:val="14"/>
                <w:szCs w:val="14"/>
                <w:color w:val="auto"/>
              </w:rPr>
            </w:pPr>
          </w:p>
        </w:tc>
        <w:tc>
          <w:tcPr>
            <w:tcW w:w="11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shares exercise</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          </w:t>
            </w:r>
          </w:p>
        </w:tc>
        <w:tc>
          <w:tcPr>
            <w:tcW w:w="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427"/>
        </w:trPr>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80" w:type="dxa"/>
            <w:vAlign w:val="bottom"/>
          </w:tcPr>
          <w:p>
            <w:pPr>
              <w:spacing w:after="0"/>
              <w:rPr>
                <w:sz w:val="24"/>
                <w:szCs w:val="24"/>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S-25</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-2627630</wp:posOffset>
            </wp:positionH>
            <wp:positionV relativeFrom="paragraph">
              <wp:posOffset>-796290</wp:posOffset>
            </wp:positionV>
            <wp:extent cx="642937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29375" cy="14605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-367665</wp:posOffset>
            </wp:positionV>
            <wp:extent cx="642937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ectPr>
          <w:pgSz w:w="11900" w:h="16838" w:orient="portrait"/>
          <w:cols w:equalWidth="0" w:num="2">
            <w:col w:w="3980" w:space="720"/>
            <w:col w:w="6400"/>
          </w:cols>
          <w:pgMar w:left="320" w:top="455" w:right="4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        .</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and all of our directors and officers have agreed that, without the prior written consent of Jefferies LLC and Leerink Partners LLC, we and they will not, and will not publicly disclose an intention to, during the period ending 45 days after the date of this prospectus supplement (the “restricted period”):</w:t>
      </w:r>
    </w:p>
    <w:p>
      <w:pPr>
        <w:spacing w:after="0" w:line="81" w:lineRule="exact"/>
        <w:rPr>
          <w:sz w:val="20"/>
          <w:szCs w:val="20"/>
          <w:color w:val="auto"/>
        </w:rPr>
      </w:pPr>
    </w:p>
    <w:p>
      <w:pPr>
        <w:ind w:left="1080" w:right="6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subject to the lock-up agreement;</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 relating to the offering of any shares of common stock or any securities convertible into or exercisable or exchangeable for common stock; or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subject to the lock-up agreement;</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Jefferies LLC and Leerink Partners LLC, we or such other person will not, during the restricted period, make any demand for, or exercise any right with respect to, the registration of any shares of common stock subject to the lock-up agreement or any security convertible into or exercisable or exchangeable for common stock.</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relation to us, the restrictions described above do not apply to:</w:t>
      </w:r>
    </w:p>
    <w:p>
      <w:pPr>
        <w:spacing w:after="0" w:line="131"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under the underwriting agreement;</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a warrant or the conversion of a security outstanding on the date of this prospectus supplement in the manner described in this prospectus supplement or the information incorporated by reference herein;</w:t>
      </w:r>
    </w:p>
    <w:p>
      <w:pPr>
        <w:spacing w:after="0" w:line="81"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shares of common stock or other securities acquired in open market transactions after the completion of the offering of the shares; provided that no filing under Section 16(a) of the Securities Exchange Act of 1934, as amended (the “Exchange Act”), is required or voluntarily made in connection with subsequent sales of the common stock or other securities acquired in such open market transactions;</w:t>
      </w:r>
    </w:p>
    <w:p>
      <w:pPr>
        <w:spacing w:after="0" w:line="85"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registration statements on Form S-8 with respect to the employee benefit plans described in this prospectus supplement or the documents incorporated by reference herein;</w:t>
      </w:r>
    </w:p>
    <w:p>
      <w:pPr>
        <w:spacing w:after="0" w:line="67"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or options to purchase shares of common stock to our employees, officers, directors, advisors or consultants pursuant to employee benefit plans described in this prospectus supplement or in the information incorporated by reference herein, provided that, prior to the issuance of any such shares or the grant of any such options to any director or executive officer elected or appointed following the date of this prospectus supplement and prior to the end of the Restricted Period, we shall cause each such recipient of such grant or issuance to execute and deliver a “lock-up” agreement;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5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of or entry into an agreement to sell or issue shares of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our common stock that we may sell or issue or agree to sell or issue may not exceed 5% of the total number of shares of our common stock issued and outstanding immediately following the completion of the transactions contemplated by the underwriting agreement and provided further that we cause each recipient of such shares to execute and a lock up agreement;</w:t>
      </w:r>
    </w:p>
    <w:p>
      <w:pPr>
        <w:spacing w:after="0" w:line="94"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or</w:t>
      </w:r>
    </w:p>
    <w:p>
      <w:pPr>
        <w:spacing w:after="0" w:line="88"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pursuant to a placement made under any “at-the-market” offering program described in the Time of Sale Prospectus and the Prospectus, provided that no shares may be offered or sold pursuant to such program during the period ending 30 days after the date of the 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relation to our directors and executive officers, the restrictions described above do not apply to:</w:t>
      </w:r>
    </w:p>
    <w:p>
      <w:pPr>
        <w:spacing w:after="0" w:line="131" w:lineRule="exact"/>
        <w:rPr>
          <w:sz w:val="20"/>
          <w:szCs w:val="20"/>
          <w:color w:val="auto"/>
        </w:rPr>
      </w:pPr>
    </w:p>
    <w:p>
      <w:pPr>
        <w:ind w:left="1080" w:right="10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this offering or in such open market transactions;</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as a bona fide gift or to a charitable organization or educational institution in a transfer not involving a disposition for value;</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any immediate family member or any trust for the direct or indirect benefit of any immediate family member in a transaction not involving a disposition for value;</w:t>
      </w:r>
    </w:p>
    <w:p>
      <w:pPr>
        <w:spacing w:after="0" w:line="81" w:lineRule="exact"/>
        <w:rPr>
          <w:rFonts w:ascii="Times New Roman" w:cs="Times New Roman" w:eastAsia="Times New Roman" w:hAnsi="Times New Roman"/>
          <w:sz w:val="18"/>
          <w:szCs w:val="18"/>
          <w:color w:val="auto"/>
        </w:rPr>
      </w:pPr>
    </w:p>
    <w:p>
      <w:pPr>
        <w:ind w:left="1080" w:right="40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common stock to general or limited partners, members, beneficiaries or other equityholders, direct or indirect affiliates (as defined in Rule 405 promulgated under the Securities Act) or to an investment fund or other entity that controls or manages, or is under common control with certain holders and their affiliates;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w:t>
      </w:r>
    </w:p>
    <w:p>
      <w:pPr>
        <w:spacing w:after="0" w:line="27" w:lineRule="exact"/>
        <w:rPr>
          <w:rFonts w:ascii="Times New Roman" w:cs="Times New Roman" w:eastAsia="Times New Roman" w:hAnsi="Times New Roman"/>
          <w:sz w:val="18"/>
          <w:szCs w:val="18"/>
          <w:color w:val="auto"/>
        </w:rPr>
      </w:pP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by will, other testamentary document or intestate succession to the legal representative, heir, beneficiary or a member of their immediate family upon their death or (ii) by operation of law pursuant to orders of a court or regulatory agency, in connection with a negotiated divorce settlement or pursuant to a qualified domestic relations order;</w:t>
      </w:r>
    </w:p>
    <w:p>
      <w:pPr>
        <w:spacing w:after="0" w:line="91"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us pursuant to any contractual arrangement in effect on the date of this agreement and disclosed to the underwriter in writing that provides for the repurchase of common stock or other securities by us or in connection with the termination of employment with or service to us; provided that (i) the repurchase price for any such shares or securities shall not exceed the original purchase price (subject to appropriate adjustment in the event of any stock dividend, stock split,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312" w:lineRule="auto"/>
        <w:rPr>
          <w:sz w:val="20"/>
          <w:szCs w:val="20"/>
          <w:color w:val="auto"/>
        </w:rPr>
      </w:pPr>
      <w:r>
        <w:rPr>
          <w:rFonts w:ascii="Times New Roman" w:cs="Times New Roman" w:eastAsia="Times New Roman" w:hAnsi="Times New Roman"/>
          <w:sz w:val="17"/>
          <w:szCs w:val="17"/>
          <w:color w:val="auto"/>
        </w:rPr>
        <w:t>combination or other similar recapitalization) paid and (ii) any filing under Section 16(a) of the Exchange Act reporting a reduction in beneficial ownership of shares of common stock shall indicate by footnote disclosure or otherwise the nature of the transfer or disposition);</w:t>
      </w:r>
    </w:p>
    <w:p>
      <w:pPr>
        <w:spacing w:after="0" w:line="45" w:lineRule="exact"/>
        <w:rPr>
          <w:sz w:val="20"/>
          <w:szCs w:val="20"/>
          <w:color w:val="auto"/>
        </w:rPr>
      </w:pPr>
    </w:p>
    <w:p>
      <w:pPr>
        <w:ind w:left="1080" w:hanging="532"/>
        <w:spacing w:after="0" w:line="253"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other securities to us in connection with the conversion of any convertible security into, or the exercise of any option or warrant for, shares of common stock (including by way of “net” or “cashless” exercise solely to cover withholding tax obligations in connection with such exercise or transfer to us for the payment of taxes as a result of such exercise); provided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 of the offering;</w:t>
      </w:r>
    </w:p>
    <w:p>
      <w:pPr>
        <w:spacing w:after="0" w:line="9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other securities to us in connection with the vesting or settlement of restricted stock units, so long as such sale is effected pursuant to our sell to cover policy solely in an amount sufficient to cover withhold taxes, provided that (i) to the extent a filing under Section 16(a) of the Exchange Act shall be required, the filing shall clearly indicate in the footnotes thereto that the filing relates to the circumstances described herein and (ii) no other public announcement shall be required or shall be made voluntary in connection with such transfer;</w:t>
      </w:r>
    </w:p>
    <w:p>
      <w:pPr>
        <w:spacing w:after="0" w:line="88" w:lineRule="exact"/>
        <w:rPr>
          <w:rFonts w:ascii="Times New Roman" w:cs="Times New Roman" w:eastAsia="Times New Roman" w:hAnsi="Times New Roman"/>
          <w:sz w:val="18"/>
          <w:szCs w:val="18"/>
          <w:color w:val="auto"/>
        </w:rPr>
      </w:pPr>
    </w:p>
    <w:p>
      <w:pPr>
        <w:ind w:left="1080" w:right="200" w:hanging="532"/>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stockholder,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undersigned or us regarding the establishment of such plan, such announcement or filing shall include a statement to the effect that no transfer of common stock may be made under such plan during the restricted period;</w:t>
      </w:r>
    </w:p>
    <w:p>
      <w:pPr>
        <w:spacing w:after="0" w:line="88" w:lineRule="exact"/>
        <w:rPr>
          <w:rFonts w:ascii="Times New Roman" w:cs="Times New Roman" w:eastAsia="Times New Roman" w:hAnsi="Times New Roman"/>
          <w:sz w:val="18"/>
          <w:szCs w:val="18"/>
          <w:color w:val="auto"/>
        </w:rPr>
      </w:pPr>
    </w:p>
    <w:p>
      <w:pPr>
        <w:ind w:left="1080" w:right="80" w:hanging="532"/>
        <w:spacing w:after="0" w:line="254"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securities convertible into or exercisable or exchangeable for common stock) pursuant to a bona fide third-party tender offer for shares of our capital stock made to all holders of our securities, merger, consolidation or other similar transaction approved by our board of directors and occurring after the closing of this offering, the result of which is that any person (as defined in Section 13(d)(3) of the Exchange Act), or group of persons, other than us, becomes the beneficial owner (as defined in Rules 13d-3 and 13d-5 of the Exchange Act) of more than 50% of the total voting power of our voting stock; provided that in the event that such change of control transaction is not completed, the shares of common stock (or any security convertible into or exercisable or exchangeable for common stock) owned by the stockholder, officer or director shall remain subject to the restrictions contained in the lock-up agreement and title to the such shares shall remain with the applicable stockholder, officer or director; or</w:t>
      </w:r>
    </w:p>
    <w:p>
      <w:pPr>
        <w:spacing w:after="0" w:line="97"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transfer of shares of common stock pursuant to a written trading plan pursuant to Rule 10b5-1 under the Exchange Act that has been entered into prior to the date of the lock-up agreement; provided that no amendments or other modifications are made to such plans during the restricted period and that, to the extent a public announcement or filing under the Exchange Act, if any, is required or voluntarily made regarding such sales or transfers, such announcement or filing shall include a statement to the effect that the sale or transfer was made pursuant to a trading plan pursuant to Rule 10b5-1 of the Exchange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provided that in the case of any transfer or distribution pursuant to clause (b), (c), (d) or (e), (i) each transferee, donee or distributee shall sign and deliver a lock-up agreement substantially in the form of the lock-up agreement signed by the transferor, donor or distributor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under the Exchange Act due to their relationship with us, in which case any such filing will indicate by footnote disclosure or otherwise the nature of the transfer or disposition).</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Jefferies LLC and Leerink Partners LLC, in their sole discretion, may release the securities subject to any of the lock-up agreements with the underwriters described above, in whole or in part at any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Market under the symbol “IRON.” We do not intend to list the pre-funded warrants on the Nasdaq Global Market, any other nationally recognized securities exchange or any other nationally recognized trading system.</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90"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0"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In addition, in connection with this offering certain of the underwriters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40"/>
          </w:cols>
          <w:pgMar w:left="320" w:top="455"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State”), no shares or pre-funded warrants have been offered or will be offered pursuant to the offering to the public in that Relevant State prior to the publication of a prospectus in relation to the shares or pre-funded warrants which has been approved by the competent authority in that Relevant State or, where appropriate, approved in another Relevant State and notified to the competent authority in that Relevant State, all in accordance with the Prospectus Regulation, except that offers of shares or pre-funded warrants may be made to the public in that Relevant State at any time under the following exemptions under the Prospectus Regulation:</w:t>
      </w:r>
    </w:p>
    <w:p>
      <w:pPr>
        <w:spacing w:after="0" w:line="73"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i w:val="1"/>
          <w:iCs w:val="1"/>
          <w:color w:val="auto"/>
        </w:rPr>
        <w:t>provided that no such offer of shares or pre-funded warrants shall require us or any underwriter to publish a prospectus pursuant to Article 3 of the Prospectus Regulation or supplement a prospectus pursuant to Article 23 of the Prospectus Regulation and each person who initially acquires any shares or pre-funded warrants or to whom any offer is made will be deemed to have represented, acknowledged and agreed to and with each of the underwriters and us that it is a “qualified investor” within the meaning of Article 2(e) of the Prospectus Regulation.</w:t>
      </w:r>
    </w:p>
    <w:p>
      <w:pPr>
        <w:spacing w:after="0" w:line="18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the case of any shares or pre-funded warrants being offered to a financial intermediary as that term is used in the Prospectus Regulation, each such financial intermediary will be deemed to have represented, acknowledged and agreed that the shares or pre-funded warrants acquired by it in the offer have not been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acquired on a non-discretionary basis on behalf of, nor have they been acquired with a view to their offer or resale to, persons in circumstances which may give rise to an offer of any shares or pre-funded warrants to the public other than their offer or resale in a Relevant State to qualified investors as so defined or in circumstances in which the prior consent of the underwriters has been obtained to each such proposed offer or resale.</w:t>
      </w:r>
    </w:p>
    <w:p>
      <w:pPr>
        <w:spacing w:after="0" w:line="176"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shares in any Relevant State means the communication in any form and by any means of sufficient information on the terms of the offer and any shares or pre-funded warrants to be offered so as to enable an investor to decide to purchase or subscribe for any shares or pre-funded warrants, and the expression “Prospectus Regulation” means Regulation (EU)</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2017/1129.</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No shares or pre-funded warrants have been offered or will be offered pursuant to the offering to the public in the United Kingdom prior to the publication of a prospectus in relation to the shares or pre-funded warrants which has been approved by the Financial Conduct Authority, except that the shares or pre-funded warrants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223"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or pre-funded warrants shall require us or any underwriter to publish a prospectus pursuant to Section 85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FSMA or supplement a prospectus pursuant to Article 23 of the U.K. Prospectus Regulation. For the purposes of this provision, the expression an “offer to the public” in relation to the shares or pre-funded warrants in the United Kingdom means the communication in any form and by any means of sufficient information on the terms of the offer and any shares or pre-funded warrants to be offered so as to enable an investor to decide to purchase or subscribe for any shares or pre-funded warrants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w:t>
      </w:r>
    </w:p>
    <w:p>
      <w:pPr>
        <w:spacing w:after="0" w:line="3" w:lineRule="exact"/>
        <w:rPr>
          <w:sz w:val="20"/>
          <w:szCs w:val="20"/>
          <w:color w:val="auto"/>
        </w:rPr>
      </w:pPr>
    </w:p>
    <w:p>
      <w:pPr>
        <w:jc w:val="both"/>
        <w:ind w:left="120" w:right="180" w:hanging="4"/>
        <w:spacing w:after="0" w:line="253" w:lineRule="auto"/>
        <w:tabs>
          <w:tab w:leader="none" w:pos="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Order (all such persons together being referred to as “relevant persons”) or otherwise in circumstances which have not resulted and will not result in an offer to the public of the shares or pre-funded warrants in the United Kingdom within the meaning of the FSMA.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shares or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31-103 Registration Requirements, Exemptions and Ongoing Registrant Obligations. Any resale of the shares or pre-funded warrants must be made in accordance with an exemption from, or in a transaction not subject to, the prospectus requirements of applicable securities laws.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or pre-funded warrants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the pre-funded warrants or the offering may be publicly distributed or otherwise made publicly available in Switzerland.</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or pre-funded warrants have been or will be filed with or approved by any Swiss regulatory authority. In particular, this document will not be filed with, and the offer of shares or pre-funded warrants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or pre-funded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shares or pre-funded warrants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or pre-funded warrants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or pre-funded warrants which are or are intended to be disposed of only to persons outside Hong Kong or only to “professional investors” as defined in the SFO and any rules made thereunder.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representatives have acknowledged that this prospectus supplement and the accompanying prospectus have not been registered as a prospectus with the Monetary Authority of Singapore. Accordingly, the representatives have represented and agreed that it has not offered or sold any shares or pre-funded warrants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58" w:lineRule="auto"/>
        <w:rPr>
          <w:sz w:val="20"/>
          <w:szCs w:val="20"/>
          <w:color w:val="auto"/>
        </w:rPr>
      </w:pPr>
      <w:r>
        <w:rPr>
          <w:rFonts w:ascii="Times New Roman" w:cs="Times New Roman" w:eastAsia="Times New Roman" w:hAnsi="Times New Roman"/>
          <w:sz w:val="18"/>
          <w:szCs w:val="18"/>
          <w:color w:val="auto"/>
        </w:rPr>
        <w:t>caused the shares or pre-funded warrants to be made the subject of an invitation for subscription or purchase and will not offer or sell any shares or pre-funded warrants or cause the shares or pre-funded warrants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shares or pre-funded warrants, whether directly or indirectly, to any person in Singapore other than:</w:t>
      </w:r>
    </w:p>
    <w:p>
      <w:pPr>
        <w:spacing w:after="0" w:line="89" w:lineRule="exact"/>
        <w:rPr>
          <w:sz w:val="20"/>
          <w:szCs w:val="20"/>
          <w:color w:val="auto"/>
        </w:rPr>
      </w:pPr>
    </w:p>
    <w:p>
      <w:pPr>
        <w:ind w:left="1080" w:right="2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1080" w:right="90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or pre-funded warrants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or pre-funded warrants pursuant to an offer made under Section 275 of the SFA except:</w:t>
      </w:r>
    </w:p>
    <w:p>
      <w:pPr>
        <w:spacing w:after="0" w:line="81"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w:t>
      </w:r>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SFA;</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or pre-funded warrants have not been and will not be registered pursuant to Article 4, Paragraph 1 of the Financial Instruments and Exchange Act. Accordingly, none of the shares, pre-funded warrants,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shares or pre-funded warrants have not been, and are not being, publicly offered, sold, promoted or advertised in the United Arab Emirates (including the Dubai International Financial Centre) other than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shares of common stock or pre-funded warrants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common stock or pre-funded warrants to any person within the State of Israel, other than to Qualified Investors and up to 35 Addressed Investors.</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5728—1968. In particular, we may request, as a condition to be offered common stock or pre-funded warrants,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 1968 regarding Qualified Investors is applicable to it; (iii) that it will abide by all provisions set forth in the Israeli Securities Law, 5728—1968 and the regulations promulgated thereunder in connection with the offer to be issued common stock or pre-funded warrants; (iv) that the shares of common stock or pre-funded warrants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and pre-funded warrants offered hereby will be passed upon for us by Goodwin Procter LLP, Boston, Massachusetts. Wilmer Cutler Pickering Hale and Dorr LLP, New York, New York, is acting as counsel to the underwriters in connection with this offering.</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00"/>
          </w:cols>
          <w:pgMar w:left="320" w:top="455"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Disc Medicine, Inc. appearing in Disc Medicine, Inc.’s Annual Report (Form 10-K) for the year ended December 31, 2023,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0880"/>
          </w:cols>
          <w:pgMar w:left="320" w:top="455" w:right="6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investor website at www.discmedicine.com.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040"/>
          </w:cols>
          <w:pgMar w:left="320" w:top="455"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the offering of the securities offered hereby is terminated or completed:</w:t>
      </w:r>
    </w:p>
    <w:p>
      <w:pPr>
        <w:spacing w:after="0" w:line="94"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6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March 21, 2024;</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2024, June 30, 2024 and September 30, 2024, filed with the SEC on </w:t>
      </w:r>
      <w:hyperlink r:id="rId62">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August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4">
        <w:r>
          <w:rPr>
            <w:rFonts w:ascii="Times New Roman" w:cs="Times New Roman" w:eastAsia="Times New Roman" w:hAnsi="Times New Roman"/>
            <w:sz w:val="18"/>
            <w:szCs w:val="18"/>
            <w:u w:val="single" w:color="auto"/>
            <w:color w:val="0000EE"/>
          </w:rPr>
          <w:t>November 12,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200" w:hanging="424"/>
        <w:spacing w:after="0" w:line="266" w:lineRule="auto"/>
        <w:tabs>
          <w:tab w:leader="none" w:pos="108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with the SEC on </w:t>
      </w:r>
      <w:hyperlink r:id="rId65">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April 2, 2024</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October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December 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January 21,</w:t>
        </w:r>
      </w:hyperlink>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excluding information furnished pursuant to Item 7.01); and</w:t>
        </w:r>
      </w:hyperlink>
    </w:p>
    <w:p>
      <w:pPr>
        <w:spacing w:after="0" w:line="81" w:lineRule="exact"/>
        <w:rPr>
          <w:rFonts w:ascii="Times New Roman" w:cs="Times New Roman" w:eastAsia="Times New Roman" w:hAnsi="Times New Roman"/>
          <w:sz w:val="18"/>
          <w:szCs w:val="18"/>
          <w:color w:val="0000EE"/>
        </w:rPr>
      </w:pPr>
    </w:p>
    <w:p>
      <w:pPr>
        <w:ind w:left="1080" w:hanging="424"/>
        <w:spacing w:after="0" w:line="25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2020, and as set forth by the description of our common stock set forth in </w:t>
      </w:r>
      <w:hyperlink r:id="rId72">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for the year ended December 31, 2021, filed with the SEC on March 10, 2022, and as further supplemented by the description of our common stock set forth in our Registration Statement on </w:t>
      </w:r>
      <w:hyperlink r:id="rId73">
        <w:r>
          <w:rPr>
            <w:rFonts w:ascii="Times New Roman" w:cs="Times New Roman" w:eastAsia="Times New Roman" w:hAnsi="Times New Roman"/>
            <w:sz w:val="18"/>
            <w:szCs w:val="18"/>
            <w:u w:val="single" w:color="auto"/>
            <w:color w:val="0000EE"/>
          </w:rPr>
          <w:t>Form S-4/A</w:t>
        </w:r>
      </w:hyperlink>
      <w:r>
        <w:rPr>
          <w:rFonts w:ascii="Times New Roman" w:cs="Times New Roman" w:eastAsia="Times New Roman" w:hAnsi="Times New Roman"/>
          <w:sz w:val="18"/>
          <w:szCs w:val="18"/>
          <w:color w:val="auto"/>
        </w:rPr>
        <w:t>, filed with the SEC on December 1, 2022,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(617) 674-9274</w:t>
      </w:r>
    </w:p>
    <w:p>
      <w:pPr>
        <w:spacing w:after="0" w:line="205" w:lineRule="exact"/>
        <w:rPr>
          <w:rFonts w:ascii="Times New Roman" w:cs="Times New Roman" w:eastAsia="Times New Roman" w:hAnsi="Times New Roman"/>
          <w:sz w:val="18"/>
          <w:szCs w:val="18"/>
          <w:color w:val="auto"/>
        </w:rPr>
      </w:pPr>
    </w:p>
    <w:p>
      <w:pPr>
        <w:ind w:left="120" w:right="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You may also access these documents, free of charge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or on our website at </w:t>
      </w:r>
      <w:r>
        <w:rPr>
          <w:rFonts w:ascii="Times New Roman" w:cs="Times New Roman" w:eastAsia="Times New Roman" w:hAnsi="Times New Roman"/>
          <w:sz w:val="17"/>
          <w:szCs w:val="17"/>
          <w:i w:val="1"/>
          <w:iCs w:val="1"/>
          <w:color w:val="auto"/>
        </w:rPr>
        <w:t>www.discmedicine.com</w:t>
      </w:r>
      <w:r>
        <w:rPr>
          <w:rFonts w:ascii="Times New Roman" w:cs="Times New Roman" w:eastAsia="Times New Roman" w:hAnsi="Times New Roman"/>
          <w:sz w:val="17"/>
          <w:szCs w:val="17"/>
          <w:color w:val="auto"/>
        </w:rPr>
        <w:t>. Information contained on our website is not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157"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prospectus.</w:t>
      </w:r>
    </w:p>
    <w:p>
      <w:pPr>
        <w:spacing w:after="0" w:line="176" w:lineRule="exact"/>
        <w:rPr>
          <w:rFonts w:ascii="Times New Roman" w:cs="Times New Roman" w:eastAsia="Times New Roman" w:hAnsi="Times New Roman"/>
          <w:sz w:val="18"/>
          <w:szCs w:val="18"/>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173990</wp:posOffset>
            </wp:positionV>
            <wp:extent cx="3737610" cy="5918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37376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in one or more series or classes, our Common Stock, Preferred Stock, Debt Securities, Warrants or Units, in each case in one or more issuances and at prices and on terms that we will determine at the time of the offering.</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August 7, 2024, the closing price of our common stock, as reported on The Nasdaq Global Market, was $41.27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60" w:firstLine="44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10 of this prospectus and under any similar heading in the documents that are incorporated by reference into this prospectus, as well as “</w:t>
      </w:r>
      <w:r>
        <w:rPr>
          <w:rFonts w:ascii="Times New Roman" w:cs="Times New Roman" w:eastAsia="Times New Roman" w:hAnsi="Times New Roman"/>
          <w:sz w:val="22"/>
          <w:szCs w:val="22"/>
          <w:b w:val="1"/>
          <w:bCs w:val="1"/>
          <w:i w:val="1"/>
          <w:iCs w:val="1"/>
          <w:color w:val="auto"/>
        </w:rPr>
        <w:t>Special Note Regarding Forward-Looking Statements</w:t>
      </w:r>
      <w:r>
        <w:rPr>
          <w:rFonts w:ascii="Times New Roman" w:cs="Times New Roman" w:eastAsia="Times New Roman" w:hAnsi="Times New Roman"/>
          <w:sz w:val="22"/>
          <w:szCs w:val="22"/>
          <w:b w:val="1"/>
          <w:bCs w:val="1"/>
          <w:color w:val="auto"/>
        </w:rPr>
        <w:t>” on page 4 of this prospectus. You should read the entire prospectus and any applicable prospectus supplement carefully before you make your investment decision.</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receive from any sale.</w:t>
      </w:r>
    </w:p>
    <w:p>
      <w:pPr>
        <w:spacing w:after="0" w:line="179"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8, 2024.</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80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6400" w:type="dxa"/>
            <w:vAlign w:val="bottom"/>
            <w:gridSpan w:val="1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420" w:type="dxa"/>
            <w:vAlign w:val="bottom"/>
            <w:gridSpan w:val="13"/>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have filed with the Securities and Exchange Commission, or the SEC, as a “well-known seasoned issuer” as defined in Rule 405 of the Securities Act of 1933, as amended, or the Securities Act.</w:t>
      </w:r>
    </w:p>
    <w:p>
      <w:pPr>
        <w:spacing w:after="0" w:line="162"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Under this process, we may sell the securities described in this prospectus in one or more offerings.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92"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cs="Times New Roman" w:eastAsia="Times New Roman" w:hAnsi="Times New Roman"/>
          <w:sz w:val="17"/>
          <w:szCs w:val="17"/>
          <w:i w:val="1"/>
          <w:iCs w:val="1"/>
          <w:color w:val="auto"/>
        </w:rPr>
        <w:t>Where You Can Find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More Information”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in both this prospectus and the applicable prospectus supplement, and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88"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4" w:lineRule="exact"/>
        <w:rPr>
          <w:sz w:val="20"/>
          <w:szCs w:val="20"/>
          <w:color w:val="auto"/>
        </w:rPr>
      </w:pPr>
    </w:p>
    <w:p>
      <w:pPr>
        <w:ind w:left="540" w:hanging="316"/>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2023, filed with the SEC on </w:t>
      </w:r>
      <w:hyperlink r:id="rId82">
        <w:r>
          <w:rPr>
            <w:rFonts w:ascii="Times New Roman" w:cs="Times New Roman" w:eastAsia="Times New Roman" w:hAnsi="Times New Roman"/>
            <w:sz w:val="18"/>
            <w:szCs w:val="18"/>
            <w:u w:val="single" w:color="auto"/>
            <w:color w:val="0000EE"/>
          </w:rPr>
          <w:t>March 21,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right="320" w:hanging="316"/>
        <w:spacing w:after="0" w:line="282" w:lineRule="auto"/>
        <w:tabs>
          <w:tab w:leader="none" w:pos="540" w:val="left"/>
        </w:tabs>
        <w:numPr>
          <w:ilvl w:val="0"/>
          <w:numId w:val="25"/>
        </w:numPr>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auto"/>
          </w:rPr>
          <w:t xml:space="preserve">Quarterly Reports on Form 10-Q for the quarters ended March 31, 2024 and June 30, 2024, filed with the SEC on </w:t>
        </w:r>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 8,</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540" w:right="380" w:hanging="316"/>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83">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EE"/>
          </w:rPr>
          <w:t>April 2, 2024</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 each case, excluding information furnished pursuant to Item 7.01) and </w:t>
      </w:r>
      <w:hyperlink r:id="rId87">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540" w:right="120" w:hanging="316"/>
        <w:spacing w:after="0" w:line="258"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71">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72">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88">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73">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9"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rFonts w:ascii="Times New Roman" w:cs="Times New Roman" w:eastAsia="Times New Roman" w:hAnsi="Times New Roman"/>
          <w:sz w:val="18"/>
          <w:szCs w:val="18"/>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5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674-9274</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320" w:top="455" w:right="10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include, among other things:</w:t>
      </w:r>
    </w:p>
    <w:p>
      <w:pPr>
        <w:spacing w:after="0" w:line="97" w:lineRule="exact"/>
        <w:rPr>
          <w:sz w:val="20"/>
          <w:szCs w:val="20"/>
          <w:color w:val="auto"/>
        </w:rPr>
      </w:pPr>
    </w:p>
    <w:p>
      <w:pPr>
        <w:ind w:left="1080" w:right="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w:t>
      </w:r>
    </w:p>
    <w:p>
      <w:pPr>
        <w:spacing w:after="0" w:line="8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 and Estimates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Disc Medicine, Inc., the Disc logo and our other registered or common law trademarks, trade names or service marks appearing in this prospectus are owned by us. This prospectus, any applicable prospectus supplement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76" w:lineRule="auto"/>
        <w:rPr>
          <w:sz w:val="20"/>
          <w:szCs w:val="20"/>
          <w:color w:val="auto"/>
        </w:rPr>
      </w:pPr>
      <w:r>
        <w:rPr>
          <w:rFonts w:ascii="Times New Roman" w:cs="Times New Roman" w:eastAsia="Times New Roman" w:hAnsi="Times New Roman"/>
          <w:sz w:val="17"/>
          <w:szCs w:val="17"/>
          <w:color w:val="auto"/>
        </w:rPr>
        <w:t>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w:t>
      </w:r>
    </w:p>
    <w:p>
      <w:pPr>
        <w:spacing w:after="0" w:line="1" w:lineRule="exact"/>
        <w:rPr>
          <w:sz w:val="20"/>
          <w:szCs w:val="20"/>
          <w:color w:val="auto"/>
        </w:rPr>
      </w:pPr>
    </w:p>
    <w:p>
      <w:pPr>
        <w:ind w:left="120" w:hanging="4"/>
        <w:spacing w:after="0" w:line="227" w:lineRule="auto"/>
        <w:tabs>
          <w:tab w:leader="none" w:pos="267"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presented topline data from AURORA in April 2024. Additional analyses of the BEACON and AURORA trials were presented in June 2024. We expect to have regulatory interactions to define optimal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presented additional interim data for anemia of MF in June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anticipate presenting data from the multiple-ascending dose (MAD) portion of the Phase 1 healthy volunteer study of DISC-3405 in the fourth quarter of 2024. We expect to develop DISC-3405 for the treatment of PV and other hematologic disorders.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with Gemini</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18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455" w:right="5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080" w:right="4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9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most recent Annual Report on Form 10-K, which is on file with the SEC and is incorporated herein by reference, as updated by our subsequent annual, quarterly and other reports we file with the SEC, as well as any amendments thereto, which are incorporated by reference into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455" w:right="5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0"/>
          </w:cols>
          <w:pgMar w:left="320" w:top="455" w:right="8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9"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dividends or other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10,000,000 shares of preferred stock, par value $0.0001 per share, all of which preferred stock is undesignated. As of June 30, 2024, we had 29,707,997 shares of our common stock outstanding and no shares of preferred stock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August 7, 2024, the closing price for our common stock, as reported on The Nasdaq Global Market, was $41.27 per share. As of June 30, 2024, we had estimated approximately 19 stockholders of record.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LLC. The transfer agent and registrar’s address is 51 Mercedes Way, Edgewood, NY 11717.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Series of 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be subject to any preemptive or similar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holders of an estimated 5.0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Registration Rights Agreement</w:t>
      </w:r>
    </w:p>
    <w:p>
      <w:pPr>
        <w:spacing w:after="0" w:line="121"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2022 Registration Rights Agreement provides for the following registration rights:</w:t>
      </w:r>
    </w:p>
    <w:p>
      <w:pPr>
        <w:spacing w:after="0" w:line="129" w:lineRule="exact"/>
        <w:rPr>
          <w:sz w:val="20"/>
          <w:szCs w:val="20"/>
          <w:color w:val="auto"/>
        </w:rPr>
      </w:pPr>
    </w:p>
    <w:p>
      <w:pPr>
        <w:ind w:left="1080" w:right="60" w:hanging="424"/>
        <w:spacing w:after="0" w:line="267"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Following the completion of the merger as contemplated by the Merger Agreement, we were required to file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a shelf registration statement registering the resale of the Registrable Securities, and use our commercially reasonable efforts to have such registration statement declared effective by the SEC as promptly as possible.</w:t>
      </w:r>
    </w:p>
    <w:p>
      <w:pPr>
        <w:spacing w:after="0" w:line="7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2022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Registration Rights Agreement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2021 Registration Rights Agreement provides for the following registration rights:</w:t>
      </w:r>
    </w:p>
    <w:p>
      <w:pPr>
        <w:spacing w:after="0" w:line="129" w:lineRule="exact"/>
        <w:rPr>
          <w:sz w:val="20"/>
          <w:szCs w:val="20"/>
          <w:color w:val="auto"/>
        </w:rPr>
      </w:pPr>
    </w:p>
    <w:p>
      <w:pPr>
        <w:ind w:left="1080" w:hanging="424"/>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We are required, upon the written request of either (i) FSDC Investors holding a majority of the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A shelf registration statement pursuant to Rule 415 of Securities Act, was filed on February 17, 2021 and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7"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We shall not be obligated to effect: (a) more than one (1)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8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we propose to file a registration statement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us and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8"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ours shall cease to be registrable securities upon the earlier of (i) tenth anniversary of February 5,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Delaware Law</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not governed by Section 203 of the Delaware General Corporation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allow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22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96"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 or bylaws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or free writing prospectus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depository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or special United States federal income tax considerations applicable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will describe in each applicable prospectus supplement or free writing prospectus any additional events of default relating to the relevant series of debt securities.</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3"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w:t>
      </w:r>
    </w:p>
    <w:p>
      <w:pPr>
        <w:spacing w:after="0" w:line="27" w:lineRule="exact"/>
        <w:rPr>
          <w:rFonts w:ascii="Times New Roman" w:cs="Times New Roman" w:eastAsia="Times New Roman" w:hAnsi="Times New Roman"/>
          <w:sz w:val="18"/>
          <w:szCs w:val="18"/>
          <w:color w:val="auto"/>
        </w:rPr>
      </w:pPr>
    </w:p>
    <w:p>
      <w:pPr>
        <w:ind w:left="10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and to make all appropriate changes for such purpose;</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8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or free writing prospectus, in denominations of $1,000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85" w:lineRule="exact"/>
        <w:rPr>
          <w:sz w:val="20"/>
          <w:szCs w:val="20"/>
          <w:color w:val="auto"/>
        </w:rPr>
      </w:pPr>
    </w:p>
    <w:p>
      <w:pPr>
        <w:jc w:val="both"/>
        <w:ind w:left="1080" w:right="26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Description of Warrants</w:t>
      </w:r>
      <w:r>
        <w:rPr>
          <w:rFonts w:ascii="Times New Roman" w:cs="Times New Roman" w:eastAsia="Times New Roman" w:hAnsi="Times New Roman"/>
          <w:sz w:val="17"/>
          <w:szCs w:val="17"/>
          <w:color w:val="auto"/>
        </w:rPr>
        <w:t>” will apply to the securities included in each unit, to the extent relevant and as may be updated in any prospectus supplements.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312" w:lineRule="auto"/>
        <w:tabs>
          <w:tab w:leader="none" w:pos="10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overallot in connection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appearing in Disc Medicine,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320" w:top="455" w:right="6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344170</wp:posOffset>
            </wp:positionV>
            <wp:extent cx="3446145" cy="548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34461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Shares of Common Stock</w:t>
      </w: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Pre-Funded Warrants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1541780</wp:posOffset>
            </wp:positionV>
            <wp:extent cx="1474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4500" w:val="left"/>
          <w:tab w:leader="none" w:pos="8500" w:val="left"/>
          <w:tab w:leader="none" w:pos="10240" w:val="left"/>
        </w:tabs>
        <w:rPr>
          <w:sz w:val="20"/>
          <w:szCs w:val="20"/>
          <w:color w:val="auto"/>
        </w:rPr>
      </w:pPr>
      <w:r>
        <w:rPr>
          <w:rFonts w:ascii="Times New Roman" w:cs="Times New Roman" w:eastAsia="Times New Roman" w:hAnsi="Times New Roman"/>
          <w:sz w:val="29"/>
          <w:szCs w:val="29"/>
          <w:b w:val="1"/>
          <w:bCs w:val="1"/>
          <w:color w:val="auto"/>
        </w:rPr>
        <w:t>Jefferies</w:t>
      </w:r>
      <w:r>
        <w:rPr>
          <w:sz w:val="20"/>
          <w:szCs w:val="20"/>
          <w:color w:val="auto"/>
        </w:rPr>
        <w:tab/>
      </w:r>
      <w:r>
        <w:rPr>
          <w:rFonts w:ascii="Times New Roman" w:cs="Times New Roman" w:eastAsia="Times New Roman" w:hAnsi="Times New Roman"/>
          <w:sz w:val="29"/>
          <w:szCs w:val="29"/>
          <w:b w:val="1"/>
          <w:bCs w:val="1"/>
          <w:color w:val="auto"/>
        </w:rPr>
        <w:t>Leerink Partners</w:t>
      </w:r>
      <w:r>
        <w:rPr>
          <w:sz w:val="20"/>
          <w:szCs w:val="20"/>
          <w:color w:val="auto"/>
        </w:rPr>
        <w:tab/>
      </w:r>
      <w:r>
        <w:rPr>
          <w:rFonts w:ascii="Times New Roman" w:cs="Times New Roman" w:eastAsia="Times New Roman" w:hAnsi="Times New Roman"/>
          <w:sz w:val="29"/>
          <w:szCs w:val="29"/>
          <w:b w:val="1"/>
          <w:bCs w:val="1"/>
          <w:color w:val="auto"/>
        </w:rPr>
        <w:t>Stifel</w:t>
      </w:r>
      <w:r>
        <w:rPr>
          <w:sz w:val="20"/>
          <w:szCs w:val="20"/>
          <w:color w:val="auto"/>
        </w:rPr>
        <w:tab/>
      </w:r>
      <w:r>
        <w:rPr>
          <w:rFonts w:ascii="Times New Roman" w:cs="Times New Roman" w:eastAsia="Times New Roman" w:hAnsi="Times New Roman"/>
          <w:sz w:val="28"/>
          <w:szCs w:val="28"/>
          <w:b w:val="1"/>
          <w:bCs w:val="1"/>
          <w:color w:val="auto"/>
        </w:rPr>
        <w:t>Cantor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6995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525780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lowerRoman"/>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Letter"/>
      <w:start w:val="2"/>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lowerLetter"/>
      <w:start w:val="6"/>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1)"/>
      <w:numFmt w:val="lowerLetter"/>
      <w:start w:val="7"/>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1)"/>
      <w:numFmt w:val="lowerLetter"/>
      <w:start w:val="1"/>
    </w:lvl>
  </w:abstractNum>
  <w:abstractNum w:abstractNumId="19">
    <w:nsid w:val="7724C67E"/>
    <w:multiLevelType w:val="hybridMultilevel"/>
    <w:lvl w:ilvl="0">
      <w:lvlJc w:val="left"/>
      <w:lvlText w:val="(%1)"/>
      <w:numFmt w:val="lowerLetter"/>
      <w:start w:val="4"/>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1."/>
      <w:numFmt w:val="lowerRoman"/>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617"/>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jpe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jpe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61" Type="http://schemas.openxmlformats.org/officeDocument/2006/relationships/hyperlink" Target="http://www.sec.gov/ix?doc=/Archives/edgar/data/1816736/000095017024034432/iron-20231231.htm" TargetMode="External"/><Relationship Id="rId62" Type="http://schemas.openxmlformats.org/officeDocument/2006/relationships/hyperlink" Target="http://www.sec.gov/ix?doc=/Archives/edgar/data/1816736/000095017024056304/iron-20240331.htm" TargetMode="External"/><Relationship Id="rId63" Type="http://schemas.openxmlformats.org/officeDocument/2006/relationships/hyperlink" Target="http://www.sec.gov/ix?doc=/Archives/edgar/data/1816736/000095017024093357/iron-20240630.htm" TargetMode="External"/><Relationship Id="rId64" Type="http://schemas.openxmlformats.org/officeDocument/2006/relationships/hyperlink" Target="http://www.sec.gov/ix?doc=/Archives/edgar/data/1816736/000095017024124650/iron-20240930.htm" TargetMode="External"/><Relationship Id="rId65" Type="http://schemas.openxmlformats.org/officeDocument/2006/relationships/hyperlink" Target="http://www.sec.gov/ix?doc=/Archives/edgar/data/1816736/000119312524025951/d758257d8k.htm" TargetMode="External"/><Relationship Id="rId66" Type="http://schemas.openxmlformats.org/officeDocument/2006/relationships/hyperlink" Target="http://www.sec.gov/ix?doc=/Archives/edgar/data/1816736/000119312524084937/d815786d8k.htm" TargetMode="External"/><Relationship Id="rId67" Type="http://schemas.openxmlformats.org/officeDocument/2006/relationships/hyperlink" Target="http://www.sec.gov/ix?doc=/Archives/edgar/data/1816736/000119312524161170/d826950d8k.htm" TargetMode="External"/><Relationship Id="rId68" Type="http://schemas.openxmlformats.org/officeDocument/2006/relationships/hyperlink" Target="http://www.sec.gov/ix?doc=/Archives/edgar/data/1816736/000119312524161587/d828009d8k.htm" TargetMode="External"/><Relationship Id="rId69" Type="http://schemas.openxmlformats.org/officeDocument/2006/relationships/hyperlink" Target="http://www.sec.gov/ix?doc=/Archives/edgar/data/1816736/000119312524161603/d829753d8k.htm" TargetMode="External"/><Relationship Id="rId70" Type="http://schemas.openxmlformats.org/officeDocument/2006/relationships/hyperlink" Target="http://www.sec.gov/ix?doc=/Archives/edgar/data/0001816736/000119312525009095/d858127d8k.htm" TargetMode="External"/><Relationship Id="rId71" Type="http://schemas.openxmlformats.org/officeDocument/2006/relationships/hyperlink" Target="http://www.sec.gov/Archives/edgar/data/1816736/000121390020021145/ea125295-8a12b_fsdevelop.htm" TargetMode="External"/><Relationship Id="rId72" Type="http://schemas.openxmlformats.org/officeDocument/2006/relationships/hyperlink" Target="http://www.sec.gov/Archives/edgar/data/1816736/000095017022003288/gmtx-ex4_4.htm" TargetMode="External"/><Relationship Id="rId73" Type="http://schemas.openxmlformats.org/officeDocument/2006/relationships/hyperlink" Target="http://www.sec.gov/Archives/edgar/data/1816736/000114036122043943/ny20005172x8_s4a.htm" TargetMode="External"/><Relationship Id="rId82" Type="http://schemas.openxmlformats.org/officeDocument/2006/relationships/hyperlink" Target="http://www.sec.gov/ix?doc=/Archives/edgar/data/0001816736/000095017024034432/iron-20231231.htm" TargetMode="External"/><Relationship Id="rId83" Type="http://schemas.openxmlformats.org/officeDocument/2006/relationships/hyperlink" Target="http://www.sec.gov/ix?doc=/Archives/edgar/data/0001816736/000119312524025951/d758257d8k.htm" TargetMode="External"/><Relationship Id="rId84" Type="http://schemas.openxmlformats.org/officeDocument/2006/relationships/hyperlink" Target="http://www.sec.gov/ix?doc=/Archives/edgar/data/0001816736/000119312524084937/d815786d8k.htm" TargetMode="External"/><Relationship Id="rId85" Type="http://schemas.openxmlformats.org/officeDocument/2006/relationships/hyperlink" Target="http://www.sec.gov/ix?doc=/Archives/edgar/data/0001816736/000119312524161170/d826950d8k.htm" TargetMode="External"/><Relationship Id="rId86" Type="http://schemas.openxmlformats.org/officeDocument/2006/relationships/hyperlink" Target="http://www.sec.gov/ix?doc=/Archives/edgar/data/0001816736/000119312524161587/d828009d8k.htm" TargetMode="External"/><Relationship Id="rId87" Type="http://schemas.openxmlformats.org/officeDocument/2006/relationships/hyperlink" Target="http://www.sec.gov/ix?doc=/Archives/edgar/data/0001816736/000119312524161603/d829753d8k.htm" TargetMode="External"/><Relationship Id="rId88" Type="http://schemas.openxmlformats.org/officeDocument/2006/relationships/hyperlink" Target="http://www.sec.gov/ix?doc=/Archives/edgar/data/1816736/000095017022003288/gmtx-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2025-01-21T16:32:51Z</dcterms:created>
  <dcterms:modified xsi:type="dcterms:W3CDTF">2025-01-21T16:32:51Z</dcterms:modified>
</cp:coreProperties>
</file>